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91">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Filed Pusuant to Rule 424(b)(2)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333-220736</w:t>
      </w:r>
    </w:p>
    <w:p>
      <w:pPr>
        <w:spacing w:after="0" w:line="190" w:lineRule="exact"/>
        <w:rPr>
          <w:sz w:val="24"/>
          <w:szCs w:val="24"/>
          <w:color w:val="auto"/>
        </w:rPr>
      </w:pPr>
    </w:p>
    <w:p>
      <w:pPr>
        <w:ind w:right="200"/>
        <w:spacing w:after="0" w:line="241" w:lineRule="auto"/>
        <w:rPr>
          <w:sz w:val="20"/>
          <w:szCs w:val="20"/>
          <w:color w:val="auto"/>
        </w:rPr>
      </w:pPr>
      <w:r>
        <w:rPr>
          <w:rFonts w:ascii="Arial" w:cs="Arial" w:eastAsia="Arial" w:hAnsi="Arial"/>
          <w:sz w:val="14"/>
          <w:szCs w:val="14"/>
          <w:b w:val="1"/>
          <w:bCs w:val="1"/>
          <w:color w:val="FF4040"/>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FF4040"/>
        </w:rPr>
        <w:t>SUBJECT TO COMPLETION, DATED JANUARY 9, 2018</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PRELIMINARY PROSPECTUS SUPPLEMENT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 Prospectus Dated October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128905</wp:posOffset>
            </wp:positionV>
            <wp:extent cx="133794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4"/>
          <w:szCs w:val="24"/>
          <w:color w:val="auto"/>
        </w:rPr>
      </w:pPr>
    </w:p>
    <w:p>
      <w:pPr>
        <w:ind w:left="2840" w:right="2000" w:firstLine="138"/>
        <w:spacing w:after="0" w:line="264" w:lineRule="auto"/>
        <w:tabs>
          <w:tab w:leader="none" w:pos="3274" w:val="left"/>
        </w:tabs>
        <w:numPr>
          <w:ilvl w:val="0"/>
          <w:numId w:val="1"/>
        </w:numPr>
        <w:rPr>
          <w:rFonts w:ascii="Arial" w:cs="Arial" w:eastAsia="Arial" w:hAnsi="Arial"/>
          <w:sz w:val="24"/>
          <w:szCs w:val="24"/>
          <w:b w:val="1"/>
          <w:bCs w:val="1"/>
          <w:color w:val="auto"/>
        </w:rPr>
      </w:pPr>
      <w:r>
        <w:rPr>
          <w:rFonts w:ascii="Arial" w:cs="Arial" w:eastAsia="Arial" w:hAnsi="Arial"/>
          <w:sz w:val="24"/>
          <w:szCs w:val="24"/>
          <w:b w:val="1"/>
          <w:bCs w:val="1"/>
          <w:color w:val="auto"/>
        </w:rPr>
        <w:t>SERIES B CUMULATIVE REDEEMABLE PERPETUAL FIXED TO FLOATING RATE PREFERENCE UNITS (LIQUIDATION PREFERENCE $25.00 PER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340"/>
        <w:spacing w:after="0"/>
        <w:tabs>
          <w:tab w:leader="none" w:pos="1580" w:val="left"/>
          <w:tab w:leader="none" w:pos="2300" w:val="left"/>
        </w:tabs>
        <w:rPr>
          <w:sz w:val="20"/>
          <w:szCs w:val="20"/>
          <w:color w:val="auto"/>
        </w:rPr>
      </w:pPr>
      <w:r>
        <w:rPr>
          <w:rFonts w:ascii="Arial" w:cs="Arial" w:eastAsia="Arial" w:hAnsi="Arial"/>
          <w:sz w:val="14"/>
          <w:szCs w:val="14"/>
          <w:color w:val="auto"/>
        </w:rPr>
        <w:t>We are offering</w:t>
      </w:r>
      <w:r>
        <w:rPr>
          <w:sz w:val="20"/>
          <w:szCs w:val="20"/>
          <w:color w:val="auto"/>
        </w:rPr>
        <w:tab/>
      </w:r>
      <w:r>
        <w:rPr>
          <w:rFonts w:ascii="Arial" w:cs="Arial" w:eastAsia="Arial" w:hAnsi="Arial"/>
          <w:sz w:val="14"/>
          <w:szCs w:val="14"/>
          <w:color w:val="auto"/>
        </w:rPr>
        <w:t>of our</w:t>
      </w:r>
      <w:r>
        <w:rPr>
          <w:sz w:val="20"/>
          <w:szCs w:val="20"/>
          <w:color w:val="auto"/>
        </w:rPr>
        <w:tab/>
      </w:r>
      <w:r>
        <w:rPr>
          <w:rFonts w:ascii="Arial" w:cs="Arial" w:eastAsia="Arial" w:hAnsi="Arial"/>
          <w:sz w:val="12"/>
          <w:szCs w:val="12"/>
          <w:color w:val="auto"/>
        </w:rPr>
        <w:t>Series B Cumulative Redeemable Perpetual Fixed to Floating Rate Preference Units, liquidation preference $25.00 per unit (the "Series B Preference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135890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right="100" w:firstLine="338"/>
        <w:spacing w:after="0" w:line="233" w:lineRule="auto"/>
        <w:rPr>
          <w:sz w:val="20"/>
          <w:szCs w:val="20"/>
          <w:color w:val="auto"/>
        </w:rPr>
      </w:pPr>
      <w:r>
        <w:rPr>
          <w:rFonts w:ascii="Arial" w:cs="Arial" w:eastAsia="Arial" w:hAnsi="Arial"/>
          <w:sz w:val="14"/>
          <w:szCs w:val="14"/>
          <w:color w:val="auto"/>
        </w:rPr>
        <w:t>Blenheim Holdings Ltd., which is GasLog Ltd.'s largest shareholder and is controlled by GasLog Ltd.'s chairman, Peter G. Livanos, has indicated an intention to purchase up to an aggregate of approximately $5 million of our Series B Preference Units in this offering at the public offering price. In addition, certain other directors and officers may also purchase Series B Preference Units in the offering at the public offering price.</w:t>
      </w:r>
    </w:p>
    <w:p>
      <w:pPr>
        <w:spacing w:after="0" w:line="193" w:lineRule="exact"/>
        <w:rPr>
          <w:sz w:val="24"/>
          <w:szCs w:val="24"/>
          <w:color w:val="auto"/>
        </w:rPr>
      </w:pPr>
    </w:p>
    <w:p>
      <w:pPr>
        <w:ind w:right="40" w:firstLine="338"/>
        <w:spacing w:after="0" w:line="268" w:lineRule="auto"/>
        <w:rPr>
          <w:sz w:val="20"/>
          <w:szCs w:val="20"/>
          <w:color w:val="auto"/>
        </w:rPr>
      </w:pPr>
      <w:r>
        <w:rPr>
          <w:rFonts w:ascii="Arial" w:cs="Arial" w:eastAsia="Arial" w:hAnsi="Arial"/>
          <w:sz w:val="12"/>
          <w:szCs w:val="12"/>
          <w:color w:val="auto"/>
        </w:rPr>
        <w:t>Distributions on the Series B Preference Units are cumulative from the date of original issue and will be payable quarterly in arrears on the 15th day of March, June, September and December of each year, when, as and if declared by our board of directors. The initial distribution on the Series B Preference Units offered hereby will be payable on March 15, 2018. Distributions will be payable out of amounts legally</w:t>
      </w:r>
    </w:p>
    <w:p>
      <w:pPr>
        <w:spacing w:after="0"/>
        <w:tabs>
          <w:tab w:leader="none" w:pos="7480" w:val="left"/>
        </w:tabs>
        <w:rPr>
          <w:sz w:val="20"/>
          <w:szCs w:val="20"/>
          <w:color w:val="auto"/>
        </w:rPr>
      </w:pPr>
      <w:r>
        <w:rPr>
          <w:rFonts w:ascii="Arial" w:cs="Arial" w:eastAsia="Arial" w:hAnsi="Arial"/>
          <w:sz w:val="14"/>
          <w:szCs w:val="14"/>
          <w:color w:val="auto"/>
        </w:rPr>
        <w:t>available for distributions (i) from and including the original issue date to, but excluding, March 15, 2023 at a fixed rate equal to</w:t>
      </w:r>
      <w:r>
        <w:rPr>
          <w:sz w:val="20"/>
          <w:szCs w:val="20"/>
          <w:color w:val="auto"/>
        </w:rPr>
        <w:tab/>
      </w:r>
      <w:r>
        <w:rPr>
          <w:rFonts w:ascii="Arial" w:cs="Arial" w:eastAsia="Arial" w:hAnsi="Arial"/>
          <w:sz w:val="12"/>
          <w:szCs w:val="12"/>
          <w:color w:val="auto"/>
        </w:rPr>
        <w:t>% per annum of the stated liquidation preference and (ii) from and</w:t>
      </w:r>
    </w:p>
    <w:p>
      <w:pPr>
        <w:spacing w:after="0"/>
        <w:tabs>
          <w:tab w:leader="none" w:pos="5060" w:val="left"/>
        </w:tabs>
        <w:rPr>
          <w:sz w:val="20"/>
          <w:szCs w:val="20"/>
          <w:color w:val="auto"/>
        </w:rPr>
      </w:pPr>
      <w:r>
        <w:rPr>
          <w:rFonts w:ascii="Arial" w:cs="Arial" w:eastAsia="Arial" w:hAnsi="Arial"/>
          <w:sz w:val="14"/>
          <w:szCs w:val="14"/>
          <w:color w:val="auto"/>
        </w:rPr>
        <w:t>including March 15, 2023, at a floating rate equal to three-month LIBOR plus a spread of</w:t>
      </w:r>
      <w:r>
        <w:rPr>
          <w:sz w:val="20"/>
          <w:szCs w:val="20"/>
          <w:color w:val="auto"/>
        </w:rPr>
        <w:tab/>
      </w:r>
      <w:r>
        <w:rPr>
          <w:rFonts w:ascii="Arial" w:cs="Arial" w:eastAsia="Arial" w:hAnsi="Arial"/>
          <w:sz w:val="12"/>
          <w:szCs w:val="12"/>
          <w:color w:val="auto"/>
        </w:rPr>
        <w:t>% per annum of the stated liquidation preference.</w:t>
      </w:r>
    </w:p>
    <w:p>
      <w:pPr>
        <w:spacing w:after="0" w:line="192" w:lineRule="exact"/>
        <w:rPr>
          <w:sz w:val="24"/>
          <w:szCs w:val="24"/>
          <w:color w:val="auto"/>
        </w:rPr>
      </w:pPr>
    </w:p>
    <w:p>
      <w:pPr>
        <w:ind w:right="360" w:firstLine="330"/>
        <w:spacing w:after="0" w:line="239" w:lineRule="auto"/>
        <w:rPr>
          <w:sz w:val="20"/>
          <w:szCs w:val="20"/>
          <w:color w:val="auto"/>
        </w:rPr>
      </w:pPr>
      <w:r>
        <w:rPr>
          <w:rFonts w:ascii="Arial" w:cs="Arial" w:eastAsia="Arial" w:hAnsi="Arial"/>
          <w:sz w:val="14"/>
          <w:szCs w:val="14"/>
          <w:color w:val="auto"/>
        </w:rPr>
        <w:t>At any time on or after March 15, 2023, the Series B Preference Units may be redeemed, in whole or in part, out of amounts legally available therefor, at a redemption price of $25.00 per unit plus an amount equal to all accumulated and unpaid distributions thereon to the date of redemption, whether or not declared.</w:t>
      </w:r>
    </w:p>
    <w:p>
      <w:pPr>
        <w:spacing w:after="0" w:line="193" w:lineRule="exact"/>
        <w:rPr>
          <w:sz w:val="24"/>
          <w:szCs w:val="24"/>
          <w:color w:val="auto"/>
        </w:rPr>
      </w:pPr>
    </w:p>
    <w:p>
      <w:pPr>
        <w:ind w:right="140" w:firstLine="335"/>
        <w:spacing w:after="0" w:line="318" w:lineRule="auto"/>
        <w:rPr>
          <w:sz w:val="20"/>
          <w:szCs w:val="20"/>
          <w:color w:val="auto"/>
        </w:rPr>
      </w:pPr>
      <w:r>
        <w:rPr>
          <w:rFonts w:ascii="Arial" w:cs="Arial" w:eastAsia="Arial" w:hAnsi="Arial"/>
          <w:sz w:val="12"/>
          <w:szCs w:val="12"/>
          <w:color w:val="auto"/>
        </w:rPr>
        <w:t>We intend to file an application to list the Series B Preference Units on the New York Stock Exchange, or the NYSE, under the symbol "GLOP PR B". If the application is approved, we expect trading of the Series B Preference Units on the NYSE to begin within 30 days after their original issue date. Currently, there is no public market for the Series B Preference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100330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right="200" w:firstLine="338"/>
        <w:spacing w:after="0" w:line="310" w:lineRule="auto"/>
        <w:rPr>
          <w:sz w:val="20"/>
          <w:szCs w:val="20"/>
          <w:color w:val="auto"/>
        </w:rPr>
      </w:pPr>
      <w:r>
        <w:rPr>
          <w:rFonts w:ascii="Arial" w:cs="Arial" w:eastAsia="Arial" w:hAnsi="Arial"/>
          <w:sz w:val="16"/>
          <w:szCs w:val="16"/>
          <w:b w:val="1"/>
          <w:bCs w:val="1"/>
          <w:color w:val="auto"/>
        </w:rPr>
        <w:t>Investing in our Series B Preference Units involves a high degree of risk. Our Series B Preference Units have not been rated and are subject to the risks associated with unrated securities. Please read the section entitled "Risk Factors" on page S-23 of this prospectus supplement and beginning on page 8 of our Annual Report on Form 20-F before you make an investment in our Series B Preference Units.</w:t>
      </w:r>
    </w:p>
    <w:p>
      <w:pPr>
        <w:spacing w:after="0" w:line="155" w:lineRule="exact"/>
        <w:rPr>
          <w:sz w:val="24"/>
          <w:szCs w:val="24"/>
          <w:color w:val="auto"/>
        </w:rPr>
      </w:pPr>
    </w:p>
    <w:p>
      <w:pPr>
        <w:ind w:firstLine="338"/>
        <w:spacing w:after="0" w:line="239" w:lineRule="auto"/>
        <w:rPr>
          <w:sz w:val="20"/>
          <w:szCs w:val="20"/>
          <w:color w:val="auto"/>
        </w:rPr>
      </w:pPr>
      <w:r>
        <w:rPr>
          <w:rFonts w:ascii="Arial" w:cs="Arial" w:eastAsia="Arial" w:hAnsi="Arial"/>
          <w:sz w:val="14"/>
          <w:szCs w:val="14"/>
          <w:color w:val="auto"/>
        </w:rPr>
        <w:t>Neither the Securities and Exchange Commission nor any state securities commission has approved or disapproved of these securities or determined if this prospectus supplement or the accompanying base prospectus are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128905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tbl>
      <w:tblPr>
        <w:tblLayout w:type="fixed"/>
        <w:tblInd w:w="17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236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41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ind w:left="1380"/>
              <w:spacing w:after="0" w:line="155" w:lineRule="exact"/>
              <w:rPr>
                <w:sz w:val="20"/>
                <w:szCs w:val="20"/>
                <w:color w:val="auto"/>
              </w:rPr>
            </w:pPr>
            <w:r>
              <w:rPr>
                <w:rFonts w:ascii="Arial" w:cs="Arial" w:eastAsia="Arial" w:hAnsi="Arial"/>
                <w:sz w:val="14"/>
                <w:szCs w:val="14"/>
                <w:b w:val="1"/>
                <w:bCs w:val="1"/>
                <w:color w:val="auto"/>
              </w:rPr>
              <w:t>Per Unit</w:t>
            </w:r>
          </w:p>
        </w:tc>
        <w:tc>
          <w:tcPr>
            <w:tcW w:w="138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Total</w:t>
            </w:r>
          </w:p>
        </w:tc>
      </w:tr>
      <w:tr>
        <w:trPr>
          <w:trHeight w:val="168"/>
        </w:trPr>
        <w:tc>
          <w:tcPr>
            <w:tcW w:w="2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Public Offering Price</w:t>
            </w:r>
          </w:p>
        </w:tc>
        <w:tc>
          <w:tcPr>
            <w:tcW w:w="236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w:t>
            </w:r>
          </w:p>
        </w:tc>
      </w:tr>
      <w:tr>
        <w:trPr>
          <w:trHeight w:val="198"/>
        </w:trPr>
        <w:tc>
          <w:tcPr>
            <w:tcW w:w="4140" w:type="dxa"/>
            <w:vAlign w:val="bottom"/>
            <w:tcBorders>
              <w:bottom w:val="single" w:sz="8" w:color="auto"/>
            </w:tcBorders>
            <w:gridSpan w:val="2"/>
          </w:tcPr>
          <w:p>
            <w:pPr>
              <w:spacing w:after="0" w:line="198"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2"/>
                <w:szCs w:val="22"/>
                <w:color w:val="auto"/>
                <w:vertAlign w:val="superscript"/>
              </w:rPr>
              <w:t>(1)</w:t>
            </w:r>
          </w:p>
        </w:tc>
        <w:tc>
          <w:tcPr>
            <w:tcW w:w="236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w:t>
            </w:r>
          </w:p>
        </w:tc>
      </w:tr>
      <w:tr>
        <w:trPr>
          <w:trHeight w:val="167"/>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Proceeds to GasLog Partners LP (before expenses)</w:t>
            </w:r>
          </w:p>
        </w:tc>
        <w:tc>
          <w:tcPr>
            <w:tcW w:w="236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2" w:lineRule="exact"/>
        <w:rPr>
          <w:sz w:val="24"/>
          <w:szCs w:val="24"/>
          <w:color w:val="auto"/>
        </w:rPr>
      </w:pPr>
    </w:p>
    <w:p>
      <w:pPr>
        <w:ind w:left="540" w:hanging="532"/>
        <w:spacing w:after="0"/>
        <w:tabs>
          <w:tab w:leader="none" w:pos="540" w:val="left"/>
        </w:tabs>
        <w:numPr>
          <w:ilvl w:val="0"/>
          <w:numId w:val="2"/>
        </w:numPr>
        <w:rPr>
          <w:rFonts w:ascii="Arial" w:cs="Arial" w:eastAsia="Arial" w:hAnsi="Arial"/>
          <w:sz w:val="11"/>
          <w:szCs w:val="11"/>
          <w:color w:val="auto"/>
        </w:rPr>
      </w:pPr>
      <w:r>
        <w:rPr>
          <w:rFonts w:ascii="Arial" w:cs="Arial" w:eastAsia="Arial" w:hAnsi="Arial"/>
          <w:sz w:val="14"/>
          <w:szCs w:val="14"/>
          <w:color w:val="auto"/>
        </w:rPr>
        <w:t>See "Underwriting" for additional information regarding the total underwriting compensation.</w:t>
      </w:r>
    </w:p>
    <w:p>
      <w:pPr>
        <w:spacing w:after="0" w:line="204" w:lineRule="exact"/>
        <w:rPr>
          <w:sz w:val="24"/>
          <w:szCs w:val="24"/>
          <w:color w:val="auto"/>
        </w:rPr>
      </w:pPr>
    </w:p>
    <w:p>
      <w:pPr>
        <w:ind w:right="160" w:firstLine="335"/>
        <w:spacing w:after="0" w:line="239" w:lineRule="auto"/>
        <w:rPr>
          <w:sz w:val="20"/>
          <w:szCs w:val="20"/>
          <w:color w:val="auto"/>
        </w:rPr>
      </w:pPr>
      <w:r>
        <w:rPr>
          <w:rFonts w:ascii="Arial" w:cs="Arial" w:eastAsia="Arial" w:hAnsi="Arial"/>
          <w:sz w:val="14"/>
          <w:szCs w:val="14"/>
          <w:color w:val="auto"/>
        </w:rPr>
        <w:t>The underwriters will not receive an underwriting discount or commission on the sale of our Series B Preference Units to Blenheim Holdings Ltd. or to certain other directors or officers. The Partnership will receive the full public offering price for these units.</w:t>
      </w:r>
    </w:p>
    <w:p>
      <w:pPr>
        <w:spacing w:after="0" w:line="192" w:lineRule="exact"/>
        <w:rPr>
          <w:sz w:val="24"/>
          <w:szCs w:val="24"/>
          <w:color w:val="auto"/>
        </w:rPr>
      </w:pPr>
    </w:p>
    <w:p>
      <w:pPr>
        <w:ind w:left="340"/>
        <w:spacing w:after="0"/>
        <w:tabs>
          <w:tab w:leader="none" w:pos="6040" w:val="left"/>
        </w:tabs>
        <w:rPr>
          <w:sz w:val="20"/>
          <w:szCs w:val="20"/>
          <w:color w:val="auto"/>
        </w:rPr>
      </w:pPr>
      <w:r>
        <w:rPr>
          <w:rFonts w:ascii="Arial" w:cs="Arial" w:eastAsia="Arial" w:hAnsi="Arial"/>
          <w:sz w:val="14"/>
          <w:szCs w:val="14"/>
          <w:color w:val="auto"/>
        </w:rPr>
        <w:t>We have granted the underwriters an option for a period of 30 days to purchase up to an additional</w:t>
      </w:r>
      <w:r>
        <w:rPr>
          <w:sz w:val="20"/>
          <w:szCs w:val="20"/>
          <w:color w:val="auto"/>
        </w:rPr>
        <w:tab/>
      </w:r>
      <w:r>
        <w:rPr>
          <w:rFonts w:ascii="Arial" w:cs="Arial" w:eastAsia="Arial" w:hAnsi="Arial"/>
          <w:sz w:val="12"/>
          <w:szCs w:val="12"/>
          <w:color w:val="auto"/>
        </w:rPr>
        <w:t>Series B Preference Units. If the underwriters exercise the option in full, the total underwriting</w:t>
      </w:r>
    </w:p>
    <w:p>
      <w:pPr>
        <w:spacing w:after="0"/>
        <w:tabs>
          <w:tab w:leader="none" w:pos="3160" w:val="left"/>
          <w:tab w:leader="none" w:pos="6300" w:val="left"/>
        </w:tabs>
        <w:rPr>
          <w:sz w:val="20"/>
          <w:szCs w:val="20"/>
          <w:color w:val="auto"/>
        </w:rPr>
      </w:pPr>
      <w:r>
        <w:rPr>
          <w:rFonts w:ascii="Arial" w:cs="Arial" w:eastAsia="Arial" w:hAnsi="Arial"/>
          <w:sz w:val="14"/>
          <w:szCs w:val="14"/>
          <w:color w:val="auto"/>
        </w:rPr>
        <w:t>discounts and commissions payable by us will be $</w:t>
      </w:r>
      <w:r>
        <w:rPr>
          <w:sz w:val="20"/>
          <w:szCs w:val="20"/>
          <w:color w:val="auto"/>
        </w:rPr>
        <w:tab/>
      </w:r>
      <w:r>
        <w:rPr>
          <w:rFonts w:ascii="Arial" w:cs="Arial" w:eastAsia="Arial" w:hAnsi="Arial"/>
          <w:sz w:val="12"/>
          <w:szCs w:val="12"/>
          <w:color w:val="auto"/>
        </w:rPr>
        <w:t>, and total proceeds to us before expenses will be $</w:t>
      </w:r>
      <w:r>
        <w:rPr>
          <w:sz w:val="20"/>
          <w:szCs w:val="20"/>
          <w:color w:val="auto"/>
        </w:rPr>
        <w:tab/>
      </w:r>
      <w:r>
        <w:rPr>
          <w:rFonts w:ascii="Arial" w:cs="Arial" w:eastAsia="Arial" w:hAnsi="Arial"/>
          <w:sz w:val="14"/>
          <w:szCs w:val="14"/>
          <w:color w:val="auto"/>
        </w:rPr>
        <w:t>.</w:t>
      </w:r>
    </w:p>
    <w:p>
      <w:pPr>
        <w:spacing w:after="0" w:line="192" w:lineRule="exact"/>
        <w:rPr>
          <w:sz w:val="24"/>
          <w:szCs w:val="24"/>
          <w:color w:val="auto"/>
        </w:rPr>
      </w:pPr>
    </w:p>
    <w:p>
      <w:pPr>
        <w:ind w:left="340"/>
        <w:spacing w:after="0"/>
        <w:tabs>
          <w:tab w:leader="none" w:pos="4860" w:val="left"/>
        </w:tabs>
        <w:rPr>
          <w:sz w:val="20"/>
          <w:szCs w:val="20"/>
          <w:color w:val="auto"/>
        </w:rPr>
      </w:pPr>
      <w:r>
        <w:rPr>
          <w:rFonts w:ascii="Arial" w:cs="Arial" w:eastAsia="Arial" w:hAnsi="Arial"/>
          <w:sz w:val="14"/>
          <w:szCs w:val="14"/>
          <w:color w:val="auto"/>
        </w:rPr>
        <w:t>The underwriters expect to deliver the Series B Preference Units on or about</w:t>
      </w:r>
      <w:r>
        <w:rPr>
          <w:sz w:val="20"/>
          <w:szCs w:val="20"/>
          <w:color w:val="auto"/>
        </w:rPr>
        <w:tab/>
      </w:r>
      <w:r>
        <w:rPr>
          <w:rFonts w:ascii="Arial" w:cs="Arial" w:eastAsia="Arial" w:hAnsi="Arial"/>
          <w:sz w:val="12"/>
          <w:szCs w:val="12"/>
          <w:color w:val="auto"/>
        </w:rPr>
        <w:t>, 2018.</w:t>
      </w:r>
    </w:p>
    <w:p>
      <w:pPr>
        <w:sectPr>
          <w:pgSz w:w="11900" w:h="16838" w:orient="portrait"/>
          <w:cols w:equalWidth="0" w:num="1">
            <w:col w:w="11420"/>
          </w:cols>
          <w:pgMar w:left="240" w:top="685" w:right="239" w:bottom="0" w:gutter="0" w:footer="0" w:header="0"/>
        </w:sect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2"/>
          <w:szCs w:val="12"/>
          <w:i w:val="1"/>
          <w:iCs w:val="1"/>
          <w:color w:val="auto"/>
        </w:rPr>
        <w:t>Joint Bookrunners</w:t>
      </w:r>
    </w:p>
    <w:p>
      <w:pPr>
        <w:sectPr>
          <w:pgSz w:w="11900" w:h="16838" w:orient="portrait"/>
          <w:cols w:equalWidth="0" w:num="1">
            <w:col w:w="11420"/>
          </w:cols>
          <w:pgMar w:left="240" w:top="685" w:right="239" w:bottom="0" w:gutter="0" w:footer="0" w:header="0"/>
          <w:type w:val="continuous"/>
        </w:sectPr>
      </w:pPr>
    </w:p>
    <w:bookmarkStart w:id="1" w:name="page2"/>
    <w:bookmarkEnd w:id="1"/>
    <w:p>
      <w:pPr>
        <w:jc w:val="right"/>
        <w:spacing w:after="0"/>
        <w:tabs>
          <w:tab w:leader="none" w:pos="5980" w:val="left"/>
          <w:tab w:leader="none" w:pos="2580" w:val="left"/>
          <w:tab w:leader="none" w:pos="980" w:val="left"/>
        </w:tabs>
        <w:rPr>
          <w:sz w:val="20"/>
          <w:szCs w:val="20"/>
          <w:color w:val="auto"/>
        </w:rPr>
      </w:pP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4"/>
          <w:szCs w:val="24"/>
          <w:b w:val="1"/>
          <w:bCs w:val="1"/>
          <w:color w:val="auto"/>
        </w:rPr>
        <w:t>UBS Investment Bank</w:t>
      </w:r>
      <w:r>
        <w:rPr>
          <w:sz w:val="20"/>
          <w:szCs w:val="20"/>
          <w:color w:val="auto"/>
        </w:rPr>
        <w:tab/>
      </w:r>
      <w:r>
        <w:rPr>
          <w:rFonts w:ascii="Arial" w:cs="Arial" w:eastAsia="Arial" w:hAnsi="Arial"/>
          <w:sz w:val="24"/>
          <w:szCs w:val="24"/>
          <w:b w:val="1"/>
          <w:bCs w:val="1"/>
          <w:color w:val="auto"/>
        </w:rPr>
        <w:t>Stifel</w:t>
      </w:r>
      <w:r>
        <w:rPr>
          <w:sz w:val="20"/>
          <w:szCs w:val="20"/>
          <w:color w:val="auto"/>
        </w:rPr>
        <w:tab/>
      </w:r>
      <w:r>
        <w:rPr>
          <w:rFonts w:ascii="Arial" w:cs="Arial" w:eastAsia="Arial" w:hAnsi="Arial"/>
          <w:sz w:val="22"/>
          <w:szCs w:val="22"/>
          <w:b w:val="1"/>
          <w:bCs w:val="1"/>
          <w:color w:val="auto"/>
        </w:rPr>
        <w:t>Citigroup</w:t>
      </w: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4"/>
          <w:szCs w:val="14"/>
          <w:i w:val="1"/>
          <w:iCs w:val="1"/>
          <w:color w:val="auto"/>
        </w:rPr>
        <w:t>Co-Manager</w:t>
      </w:r>
    </w:p>
    <w:p>
      <w:pPr>
        <w:spacing w:after="0" w:line="186"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Credit Suisse</w:t>
      </w:r>
    </w:p>
    <w:p>
      <w:pPr>
        <w:spacing w:after="0" w:line="241"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color w:val="auto"/>
        </w:rPr>
        <w:t>January</w:t>
      </w:r>
      <w:r>
        <w:rPr>
          <w:sz w:val="20"/>
          <w:szCs w:val="20"/>
          <w:color w:val="auto"/>
        </w:rPr>
        <w:tab/>
      </w:r>
      <w:r>
        <w:rPr>
          <w:rFonts w:ascii="Arial" w:cs="Arial" w:eastAsia="Arial" w:hAnsi="Arial"/>
          <w:sz w:val="14"/>
          <w:szCs w:val="14"/>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11" w:right="127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50430" cy="7797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780" w:type="dxa"/>
            <w:vAlign w:val="bottom"/>
            <w:gridSpan w:val="3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20" w:type="dxa"/>
            <w:vAlign w:val="bottom"/>
            <w:gridSpan w:val="13"/>
          </w:tcPr>
          <w:p>
            <w:pPr>
              <w:ind w:left="300"/>
              <w:spacing w:after="0"/>
              <w:rPr>
                <w:sz w:val="20"/>
                <w:szCs w:val="20"/>
                <w:color w:val="auto"/>
              </w:rPr>
            </w:pPr>
            <w:r>
              <w:rPr>
                <w:rFonts w:ascii="Arial" w:cs="Arial" w:eastAsia="Arial" w:hAnsi="Arial"/>
                <w:sz w:val="18"/>
                <w:szCs w:val="18"/>
                <w:b w:val="1"/>
                <w:bCs w:val="1"/>
                <w:color w:val="auto"/>
              </w:rPr>
              <w:t>TABLE OF CONTENTS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1140" w:type="dxa"/>
            <w:vAlign w:val="bottom"/>
          </w:tcPr>
          <w:p>
            <w:pPr>
              <w:spacing w:after="0"/>
              <w:rPr>
                <w:sz w:val="24"/>
                <w:szCs w:val="24"/>
                <w:color w:val="auto"/>
              </w:rPr>
            </w:pPr>
          </w:p>
        </w:tc>
        <w:tc>
          <w:tcPr>
            <w:tcW w:w="8640" w:type="dxa"/>
            <w:vAlign w:val="bottom"/>
            <w:gridSpan w:val="31"/>
          </w:tcPr>
          <w:p>
            <w:pPr>
              <w:spacing w:after="0"/>
              <w:rPr>
                <w:sz w:val="20"/>
                <w:szCs w:val="20"/>
                <w:color w:val="auto"/>
              </w:rPr>
            </w:pPr>
            <w:r>
              <w:rPr>
                <w:rFonts w:ascii="Arial" w:cs="Arial" w:eastAsia="Arial" w:hAnsi="Arial"/>
                <w:sz w:val="18"/>
                <w:szCs w:val="18"/>
                <w:b w:val="1"/>
                <w:bCs w:val="1"/>
                <w:color w:val="auto"/>
              </w:rPr>
              <w:t>PROSPECTUS SUPPLEMENT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1140" w:type="dxa"/>
            <w:vAlign w:val="bottom"/>
          </w:tcPr>
          <w:p>
            <w:pPr>
              <w:spacing w:after="0"/>
              <w:rPr>
                <w:sz w:val="15"/>
                <w:szCs w:val="15"/>
                <w:color w:val="auto"/>
              </w:rPr>
            </w:pPr>
          </w:p>
        </w:tc>
        <w:tc>
          <w:tcPr>
            <w:tcW w:w="8640" w:type="dxa"/>
            <w:vAlign w:val="bottom"/>
            <w:gridSpan w:val="31"/>
          </w:tcPr>
          <w:p>
            <w:pPr>
              <w:spacing w:after="0" w:line="184"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60" w:type="dxa"/>
            <w:vAlign w:val="bottom"/>
          </w:tcPr>
          <w:p>
            <w:pPr>
              <w:spacing w:after="0"/>
              <w:rPr>
                <w:sz w:val="15"/>
                <w:szCs w:val="15"/>
                <w:color w:val="auto"/>
              </w:rPr>
            </w:pPr>
          </w:p>
        </w:tc>
        <w:tc>
          <w:tcPr>
            <w:tcW w:w="180" w:type="dxa"/>
            <w:vAlign w:val="bottom"/>
            <w:gridSpan w:val="2"/>
          </w:tcPr>
          <w:p>
            <w:pPr>
              <w:jc w:val="right"/>
              <w:spacing w:after="0"/>
              <w:rPr>
                <w:rFonts w:ascii="Arial" w:cs="Arial" w:eastAsia="Arial" w:hAnsi="Arial"/>
                <w:sz w:val="14"/>
                <w:szCs w:val="14"/>
                <w:color w:val="0000EE"/>
                <w:w w:val="73"/>
              </w:rPr>
            </w:pPr>
            <w:hyperlink w:anchor="page6">
              <w:r>
                <w:rPr>
                  <w:rFonts w:ascii="Arial" w:cs="Arial" w:eastAsia="Arial" w:hAnsi="Arial"/>
                  <w:sz w:val="14"/>
                  <w:szCs w:val="14"/>
                  <w:color w:val="0000EE"/>
                  <w:w w:val="73"/>
                </w:rPr>
                <w:t>S-1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28">
              <w:r>
                <w:rPr>
                  <w:rFonts w:ascii="Arial" w:cs="Arial" w:eastAsia="Arial" w:hAnsi="Arial"/>
                  <w:sz w:val="18"/>
                  <w:szCs w:val="18"/>
                  <w:color w:val="0000EE"/>
                  <w:w w:val="84"/>
                </w:rPr>
                <w:t>S-23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FORWARD-LOOKING STATEMENTS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S-33</w:t>
              </w:r>
            </w:hyperlink>
          </w:p>
        </w:tc>
      </w:tr>
      <w:tr>
        <w:trPr>
          <w:trHeight w:val="196"/>
        </w:trPr>
        <w:tc>
          <w:tcPr>
            <w:tcW w:w="114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USE OF PROCEEDS</w:t>
              </w:r>
            </w:hyperlink>
          </w:p>
        </w:tc>
        <w:tc>
          <w:tcPr>
            <w:tcW w:w="1300" w:type="dxa"/>
            <w:vAlign w:val="bottom"/>
            <w:tcBorders>
              <w:top w:val="single" w:sz="8" w:color="0000EE"/>
            </w:tcBorders>
            <w:gridSpan w:val="7"/>
          </w:tcPr>
          <w:p>
            <w:pPr>
              <w:spacing w:after="0"/>
              <w:rPr>
                <w:sz w:val="17"/>
                <w:szCs w:val="17"/>
                <w:color w:val="auto"/>
              </w:rPr>
            </w:pPr>
          </w:p>
        </w:tc>
        <w:tc>
          <w:tcPr>
            <w:tcW w:w="5780" w:type="dxa"/>
            <w:vAlign w:val="bottom"/>
            <w:gridSpan w:val="16"/>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40">
              <w:r>
                <w:rPr>
                  <w:rFonts w:ascii="Arial" w:cs="Arial" w:eastAsia="Arial" w:hAnsi="Arial"/>
                  <w:sz w:val="18"/>
                  <w:szCs w:val="18"/>
                  <w:color w:val="0000EE"/>
                  <w:w w:val="84"/>
                </w:rPr>
                <w:t>S-35</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RATIO OF EARNINGS TO FIXED CHARGES AND PREFERENCE UNIT DISTRIBUTIONS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41">
              <w:r>
                <w:rPr>
                  <w:rFonts w:ascii="Arial" w:cs="Arial" w:eastAsia="Arial" w:hAnsi="Arial"/>
                  <w:sz w:val="18"/>
                  <w:szCs w:val="18"/>
                  <w:color w:val="0000EE"/>
                  <w:w w:val="84"/>
                </w:rPr>
                <w:t>S-36</w:t>
              </w:r>
            </w:hyperlink>
          </w:p>
        </w:tc>
      </w:tr>
      <w:tr>
        <w:trPr>
          <w:trHeight w:val="196"/>
        </w:trPr>
        <w:tc>
          <w:tcPr>
            <w:tcW w:w="1140" w:type="dxa"/>
            <w:vAlign w:val="bottom"/>
          </w:tcPr>
          <w:p>
            <w:pPr>
              <w:spacing w:after="0"/>
              <w:rPr>
                <w:sz w:val="17"/>
                <w:szCs w:val="17"/>
                <w:color w:val="auto"/>
              </w:rPr>
            </w:pPr>
          </w:p>
        </w:tc>
        <w:tc>
          <w:tcPr>
            <w:tcW w:w="68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CASH AND CAPITALIZATION</w:t>
              </w:r>
            </w:hyperlink>
          </w:p>
        </w:tc>
        <w:tc>
          <w:tcPr>
            <w:tcW w:w="1820" w:type="dxa"/>
            <w:vAlign w:val="bottom"/>
          </w:tcPr>
          <w:p>
            <w:pPr>
              <w:spacing w:after="0"/>
              <w:rPr>
                <w:sz w:val="17"/>
                <w:szCs w:val="17"/>
                <w:color w:val="auto"/>
              </w:rPr>
            </w:pPr>
          </w:p>
        </w:tc>
        <w:tc>
          <w:tcPr>
            <w:tcW w:w="3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4"/>
              </w:rPr>
            </w:pPr>
            <w:hyperlink w:anchor="page42">
              <w:r>
                <w:rPr>
                  <w:rFonts w:ascii="Arial" w:cs="Arial" w:eastAsia="Arial" w:hAnsi="Arial"/>
                  <w:sz w:val="18"/>
                  <w:szCs w:val="18"/>
                  <w:color w:val="0000EE"/>
                  <w:w w:val="84"/>
                </w:rPr>
                <w:t>S-37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THE SERIES B PREFERENCE UNITS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44">
              <w:r>
                <w:rPr>
                  <w:rFonts w:ascii="Arial" w:cs="Arial" w:eastAsia="Arial" w:hAnsi="Arial"/>
                  <w:sz w:val="18"/>
                  <w:szCs w:val="18"/>
                  <w:color w:val="0000EE"/>
                  <w:w w:val="84"/>
                </w:rPr>
                <w:t>S-39</w:t>
              </w:r>
            </w:hyperlink>
          </w:p>
        </w:tc>
      </w:tr>
      <w:tr>
        <w:trPr>
          <w:trHeight w:val="196"/>
        </w:trPr>
        <w:tc>
          <w:tcPr>
            <w:tcW w:w="114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SUMMARY OF OUR PARTNERSHIP AGREEMENT</w:t>
              </w:r>
            </w:hyperlink>
          </w:p>
        </w:tc>
        <w:tc>
          <w:tcPr>
            <w:tcW w:w="380" w:type="dxa"/>
            <w:vAlign w:val="bottom"/>
            <w:tcBorders>
              <w:top w:val="single" w:sz="8" w:color="0000EE"/>
            </w:tcBorders>
            <w:gridSpan w:val="2"/>
          </w:tcPr>
          <w:p>
            <w:pPr>
              <w:spacing w:after="0"/>
              <w:rPr>
                <w:sz w:val="17"/>
                <w:szCs w:val="17"/>
                <w:color w:val="auto"/>
              </w:rPr>
            </w:pPr>
          </w:p>
        </w:tc>
        <w:tc>
          <w:tcPr>
            <w:tcW w:w="4340" w:type="dxa"/>
            <w:vAlign w:val="bottom"/>
            <w:gridSpan w:val="7"/>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53">
              <w:r>
                <w:rPr>
                  <w:rFonts w:ascii="Arial" w:cs="Arial" w:eastAsia="Arial" w:hAnsi="Arial"/>
                  <w:sz w:val="18"/>
                  <w:szCs w:val="18"/>
                  <w:color w:val="0000EE"/>
                  <w:w w:val="84"/>
                </w:rPr>
                <w:t>S-48</w:t>
              </w:r>
            </w:hyperlink>
          </w:p>
        </w:tc>
      </w:tr>
      <w:tr>
        <w:trPr>
          <w:trHeight w:val="196"/>
        </w:trPr>
        <w:tc>
          <w:tcPr>
            <w:tcW w:w="1140" w:type="dxa"/>
            <w:vAlign w:val="bottom"/>
          </w:tcPr>
          <w:p>
            <w:pPr>
              <w:spacing w:after="0"/>
              <w:rPr>
                <w:sz w:val="17"/>
                <w:szCs w:val="17"/>
                <w:color w:val="auto"/>
              </w:rPr>
            </w:pPr>
          </w:p>
        </w:tc>
        <w:tc>
          <w:tcPr>
            <w:tcW w:w="476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MATERIAL U.S. FEDERAL INCOME TAX CONSIDERATIONS</w:t>
              </w:r>
            </w:hyperlink>
          </w:p>
        </w:tc>
        <w:tc>
          <w:tcPr>
            <w:tcW w:w="3880" w:type="dxa"/>
            <w:vAlign w:val="bottom"/>
            <w:gridSpan w:val="5"/>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70">
              <w:r>
                <w:rPr>
                  <w:rFonts w:ascii="Arial" w:cs="Arial" w:eastAsia="Arial" w:hAnsi="Arial"/>
                  <w:sz w:val="18"/>
                  <w:szCs w:val="18"/>
                  <w:color w:val="0000EE"/>
                  <w:w w:val="84"/>
                </w:rPr>
                <w:t>S-65</w:t>
              </w:r>
            </w:hyperlink>
          </w:p>
        </w:tc>
      </w:tr>
      <w:tr>
        <w:trPr>
          <w:trHeight w:val="196"/>
        </w:trPr>
        <w:tc>
          <w:tcPr>
            <w:tcW w:w="114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NON-UNITED STATES TAX CONSIDERATIONS</w:t>
              </w:r>
            </w:hyperlink>
          </w:p>
        </w:tc>
        <w:tc>
          <w:tcPr>
            <w:tcW w:w="4940" w:type="dxa"/>
            <w:vAlign w:val="bottom"/>
            <w:gridSpan w:val="10"/>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79">
              <w:r>
                <w:rPr>
                  <w:rFonts w:ascii="Arial" w:cs="Arial" w:eastAsia="Arial" w:hAnsi="Arial"/>
                  <w:sz w:val="18"/>
                  <w:szCs w:val="18"/>
                  <w:color w:val="0000EE"/>
                  <w:w w:val="84"/>
                </w:rPr>
                <w:t>S-74</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UNDERWRITING</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80">
              <w:r>
                <w:rPr>
                  <w:rFonts w:ascii="Arial" w:cs="Arial" w:eastAsia="Arial" w:hAnsi="Arial"/>
                  <w:sz w:val="18"/>
                  <w:szCs w:val="18"/>
                  <w:color w:val="0000EE"/>
                  <w:w w:val="84"/>
                </w:rPr>
                <w:t>S-75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LEGAL MATTERS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87">
              <w:r>
                <w:rPr>
                  <w:rFonts w:ascii="Arial" w:cs="Arial" w:eastAsia="Arial" w:hAnsi="Arial"/>
                  <w:sz w:val="18"/>
                  <w:szCs w:val="18"/>
                  <w:color w:val="0000EE"/>
                  <w:w w:val="84"/>
                </w:rPr>
                <w:t>S-82</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7220" w:type="dxa"/>
            <w:vAlign w:val="bottom"/>
            <w:gridSpan w:val="24"/>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87">
              <w:r>
                <w:rPr>
                  <w:rFonts w:ascii="Arial" w:cs="Arial" w:eastAsia="Arial" w:hAnsi="Arial"/>
                  <w:sz w:val="18"/>
                  <w:szCs w:val="18"/>
                  <w:color w:val="0000EE"/>
                  <w:w w:val="84"/>
                </w:rPr>
                <w:t>S-82</w:t>
              </w:r>
            </w:hyperlink>
          </w:p>
        </w:tc>
      </w:tr>
      <w:tr>
        <w:trPr>
          <w:trHeight w:val="196"/>
        </w:trPr>
        <w:tc>
          <w:tcPr>
            <w:tcW w:w="1140" w:type="dxa"/>
            <w:vAlign w:val="bottom"/>
          </w:tcPr>
          <w:p>
            <w:pPr>
              <w:spacing w:after="0"/>
              <w:rPr>
                <w:sz w:val="17"/>
                <w:szCs w:val="17"/>
                <w:color w:val="auto"/>
              </w:rPr>
            </w:pPr>
          </w:p>
        </w:tc>
        <w:tc>
          <w:tcPr>
            <w:tcW w:w="33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EXPENSES RELATED TO THIS OFFERING</w:t>
              </w:r>
            </w:hyperlink>
          </w:p>
        </w:tc>
        <w:tc>
          <w:tcPr>
            <w:tcW w:w="5320" w:type="dxa"/>
            <w:vAlign w:val="bottom"/>
            <w:gridSpan w:val="13"/>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87">
              <w:r>
                <w:rPr>
                  <w:rFonts w:ascii="Arial" w:cs="Arial" w:eastAsia="Arial" w:hAnsi="Arial"/>
                  <w:sz w:val="18"/>
                  <w:szCs w:val="18"/>
                  <w:color w:val="0000EE"/>
                  <w:w w:val="84"/>
                </w:rPr>
                <w:t>S-82</w:t>
              </w:r>
            </w:hyperlink>
          </w:p>
        </w:tc>
      </w:tr>
      <w:tr>
        <w:trPr>
          <w:trHeight w:val="196"/>
        </w:trPr>
        <w:tc>
          <w:tcPr>
            <w:tcW w:w="1140" w:type="dxa"/>
            <w:vAlign w:val="bottom"/>
          </w:tcPr>
          <w:p>
            <w:pPr>
              <w:spacing w:after="0"/>
              <w:rPr>
                <w:sz w:val="17"/>
                <w:szCs w:val="17"/>
                <w:color w:val="auto"/>
              </w:rPr>
            </w:pPr>
          </w:p>
        </w:tc>
        <w:tc>
          <w:tcPr>
            <w:tcW w:w="432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87">
              <w:r>
                <w:rPr>
                  <w:rFonts w:ascii="Arial" w:cs="Arial" w:eastAsia="Arial" w:hAnsi="Arial"/>
                  <w:sz w:val="18"/>
                  <w:szCs w:val="18"/>
                  <w:color w:val="0000EE"/>
                  <w:w w:val="96"/>
                </w:rPr>
                <w:t>WHERE YOU CAN FIND ADDITIONAL INFORMATION</w:t>
              </w:r>
            </w:hyperlink>
          </w:p>
        </w:tc>
        <w:tc>
          <w:tcPr>
            <w:tcW w:w="4320" w:type="dxa"/>
            <w:vAlign w:val="bottom"/>
            <w:gridSpan w:val="6"/>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87">
              <w:r>
                <w:rPr>
                  <w:rFonts w:ascii="Arial" w:cs="Arial" w:eastAsia="Arial" w:hAnsi="Arial"/>
                  <w:sz w:val="18"/>
                  <w:szCs w:val="18"/>
                  <w:color w:val="0000EE"/>
                  <w:w w:val="84"/>
                </w:rPr>
                <w:t>S-82</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INCORPORATION OF CERTAIN INFORMATION BY REFERENCE</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89">
              <w:r>
                <w:rPr>
                  <w:rFonts w:ascii="Arial" w:cs="Arial" w:eastAsia="Arial" w:hAnsi="Arial"/>
                  <w:sz w:val="18"/>
                  <w:szCs w:val="18"/>
                  <w:color w:val="0000EE"/>
                  <w:w w:val="84"/>
                </w:rPr>
                <w:t>S-84</w:t>
              </w:r>
            </w:hyperlink>
          </w:p>
        </w:tc>
      </w:tr>
      <w:tr>
        <w:trPr>
          <w:trHeight w:val="444"/>
        </w:trPr>
        <w:tc>
          <w:tcPr>
            <w:tcW w:w="1140" w:type="dxa"/>
            <w:vAlign w:val="bottom"/>
          </w:tcPr>
          <w:p>
            <w:pPr>
              <w:spacing w:after="0"/>
              <w:rPr>
                <w:sz w:val="24"/>
                <w:szCs w:val="24"/>
                <w:color w:val="auto"/>
              </w:rPr>
            </w:pPr>
          </w:p>
        </w:tc>
        <w:tc>
          <w:tcPr>
            <w:tcW w:w="5060" w:type="dxa"/>
            <w:vAlign w:val="bottom"/>
            <w:tcBorders>
              <w:top w:val="single" w:sz="8" w:color="0000EE"/>
            </w:tcBorders>
            <w:gridSpan w:val="28"/>
          </w:tcPr>
          <w:p>
            <w:pPr>
              <w:spacing w:after="0"/>
              <w:rPr>
                <w:sz w:val="20"/>
                <w:szCs w:val="20"/>
                <w:color w:val="auto"/>
              </w:rPr>
            </w:pPr>
            <w:r>
              <w:rPr>
                <w:rFonts w:ascii="Arial" w:cs="Arial" w:eastAsia="Arial" w:hAnsi="Arial"/>
                <w:sz w:val="18"/>
                <w:szCs w:val="18"/>
                <w:b w:val="1"/>
                <w:bCs w:val="1"/>
                <w:color w:val="auto"/>
              </w:rPr>
              <w:t>PROSPECTUS</w:t>
            </w:r>
          </w:p>
        </w:tc>
        <w:tc>
          <w:tcPr>
            <w:tcW w:w="3580" w:type="dxa"/>
            <w:vAlign w:val="bottom"/>
            <w:gridSpan w:val="3"/>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84"/>
        </w:trPr>
        <w:tc>
          <w:tcPr>
            <w:tcW w:w="1140" w:type="dxa"/>
            <w:vAlign w:val="bottom"/>
          </w:tcPr>
          <w:p>
            <w:pPr>
              <w:spacing w:after="0"/>
              <w:rPr>
                <w:sz w:val="15"/>
                <w:szCs w:val="15"/>
                <w:color w:val="auto"/>
              </w:rPr>
            </w:pPr>
          </w:p>
        </w:tc>
        <w:tc>
          <w:tcPr>
            <w:tcW w:w="8640" w:type="dxa"/>
            <w:vAlign w:val="bottom"/>
            <w:gridSpan w:val="31"/>
          </w:tcPr>
          <w:p>
            <w:pPr>
              <w:spacing w:after="0" w:line="184" w:lineRule="exact"/>
              <w:rPr>
                <w:rFonts w:ascii="Arial" w:cs="Arial" w:eastAsia="Arial" w:hAnsi="Arial"/>
                <w:sz w:val="18"/>
                <w:szCs w:val="18"/>
                <w:color w:val="0000EE"/>
              </w:rPr>
            </w:pPr>
            <w:hyperlink w:anchor="page92">
              <w:r>
                <w:rPr>
                  <w:rFonts w:ascii="Arial" w:cs="Arial" w:eastAsia="Arial" w:hAnsi="Arial"/>
                  <w:sz w:val="18"/>
                  <w:szCs w:val="18"/>
                  <w:color w:val="0000EE"/>
                </w:rPr>
                <w:t>FORWARD-LOOKING STATEMENTS</w:t>
              </w:r>
            </w:hyperlink>
          </w:p>
        </w:tc>
        <w:tc>
          <w:tcPr>
            <w:tcW w:w="340" w:type="dxa"/>
            <w:vAlign w:val="bottom"/>
            <w:gridSpan w:val="3"/>
          </w:tcPr>
          <w:p>
            <w:pPr>
              <w:jc w:val="right"/>
              <w:spacing w:after="0" w:line="184" w:lineRule="exact"/>
              <w:rPr>
                <w:rFonts w:ascii="Arial" w:cs="Arial" w:eastAsia="Arial" w:hAnsi="Arial"/>
                <w:sz w:val="18"/>
                <w:szCs w:val="18"/>
                <w:color w:val="0000EE"/>
              </w:rPr>
            </w:pPr>
            <w:hyperlink w:anchor="page92">
              <w:r>
                <w:rPr>
                  <w:rFonts w:ascii="Arial" w:cs="Arial" w:eastAsia="Arial" w:hAnsi="Arial"/>
                  <w:sz w:val="18"/>
                  <w:szCs w:val="18"/>
                  <w:color w:val="0000EE"/>
                </w:rPr>
                <w:t>1</w:t>
              </w:r>
            </w:hyperlink>
          </w:p>
        </w:tc>
      </w:tr>
      <w:tr>
        <w:trPr>
          <w:trHeight w:val="196"/>
        </w:trPr>
        <w:tc>
          <w:tcPr>
            <w:tcW w:w="114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THE COMPANY</w:t>
              </w:r>
            </w:hyperlink>
          </w:p>
        </w:tc>
        <w:tc>
          <w:tcPr>
            <w:tcW w:w="1600" w:type="dxa"/>
            <w:vAlign w:val="bottom"/>
            <w:tcBorders>
              <w:top w:val="single" w:sz="8" w:color="0000EE"/>
            </w:tcBorders>
            <w:gridSpan w:val="10"/>
          </w:tcPr>
          <w:p>
            <w:pPr>
              <w:spacing w:after="0"/>
              <w:rPr>
                <w:sz w:val="17"/>
                <w:szCs w:val="17"/>
                <w:color w:val="auto"/>
              </w:rPr>
            </w:pPr>
          </w:p>
        </w:tc>
        <w:tc>
          <w:tcPr>
            <w:tcW w:w="5780" w:type="dxa"/>
            <w:vAlign w:val="bottom"/>
            <w:gridSpan w:val="16"/>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94">
              <w:r>
                <w:rPr>
                  <w:rFonts w:ascii="Arial" w:cs="Arial" w:eastAsia="Arial" w:hAnsi="Arial"/>
                  <w:sz w:val="18"/>
                  <w:szCs w:val="18"/>
                  <w:color w:val="0000EE"/>
                  <w:w w:val="79"/>
                </w:rPr>
                <w:t>3</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SERVICE OF PROCESS AND ENFORCEMENT OF LIABILITIES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6</w:t>
              </w:r>
            </w:hyperlink>
          </w:p>
        </w:tc>
      </w:tr>
      <w:tr>
        <w:trPr>
          <w:trHeight w:val="196"/>
        </w:trPr>
        <w:tc>
          <w:tcPr>
            <w:tcW w:w="1140" w:type="dxa"/>
            <w:vAlign w:val="bottom"/>
          </w:tcPr>
          <w:p>
            <w:pPr>
              <w:spacing w:after="0"/>
              <w:rPr>
                <w:sz w:val="17"/>
                <w:szCs w:val="17"/>
                <w:color w:val="auto"/>
              </w:rPr>
            </w:pPr>
          </w:p>
        </w:tc>
        <w:tc>
          <w:tcPr>
            <w:tcW w:w="48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ABOUT THIS PROSPECTUS</w:t>
              </w:r>
            </w:hyperlink>
          </w:p>
        </w:tc>
        <w:tc>
          <w:tcPr>
            <w:tcW w:w="3760" w:type="dxa"/>
            <w:vAlign w:val="bottom"/>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7</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32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WHERE YOU CAN FIND ADDITIONAL INFORMATION</w:t>
              </w:r>
            </w:hyperlink>
          </w:p>
        </w:tc>
        <w:tc>
          <w:tcPr>
            <w:tcW w:w="4320" w:type="dxa"/>
            <w:vAlign w:val="bottom"/>
            <w:gridSpan w:val="6"/>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7</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INCORPORATION OF CERTAIN INFORMATION BY REFERENCE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RATIO OF EARNINGS TO FIXED CHARGES AND PREFERENCE UNIT DISTRIBUTIONS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USE OF PROCEEDS</w:t>
              </w:r>
            </w:hyperlink>
          </w:p>
        </w:tc>
        <w:tc>
          <w:tcPr>
            <w:tcW w:w="5260" w:type="dxa"/>
            <w:vAlign w:val="bottom"/>
            <w:gridSpan w:val="22"/>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CAPITALIZATION AND INDEBTEDNESS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10</w:t>
              </w:r>
            </w:hyperlink>
          </w:p>
        </w:tc>
      </w:tr>
      <w:tr>
        <w:trPr>
          <w:trHeight w:val="196"/>
        </w:trPr>
        <w:tc>
          <w:tcPr>
            <w:tcW w:w="114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DESCRIPTION OF COMMON UNITS</w:t>
              </w:r>
            </w:hyperlink>
          </w:p>
        </w:tc>
        <w:tc>
          <w:tcPr>
            <w:tcW w:w="360" w:type="dxa"/>
            <w:vAlign w:val="bottom"/>
            <w:tcBorders>
              <w:top w:val="single" w:sz="8" w:color="0000EE"/>
            </w:tcBorders>
            <w:gridSpan w:val="3"/>
          </w:tcPr>
          <w:p>
            <w:pPr>
              <w:spacing w:after="0"/>
              <w:rPr>
                <w:sz w:val="17"/>
                <w:szCs w:val="17"/>
                <w:color w:val="auto"/>
              </w:rPr>
            </w:pPr>
          </w:p>
        </w:tc>
        <w:tc>
          <w:tcPr>
            <w:tcW w:w="544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39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DESCRIPTION OF SERIES A PREFERENCE UNITS</w:t>
              </w:r>
            </w:hyperlink>
          </w:p>
        </w:tc>
        <w:tc>
          <w:tcPr>
            <w:tcW w:w="470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36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DESCRIPTION OF OTHER CLASSES OF UNITS</w:t>
              </w:r>
            </w:hyperlink>
          </w:p>
        </w:tc>
        <w:tc>
          <w:tcPr>
            <w:tcW w:w="496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29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DESCRIPTION OF DEBT SECURITIES</w:t>
              </w:r>
            </w:hyperlink>
          </w:p>
        </w:tc>
        <w:tc>
          <w:tcPr>
            <w:tcW w:w="568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12</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DESCRIPTION OF WARRANTS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19</w:t>
              </w:r>
            </w:hyperlink>
          </w:p>
        </w:tc>
      </w:tr>
      <w:tr>
        <w:trPr>
          <w:trHeight w:val="196"/>
        </w:trPr>
        <w:tc>
          <w:tcPr>
            <w:tcW w:w="11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3"/>
          </w:tcPr>
          <w:p>
            <w:pPr>
              <w:spacing w:after="0"/>
              <w:rPr>
                <w:sz w:val="17"/>
                <w:szCs w:val="17"/>
                <w:color w:val="auto"/>
              </w:rPr>
            </w:pPr>
          </w:p>
        </w:tc>
        <w:tc>
          <w:tcPr>
            <w:tcW w:w="6220" w:type="dxa"/>
            <w:vAlign w:val="bottom"/>
            <w:gridSpan w:val="18"/>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11">
              <w:r>
                <w:rPr>
                  <w:rFonts w:ascii="Arial" w:cs="Arial" w:eastAsia="Arial" w:hAnsi="Arial"/>
                  <w:sz w:val="18"/>
                  <w:szCs w:val="18"/>
                  <w:color w:val="0000EE"/>
                  <w:w w:val="79"/>
                </w:rPr>
                <w:t>20</w:t>
              </w:r>
            </w:hyperlink>
          </w:p>
        </w:tc>
      </w:tr>
      <w:tr>
        <w:trPr>
          <w:trHeight w:val="196"/>
        </w:trPr>
        <w:tc>
          <w:tcPr>
            <w:tcW w:w="1140" w:type="dxa"/>
            <w:vAlign w:val="bottom"/>
          </w:tcPr>
          <w:p>
            <w:pPr>
              <w:spacing w:after="0"/>
              <w:rPr>
                <w:sz w:val="17"/>
                <w:szCs w:val="17"/>
                <w:color w:val="auto"/>
              </w:rPr>
            </w:pPr>
          </w:p>
        </w:tc>
        <w:tc>
          <w:tcPr>
            <w:tcW w:w="364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111">
              <w:r>
                <w:rPr>
                  <w:rFonts w:ascii="Arial" w:cs="Arial" w:eastAsia="Arial" w:hAnsi="Arial"/>
                  <w:sz w:val="18"/>
                  <w:szCs w:val="18"/>
                  <w:color w:val="0000EE"/>
                  <w:w w:val="94"/>
                </w:rPr>
                <w:t>DESCRIPTION OF THE COMBINATION UNITS</w:t>
              </w:r>
            </w:hyperlink>
          </w:p>
        </w:tc>
        <w:tc>
          <w:tcPr>
            <w:tcW w:w="500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11">
              <w:r>
                <w:rPr>
                  <w:rFonts w:ascii="Arial" w:cs="Arial" w:eastAsia="Arial" w:hAnsi="Arial"/>
                  <w:sz w:val="18"/>
                  <w:szCs w:val="18"/>
                  <w:color w:val="0000EE"/>
                  <w:w w:val="79"/>
                </w:rPr>
                <w:t>20</w:t>
              </w:r>
            </w:hyperlink>
          </w:p>
        </w:tc>
      </w:tr>
      <w:tr>
        <w:trPr>
          <w:trHeight w:val="196"/>
        </w:trPr>
        <w:tc>
          <w:tcPr>
            <w:tcW w:w="1140" w:type="dxa"/>
            <w:vAlign w:val="bottom"/>
          </w:tcPr>
          <w:p>
            <w:pPr>
              <w:spacing w:after="0"/>
              <w:rPr>
                <w:sz w:val="17"/>
                <w:szCs w:val="17"/>
                <w:color w:val="auto"/>
              </w:rPr>
            </w:pPr>
          </w:p>
        </w:tc>
        <w:tc>
          <w:tcPr>
            <w:tcW w:w="39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SUMMARY OF OUR PARTNERSHIP AGREEMENT</w:t>
              </w:r>
            </w:hyperlink>
          </w:p>
        </w:tc>
        <w:tc>
          <w:tcPr>
            <w:tcW w:w="472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12">
              <w:r>
                <w:rPr>
                  <w:rFonts w:ascii="Arial" w:cs="Arial" w:eastAsia="Arial" w:hAnsi="Arial"/>
                  <w:sz w:val="18"/>
                  <w:szCs w:val="18"/>
                  <w:color w:val="0000EE"/>
                  <w:w w:val="79"/>
                </w:rPr>
                <w:t>21</w:t>
              </w:r>
            </w:hyperlink>
          </w:p>
        </w:tc>
      </w:tr>
      <w:tr>
        <w:trPr>
          <w:trHeight w:val="196"/>
        </w:trPr>
        <w:tc>
          <w:tcPr>
            <w:tcW w:w="1140" w:type="dxa"/>
            <w:vAlign w:val="bottom"/>
          </w:tcPr>
          <w:p>
            <w:pPr>
              <w:spacing w:after="0"/>
              <w:rPr>
                <w:sz w:val="17"/>
                <w:szCs w:val="17"/>
                <w:color w:val="auto"/>
              </w:rPr>
            </w:pPr>
          </w:p>
        </w:tc>
        <w:tc>
          <w:tcPr>
            <w:tcW w:w="622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127">
              <w:r>
                <w:rPr>
                  <w:rFonts w:ascii="Arial" w:cs="Arial" w:eastAsia="Arial" w:hAnsi="Arial"/>
                  <w:sz w:val="18"/>
                  <w:szCs w:val="18"/>
                  <w:color w:val="0000EE"/>
                  <w:w w:val="94"/>
                </w:rPr>
                <w:t>OUR CASH DISTRIBUTION POLICY AND RESTRICTIONS ON DISTRIBUTIONS</w:t>
              </w:r>
            </w:hyperlink>
          </w:p>
        </w:tc>
        <w:tc>
          <w:tcPr>
            <w:tcW w:w="24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27">
              <w:r>
                <w:rPr>
                  <w:rFonts w:ascii="Arial" w:cs="Arial" w:eastAsia="Arial" w:hAnsi="Arial"/>
                  <w:sz w:val="18"/>
                  <w:szCs w:val="18"/>
                  <w:color w:val="0000EE"/>
                  <w:w w:val="79"/>
                </w:rPr>
                <w:t>36</w:t>
              </w:r>
            </w:hyperlink>
          </w:p>
        </w:tc>
      </w:tr>
      <w:tr>
        <w:trPr>
          <w:trHeight w:val="196"/>
        </w:trPr>
        <w:tc>
          <w:tcPr>
            <w:tcW w:w="1140" w:type="dxa"/>
            <w:vAlign w:val="bottom"/>
          </w:tcPr>
          <w:p>
            <w:pPr>
              <w:spacing w:after="0"/>
              <w:rPr>
                <w:sz w:val="17"/>
                <w:szCs w:val="17"/>
                <w:color w:val="auto"/>
              </w:rPr>
            </w:pPr>
          </w:p>
        </w:tc>
        <w:tc>
          <w:tcPr>
            <w:tcW w:w="476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139">
              <w:r>
                <w:rPr>
                  <w:rFonts w:ascii="Arial" w:cs="Arial" w:eastAsia="Arial" w:hAnsi="Arial"/>
                  <w:sz w:val="18"/>
                  <w:szCs w:val="18"/>
                  <w:color w:val="0000EE"/>
                  <w:w w:val="94"/>
                </w:rPr>
                <w:t>MATERIAL U.S. FEDERAL INCOME TAX CONSIDERATIONS</w:t>
              </w:r>
            </w:hyperlink>
          </w:p>
        </w:tc>
        <w:tc>
          <w:tcPr>
            <w:tcW w:w="388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39">
              <w:r>
                <w:rPr>
                  <w:rFonts w:ascii="Arial" w:cs="Arial" w:eastAsia="Arial" w:hAnsi="Arial"/>
                  <w:sz w:val="18"/>
                  <w:szCs w:val="18"/>
                  <w:color w:val="0000EE"/>
                  <w:w w:val="79"/>
                </w:rPr>
                <w:t>48</w:t>
              </w:r>
            </w:hyperlink>
          </w:p>
        </w:tc>
      </w:tr>
      <w:tr>
        <w:trPr>
          <w:trHeight w:val="196"/>
        </w:trPr>
        <w:tc>
          <w:tcPr>
            <w:tcW w:w="114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139">
              <w:r>
                <w:rPr>
                  <w:rFonts w:ascii="Arial" w:cs="Arial" w:eastAsia="Arial" w:hAnsi="Arial"/>
                  <w:sz w:val="18"/>
                  <w:szCs w:val="18"/>
                  <w:color w:val="0000EE"/>
                  <w:w w:val="93"/>
                </w:rPr>
                <w:t>NON-UNITED STATES TAX CONSIDERATIONS</w:t>
              </w:r>
            </w:hyperlink>
          </w:p>
        </w:tc>
        <w:tc>
          <w:tcPr>
            <w:tcW w:w="494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39">
              <w:r>
                <w:rPr>
                  <w:rFonts w:ascii="Arial" w:cs="Arial" w:eastAsia="Arial" w:hAnsi="Arial"/>
                  <w:sz w:val="18"/>
                  <w:szCs w:val="18"/>
                  <w:color w:val="0000EE"/>
                  <w:w w:val="79"/>
                </w:rPr>
                <w:t>48</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PLAN OF DISTRIBUTION</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48</w:t>
              </w:r>
            </w:hyperlink>
          </w:p>
        </w:tc>
      </w:tr>
      <w:tr>
        <w:trPr>
          <w:trHeight w:val="196"/>
        </w:trPr>
        <w:tc>
          <w:tcPr>
            <w:tcW w:w="11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41">
              <w:r>
                <w:rPr>
                  <w:rFonts w:ascii="Arial" w:cs="Arial" w:eastAsia="Arial" w:hAnsi="Arial"/>
                  <w:sz w:val="18"/>
                  <w:szCs w:val="18"/>
                  <w:color w:val="0000EE"/>
                  <w:w w:val="88"/>
                </w:rPr>
                <w:t>EXPENSES</w:t>
              </w:r>
            </w:hyperlink>
          </w:p>
        </w:tc>
        <w:tc>
          <w:tcPr>
            <w:tcW w:w="1100" w:type="dxa"/>
            <w:vAlign w:val="bottom"/>
            <w:tcBorders>
              <w:top w:val="single" w:sz="8" w:color="0000EE"/>
            </w:tcBorders>
            <w:gridSpan w:val="6"/>
          </w:tcPr>
          <w:p>
            <w:pPr>
              <w:spacing w:after="0"/>
              <w:rPr>
                <w:sz w:val="17"/>
                <w:szCs w:val="17"/>
                <w:color w:val="auto"/>
              </w:rPr>
            </w:pPr>
          </w:p>
        </w:tc>
        <w:tc>
          <w:tcPr>
            <w:tcW w:w="6640" w:type="dxa"/>
            <w:vAlign w:val="bottom"/>
            <w:gridSpan w:val="2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41">
              <w:r>
                <w:rPr>
                  <w:rFonts w:ascii="Arial" w:cs="Arial" w:eastAsia="Arial" w:hAnsi="Arial"/>
                  <w:sz w:val="18"/>
                  <w:szCs w:val="18"/>
                  <w:color w:val="0000EE"/>
                  <w:w w:val="79"/>
                </w:rPr>
                <w:t>50</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LEGAL MATTERS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50</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41">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7220" w:type="dxa"/>
            <w:vAlign w:val="bottom"/>
            <w:gridSpan w:val="2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41">
              <w:r>
                <w:rPr>
                  <w:rFonts w:ascii="Arial" w:cs="Arial" w:eastAsia="Arial" w:hAnsi="Arial"/>
                  <w:sz w:val="18"/>
                  <w:szCs w:val="18"/>
                  <w:color w:val="0000EE"/>
                  <w:w w:val="79"/>
                </w:rPr>
                <w:t>50</w:t>
              </w:r>
            </w:hyperlink>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of Certain Information by Reference". To the extent the description of our securities in this prospectus supplement differs from the description of our securities in the accompanying prospectus, you should rely on the information in this prospectus supplement.</w:t>
      </w:r>
    </w:p>
    <w:p>
      <w:pPr>
        <w:spacing w:after="0" w:line="174" w:lineRule="exact"/>
        <w:rPr>
          <w:sz w:val="20"/>
          <w:szCs w:val="20"/>
          <w:color w:val="auto"/>
        </w:rPr>
      </w:pPr>
    </w:p>
    <w:p>
      <w:pPr>
        <w:ind w:right="60" w:firstLine="345"/>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w:t>
      </w:r>
    </w:p>
    <w:p>
      <w:pPr>
        <w:spacing w:after="0" w:line="174"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expect that delivery of the Series B Preference Units will be made to investors on , 2018, which will be the fifth business day following the date of pricing of the Series B Preference Units (such settlement being referred to as "T+5"). Under Rule 15c6-1 under the Exchange Act, trades in the secondary market are required to settle in two business days, unless the parties to any such trade expressly agree otherwise. Accordingly, purchasers who wish to trade their Series B Preference Units on the initial pricing date of the Series B Preference Units or the succeeding two business days will be required, by virtue of the fact that the Series B Preference Units initially will settle in T+5, to specify an alternate settlement arrangement at the time of any such trade to prevent a failed settlement and should consult their advisors.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927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92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jc w:val="both"/>
        <w:ind w:left="240" w:right="60" w:firstLine="351"/>
        <w:spacing w:after="0" w:line="298" w:lineRule="auto"/>
        <w:rPr>
          <w:sz w:val="20"/>
          <w:szCs w:val="20"/>
          <w:color w:val="auto"/>
        </w:rPr>
      </w:pPr>
      <w:r>
        <w:rPr>
          <w:rFonts w:ascii="Arial" w:cs="Arial" w:eastAsia="Arial" w:hAnsi="Arial"/>
          <w:sz w:val="16"/>
          <w:szCs w:val="16"/>
          <w:i w:val="1"/>
          <w:iCs w:val="1"/>
          <w:color w:val="auto"/>
        </w:rPr>
        <w:t>This summary highlights information contained elsewhere in this prospectus supplement and accompanying prospectus. The information presented in this prospectus supplement assumes, unless otherwise noted, that the underwriters do not exercise their option to purchase additional Series B Preference Units. You should read "Risk Factors" beginning on page S-23 of this prospectus supplement and beginning on page 8 of our Annual Report on Form 20-F filed with the Securities and Exchange Commission ("SEC") on February 13, 2017 ("Annual Report on Form 20-F").</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 this prospectus supplement, unless otherwise indicated, references to:</w:t>
      </w:r>
    </w:p>
    <w:p>
      <w:pPr>
        <w:spacing w:after="0" w:line="252" w:lineRule="exact"/>
        <w:rPr>
          <w:sz w:val="20"/>
          <w:szCs w:val="20"/>
          <w:color w:val="auto"/>
        </w:rPr>
      </w:pPr>
    </w:p>
    <w:p>
      <w:pPr>
        <w:ind w:left="1320" w:right="84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"GasLog Partners", the "Partnership", "we", "our", "us" or similar terms refer to GasLog Partners LP or any one or more of its subsidiaries, or to all such entities unless the context otherwise indicates;</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"GasLog", depending on the context, refers to GasLog Ltd. and to any one or more of its direct and indirect subsidiaries, other than GasLog Partners;</w:t>
      </w:r>
    </w:p>
    <w:p>
      <w:pPr>
        <w:spacing w:after="0" w:line="199" w:lineRule="exact"/>
        <w:rPr>
          <w:rFonts w:ascii="Arial" w:cs="Arial" w:eastAsia="Arial" w:hAnsi="Arial"/>
          <w:sz w:val="18"/>
          <w:szCs w:val="18"/>
          <w:color w:val="auto"/>
        </w:rPr>
      </w:pPr>
    </w:p>
    <w:p>
      <w:pPr>
        <w:ind w:left="1320" w:right="50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general partner" refers to GasLog Partners GP LLC, the general partner of GasLog Partners and a wholly owned subsidiary of GasLog;</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"GasLog LNG Services" refers to GasLog LNG Services Ltd., a wholly owned subsidiary of GasLog;</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"MSL" refers to Methane Services Limited, a subsidiary of Shell;</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"Mitsui" refers to Mitsui &amp; Co., Ltd.;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"Lepta Shipping" refers to Lepta Shipping Co., Ltd., a subsidiary of Mitsui;</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"Total" refers to Total Gas &amp; Power Chartering Limited, a wholly owned subsidiary of Total S.A.;</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"LNG" refers to liquefied natural gas;</w:t>
      </w:r>
    </w:p>
    <w:p>
      <w:pPr>
        <w:spacing w:after="0" w:line="238" w:lineRule="exact"/>
        <w:rPr>
          <w:rFonts w:ascii="Arial" w:cs="Arial" w:eastAsia="Arial" w:hAnsi="Arial"/>
          <w:sz w:val="18"/>
          <w:szCs w:val="18"/>
          <w:color w:val="auto"/>
        </w:rPr>
      </w:pPr>
    </w:p>
    <w:p>
      <w:pPr>
        <w:ind w:left="1320" w:right="46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"Series A Preference Units" refers to the 8.625% Series A Cumulative Redeemable Perpetual Fixed to Floating Rate Preference Units issued by us on May 15, 2017;</w:t>
      </w:r>
    </w:p>
    <w:p>
      <w:pPr>
        <w:spacing w:after="0" w:line="212" w:lineRule="exact"/>
        <w:rPr>
          <w:rFonts w:ascii="Arial" w:cs="Arial" w:eastAsia="Arial" w:hAnsi="Arial"/>
          <w:sz w:val="18"/>
          <w:szCs w:val="18"/>
          <w:color w:val="auto"/>
        </w:rPr>
      </w:pPr>
    </w:p>
    <w:p>
      <w:pPr>
        <w:ind w:left="1320" w:right="22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"omnibus agreement" refers to the Omnibus Agreement dated May 12, 2014 by and among the Partnership, GasLog, our general partner and GasLog Partners Holdings LLC, as amended;</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"IPO" refers to the initial public offering of GasLog Partners on May 12, 2014;</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"IFRS" refers to International Financial Reporting Standards;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"NYSE" refers to the New York Stock Exchange;</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"SEC" refers to the U.S. Securities and Exchange Commission;</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"dollars" and "$" refer to, and amounts are presented in, U.S. dollars;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"cbm" refers to cubic meters.</w:t>
      </w:r>
    </w:p>
    <w:p>
      <w:pPr>
        <w:sectPr>
          <w:pgSz w:w="11900" w:h="16838" w:orient="portrait"/>
          <w:cols w:equalWidth="0" w:num="1">
            <w:col w:w="11180"/>
          </w:cols>
          <w:pgMar w:left="240" w:top="13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106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10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220" w:firstLine="348"/>
        <w:spacing w:after="0" w:line="256"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under long-term charters, which we define as charters of five full years or more. Our fleet of twelve LNG carriers, which have fixed charter terms expiring between 2018 and 2026 that can be extended at the charterers' option, were contributed to us by, or acquired by us from, GasLog, which controls us through its ownership of our general partner.</w:t>
      </w:r>
    </w:p>
    <w:p>
      <w:pPr>
        <w:spacing w:after="0" w:line="197" w:lineRule="exact"/>
        <w:rPr>
          <w:sz w:val="20"/>
          <w:szCs w:val="20"/>
          <w:color w:val="auto"/>
        </w:rPr>
      </w:pPr>
    </w:p>
    <w:p>
      <w:pPr>
        <w:ind w:left="240" w:right="40" w:firstLine="351"/>
        <w:spacing w:after="0" w:line="298" w:lineRule="auto"/>
        <w:rPr>
          <w:sz w:val="20"/>
          <w:szCs w:val="20"/>
          <w:color w:val="auto"/>
        </w:rPr>
      </w:pPr>
      <w:r>
        <w:rPr>
          <w:rFonts w:ascii="Arial" w:cs="Arial" w:eastAsia="Arial" w:hAnsi="Arial"/>
          <w:sz w:val="16"/>
          <w:szCs w:val="16"/>
          <w:color w:val="auto"/>
        </w:rPr>
        <w:t>Our fleet consists of twelve LNG carriers, including seven vessels with modern tri-fuel diesel electric ("TFDE") propulsion technology and five modern steam-powered ("Steam") vessels that all operate under long-term charters with subsidiaries of Shell. We also have options and other rights under which we may acquire additional LNG carriers from GasLog, as described below. We believe that such options and rights provide us with significant built-in growth opportunities. We may also acquire vessels from shipyards or other owners in the future.</w:t>
      </w:r>
    </w:p>
    <w:p>
      <w:pPr>
        <w:spacing w:after="0" w:line="167" w:lineRule="exact"/>
        <w:rPr>
          <w:sz w:val="20"/>
          <w:szCs w:val="20"/>
          <w:color w:val="auto"/>
        </w:rPr>
      </w:pPr>
    </w:p>
    <w:p>
      <w:pPr>
        <w:ind w:left="240" w:right="120" w:firstLine="348"/>
        <w:spacing w:after="0" w:line="294" w:lineRule="auto"/>
        <w:rPr>
          <w:sz w:val="20"/>
          <w:szCs w:val="20"/>
          <w:color w:val="auto"/>
        </w:rPr>
      </w:pPr>
      <w:r>
        <w:rPr>
          <w:rFonts w:ascii="Arial" w:cs="Arial" w:eastAsia="Arial" w:hAnsi="Arial"/>
          <w:sz w:val="16"/>
          <w:szCs w:val="16"/>
          <w:color w:val="auto"/>
        </w:rPr>
        <w:t>We operate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common unit distributions. Among other things, our ability to acquire additional LNG carriers will be dependent upon our ability to raise additional equity and debt financing. For further discussion of the risks that we face, please see "Risk Factors" beginning on page S-23 and please read "Item 3. Key Information—D. Risk Factors" of our Annual Report on Form 20-F.</w:t>
      </w:r>
    </w:p>
    <w:p>
      <w:pPr>
        <w:spacing w:after="0" w:line="170" w:lineRule="exact"/>
        <w:rPr>
          <w:sz w:val="20"/>
          <w:szCs w:val="20"/>
          <w:color w:val="auto"/>
        </w:rPr>
      </w:pPr>
    </w:p>
    <w:p>
      <w:pPr>
        <w:ind w:left="240" w:firstLine="348"/>
        <w:spacing w:after="0" w:line="286" w:lineRule="auto"/>
        <w:rPr>
          <w:sz w:val="20"/>
          <w:szCs w:val="20"/>
          <w:color w:val="auto"/>
        </w:rPr>
      </w:pPr>
      <w:r>
        <w:rPr>
          <w:rFonts w:ascii="Arial" w:cs="Arial" w:eastAsia="Arial" w:hAnsi="Arial"/>
          <w:sz w:val="16"/>
          <w:szCs w:val="16"/>
          <w:color w:val="auto"/>
        </w:rPr>
        <w:t>We are controlled by GasLog, which currently holds a 25.9% interest (including the 2% interest through general partner units) in us (before giving effect to this offering), and owns and controls our general partner. The issuance of the Series B Preference Units in this offering will not affect this limited partner percentage ownership of GasLog, as the Series B Preference Units will not be included in the calculation of "Percentage Interest" as defined in our Partnership Agreement. GasLog is, we believe, a leading independent international owner, operator and manager of LNG carriers and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symbol "GLOG". At the time of its initial public offering, GasLog's wholly owned fleet consisted of ten LNG carriers, including eight newbuildings on order. Since its initial public offering, GasLog has increased by approximately 70% the total carrying capacity of vessels in its fleet, which includes vessels on the water and newbuildings on order. As of January 9, 2018, GasLog's wholly owned fleet includes 16 LNG carriers (including eleven ships in operation and five LNG carriers on order) and GasLog has one LNG carrier operating under its technical management for third parties and a vessel secured under a long-term bareboat charter from Lepta Shipping, a subsidiary of Mitsui. See "—Our Fleet" and "—Additional Vessels".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906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59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information about our fleet as of January 9, 2018:</w:t>
      </w:r>
    </w:p>
    <w:p>
      <w:pPr>
        <w:spacing w:after="0" w:line="20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Cargo</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Year</w:t>
            </w: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Capacity</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Charter</w:t>
            </w:r>
          </w:p>
        </w:tc>
        <w:tc>
          <w:tcPr>
            <w:tcW w:w="16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Optional</w:t>
            </w: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1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Vessel Name</w:t>
            </w:r>
          </w:p>
        </w:tc>
        <w:tc>
          <w:tcPr>
            <w:tcW w:w="160" w:type="dxa"/>
            <w:vAlign w:val="bottom"/>
          </w:tcPr>
          <w:p>
            <w:pPr>
              <w:spacing w:after="0"/>
              <w:rPr>
                <w:sz w:val="14"/>
                <w:szCs w:val="14"/>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Built</w:t>
            </w:r>
          </w:p>
        </w:tc>
        <w:tc>
          <w:tcPr>
            <w:tcW w:w="160" w:type="dxa"/>
            <w:vAlign w:val="bottom"/>
          </w:tcPr>
          <w:p>
            <w:pPr>
              <w:spacing w:after="0"/>
              <w:rPr>
                <w:sz w:val="14"/>
                <w:szCs w:val="14"/>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(cbm)</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Propulsion</w:t>
            </w:r>
          </w:p>
        </w:tc>
        <w:tc>
          <w:tcPr>
            <w:tcW w:w="160" w:type="dxa"/>
            <w:vAlign w:val="bottom"/>
          </w:tcPr>
          <w:p>
            <w:pPr>
              <w:spacing w:after="0"/>
              <w:rPr>
                <w:sz w:val="14"/>
                <w:szCs w:val="14"/>
                <w:color w:val="auto"/>
              </w:rPr>
            </w:pPr>
          </w:p>
        </w:tc>
        <w:tc>
          <w:tcPr>
            <w:tcW w:w="13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Expiration</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7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2013</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155,000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May 2018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color w:val="auto"/>
              </w:rPr>
              <w:t>2</w:t>
            </w:r>
          </w:p>
        </w:tc>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GasLog Santiago</w:t>
            </w:r>
          </w:p>
        </w:tc>
        <w:tc>
          <w:tcPr>
            <w:tcW w:w="780" w:type="dxa"/>
            <w:vAlign w:val="bottom"/>
            <w:gridSpan w:val="3"/>
          </w:tcPr>
          <w:p>
            <w:pPr>
              <w:ind w:left="260"/>
              <w:spacing w:after="0"/>
              <w:rPr>
                <w:sz w:val="20"/>
                <w:szCs w:val="20"/>
                <w:color w:val="auto"/>
              </w:rPr>
            </w:pPr>
            <w:r>
              <w:rPr>
                <w:rFonts w:ascii="Arial" w:cs="Arial" w:eastAsia="Arial" w:hAnsi="Arial"/>
                <w:sz w:val="18"/>
                <w:szCs w:val="18"/>
                <w:color w:val="auto"/>
              </w:rPr>
              <w:t>2013</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155,000</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July 2018</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Sydney</w:t>
            </w:r>
          </w:p>
        </w:tc>
        <w:tc>
          <w:tcPr>
            <w:tcW w:w="7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2013</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155,000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9"/>
              </w:rPr>
              <w:t>September 2018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
        </w:trPr>
        <w:tc>
          <w:tcPr>
            <w:tcW w:w="440" w:type="dxa"/>
            <w:vAlign w:val="bottom"/>
          </w:tcPr>
          <w:p>
            <w:pPr>
              <w:spacing w:after="0" w:line="19" w:lineRule="exact"/>
              <w:rPr>
                <w:sz w:val="20"/>
                <w:szCs w:val="20"/>
                <w:color w:val="auto"/>
              </w:rPr>
            </w:pPr>
            <w:r>
              <w:rPr>
                <w:rFonts w:ascii="Arial" w:cs="Arial" w:eastAsia="Arial" w:hAnsi="Arial"/>
                <w:sz w:val="2"/>
                <w:szCs w:val="2"/>
                <w:b w:val="1"/>
                <w:bCs w:val="1"/>
                <w:color w:val="auto"/>
              </w:rPr>
              <w:t>4</w:t>
            </w:r>
          </w:p>
        </w:tc>
        <w:tc>
          <w:tcPr>
            <w:tcW w:w="2140" w:type="dxa"/>
            <w:vAlign w:val="bottom"/>
            <w:gridSpan w:val="2"/>
          </w:tcPr>
          <w:p>
            <w:pPr>
              <w:spacing w:after="0" w:line="19" w:lineRule="exact"/>
              <w:rPr>
                <w:sz w:val="20"/>
                <w:szCs w:val="20"/>
                <w:color w:val="auto"/>
              </w:rPr>
            </w:pPr>
            <w:r>
              <w:rPr>
                <w:rFonts w:ascii="Arial" w:cs="Arial" w:eastAsia="Arial" w:hAnsi="Arial"/>
                <w:sz w:val="2"/>
                <w:szCs w:val="2"/>
                <w:i w:val="1"/>
                <w:iCs w:val="1"/>
                <w:color w:val="auto"/>
              </w:rPr>
              <w:t>GasLog Seattle</w:t>
            </w:r>
          </w:p>
        </w:tc>
        <w:tc>
          <w:tcPr>
            <w:tcW w:w="780" w:type="dxa"/>
            <w:vAlign w:val="bottom"/>
            <w:gridSpan w:val="3"/>
          </w:tcPr>
          <w:p>
            <w:pPr>
              <w:ind w:left="260"/>
              <w:spacing w:after="0" w:line="19" w:lineRule="exact"/>
              <w:rPr>
                <w:sz w:val="20"/>
                <w:szCs w:val="20"/>
                <w:color w:val="auto"/>
              </w:rPr>
            </w:pPr>
            <w:r>
              <w:rPr>
                <w:rFonts w:ascii="Arial" w:cs="Arial" w:eastAsia="Arial" w:hAnsi="Arial"/>
                <w:sz w:val="2"/>
                <w:szCs w:val="2"/>
                <w:color w:val="auto"/>
              </w:rPr>
              <w:t>2013</w:t>
            </w:r>
          </w:p>
        </w:tc>
        <w:tc>
          <w:tcPr>
            <w:tcW w:w="900" w:type="dxa"/>
            <w:vAlign w:val="bottom"/>
            <w:gridSpan w:val="2"/>
          </w:tcPr>
          <w:p>
            <w:pPr>
              <w:ind w:left="180"/>
              <w:spacing w:after="0" w:line="19" w:lineRule="exact"/>
              <w:rPr>
                <w:sz w:val="20"/>
                <w:szCs w:val="20"/>
                <w:color w:val="auto"/>
              </w:rPr>
            </w:pPr>
            <w:r>
              <w:rPr>
                <w:rFonts w:ascii="Arial" w:cs="Arial" w:eastAsia="Arial" w:hAnsi="Arial"/>
                <w:sz w:val="2"/>
                <w:szCs w:val="2"/>
                <w:color w:val="auto"/>
              </w:rPr>
              <w:t>155,000</w:t>
            </w:r>
          </w:p>
        </w:tc>
        <w:tc>
          <w:tcPr>
            <w:tcW w:w="640" w:type="dxa"/>
            <w:vAlign w:val="bottom"/>
          </w:tcPr>
          <w:p>
            <w:pPr>
              <w:jc w:val="center"/>
              <w:spacing w:after="0" w:line="19" w:lineRule="exact"/>
              <w:rPr>
                <w:sz w:val="20"/>
                <w:szCs w:val="20"/>
                <w:color w:val="auto"/>
              </w:rPr>
            </w:pPr>
            <w:r>
              <w:rPr>
                <w:rFonts w:ascii="Arial" w:cs="Arial" w:eastAsia="Arial" w:hAnsi="Arial"/>
                <w:sz w:val="2"/>
                <w:szCs w:val="2"/>
                <w:color w:val="auto"/>
              </w:rPr>
              <w:t>Shell</w:t>
            </w:r>
          </w:p>
        </w:tc>
        <w:tc>
          <w:tcPr>
            <w:tcW w:w="160" w:type="dxa"/>
            <w:vAlign w:val="bottom"/>
          </w:tcPr>
          <w:p>
            <w:pPr>
              <w:spacing w:after="0" w:line="20" w:lineRule="exact"/>
              <w:rPr>
                <w:sz w:val="1"/>
                <w:szCs w:val="1"/>
                <w:color w:val="auto"/>
              </w:rPr>
            </w:pPr>
          </w:p>
        </w:tc>
        <w:tc>
          <w:tcPr>
            <w:tcW w:w="720" w:type="dxa"/>
            <w:vAlign w:val="bottom"/>
          </w:tcPr>
          <w:p>
            <w:pPr>
              <w:jc w:val="center"/>
              <w:spacing w:after="0" w:line="19" w:lineRule="exact"/>
              <w:rPr>
                <w:sz w:val="20"/>
                <w:szCs w:val="20"/>
                <w:color w:val="auto"/>
              </w:rPr>
            </w:pPr>
            <w:r>
              <w:rPr>
                <w:rFonts w:ascii="Arial" w:cs="Arial" w:eastAsia="Arial" w:hAnsi="Arial"/>
                <w:sz w:val="2"/>
                <w:szCs w:val="2"/>
                <w:color w:val="auto"/>
              </w:rPr>
              <w:t>TFDE</w:t>
            </w:r>
          </w:p>
        </w:tc>
        <w:tc>
          <w:tcPr>
            <w:tcW w:w="160" w:type="dxa"/>
            <w:vAlign w:val="bottom"/>
          </w:tcPr>
          <w:p>
            <w:pPr>
              <w:spacing w:after="0" w:line="20" w:lineRule="exact"/>
              <w:rPr>
                <w:sz w:val="1"/>
                <w:szCs w:val="1"/>
                <w:color w:val="auto"/>
              </w:rPr>
            </w:pPr>
          </w:p>
        </w:tc>
        <w:tc>
          <w:tcPr>
            <w:tcW w:w="1340" w:type="dxa"/>
            <w:vAlign w:val="bottom"/>
          </w:tcPr>
          <w:p>
            <w:pPr>
              <w:spacing w:after="0" w:line="19" w:lineRule="exact"/>
              <w:rPr>
                <w:sz w:val="20"/>
                <w:szCs w:val="20"/>
                <w:color w:val="auto"/>
              </w:rPr>
            </w:pPr>
            <w:r>
              <w:rPr>
                <w:rFonts w:ascii="Arial" w:cs="Arial" w:eastAsia="Arial" w:hAnsi="Arial"/>
                <w:sz w:val="2"/>
                <w:szCs w:val="2"/>
                <w:color w:val="auto"/>
              </w:rPr>
              <w:t>December 2020</w:t>
            </w:r>
          </w:p>
        </w:tc>
        <w:tc>
          <w:tcPr>
            <w:tcW w:w="1440" w:type="dxa"/>
            <w:vAlign w:val="bottom"/>
            <w:gridSpan w:val="3"/>
          </w:tcPr>
          <w:p>
            <w:pPr>
              <w:jc w:val="right"/>
              <w:ind w:right="220"/>
              <w:spacing w:after="0" w:line="19" w:lineRule="exact"/>
              <w:rPr>
                <w:sz w:val="20"/>
                <w:szCs w:val="20"/>
                <w:color w:val="auto"/>
              </w:rPr>
            </w:pPr>
            <w:r>
              <w:rPr>
                <w:rFonts w:ascii="Arial" w:cs="Arial" w:eastAsia="Arial" w:hAnsi="Arial"/>
                <w:sz w:val="2"/>
                <w:szCs w:val="2"/>
                <w:color w:val="auto"/>
              </w:rPr>
              <w:t>2025 - 2030</w:t>
            </w:r>
          </w:p>
        </w:tc>
        <w:tc>
          <w:tcPr>
            <w:tcW w:w="0" w:type="dxa"/>
            <w:vAlign w:val="bottom"/>
          </w:tcPr>
          <w:p>
            <w:pPr>
              <w:spacing w:after="0" w:line="20" w:lineRule="exact"/>
              <w:rPr>
                <w:sz w:val="1"/>
                <w:szCs w:val="1"/>
                <w:color w:val="auto"/>
              </w:rPr>
            </w:pPr>
          </w:p>
        </w:tc>
      </w:tr>
      <w:tr>
        <w:trPr>
          <w:trHeight w:val="192"/>
        </w:trPr>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41"/>
        </w:trPr>
        <w:tc>
          <w:tcPr>
            <w:tcW w:w="440" w:type="dxa"/>
            <w:vAlign w:val="bottom"/>
            <w:vMerge w:val="restart"/>
            <w:shd w:val="clear" w:color="auto" w:fill="CCEEFF"/>
          </w:tcPr>
          <w:p>
            <w:pPr>
              <w:spacing w:after="0" w:line="168" w:lineRule="exact"/>
              <w:rPr>
                <w:sz w:val="20"/>
                <w:szCs w:val="20"/>
                <w:color w:val="auto"/>
              </w:rPr>
            </w:pPr>
            <w:r>
              <w:rPr>
                <w:rFonts w:ascii="Arial" w:cs="Arial" w:eastAsia="Arial" w:hAnsi="Arial"/>
                <w:sz w:val="18"/>
                <w:szCs w:val="18"/>
                <w:b w:val="1"/>
                <w:bCs w:val="1"/>
                <w:color w:val="auto"/>
              </w:rPr>
              <w:t>5</w:t>
            </w:r>
          </w:p>
        </w:tc>
        <w:tc>
          <w:tcPr>
            <w:tcW w:w="1200" w:type="dxa"/>
            <w:vAlign w:val="bottom"/>
            <w:shd w:val="clear" w:color="auto" w:fill="CCEEFF"/>
          </w:tcPr>
          <w:p>
            <w:pPr>
              <w:ind w:left="500"/>
              <w:spacing w:after="0" w:line="141" w:lineRule="exact"/>
              <w:rPr>
                <w:sz w:val="20"/>
                <w:szCs w:val="20"/>
                <w:color w:val="auto"/>
              </w:rPr>
            </w:pPr>
            <w:r>
              <w:rPr>
                <w:rFonts w:ascii="Arial" w:cs="Arial" w:eastAsia="Arial" w:hAnsi="Arial"/>
                <w:sz w:val="15"/>
                <w:szCs w:val="15"/>
                <w:i w:val="1"/>
                <w:iCs w:val="1"/>
                <w:color w:val="auto"/>
              </w:rPr>
              <w:t>(6)</w:t>
            </w:r>
          </w:p>
        </w:tc>
        <w:tc>
          <w:tcPr>
            <w:tcW w:w="94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ind w:left="260"/>
              <w:spacing w:after="0" w:line="168" w:lineRule="exact"/>
              <w:rPr>
                <w:sz w:val="20"/>
                <w:szCs w:val="20"/>
                <w:color w:val="auto"/>
              </w:rPr>
            </w:pPr>
            <w:r>
              <w:rPr>
                <w:rFonts w:ascii="Arial" w:cs="Arial" w:eastAsia="Arial" w:hAnsi="Arial"/>
                <w:sz w:val="18"/>
                <w:szCs w:val="18"/>
                <w:color w:val="auto"/>
              </w:rPr>
              <w:t>2014</w:t>
            </w:r>
          </w:p>
        </w:tc>
        <w:tc>
          <w:tcPr>
            <w:tcW w:w="900" w:type="dxa"/>
            <w:vAlign w:val="bottom"/>
            <w:gridSpan w:val="2"/>
            <w:vMerge w:val="restart"/>
            <w:shd w:val="clear" w:color="auto" w:fill="CCEEFF"/>
          </w:tcPr>
          <w:p>
            <w:pPr>
              <w:ind w:left="180"/>
              <w:spacing w:after="0" w:line="168" w:lineRule="exact"/>
              <w:rPr>
                <w:sz w:val="20"/>
                <w:szCs w:val="20"/>
                <w:color w:val="auto"/>
              </w:rPr>
            </w:pPr>
            <w:r>
              <w:rPr>
                <w:rFonts w:ascii="Arial" w:cs="Arial" w:eastAsia="Arial" w:hAnsi="Arial"/>
                <w:sz w:val="18"/>
                <w:szCs w:val="18"/>
                <w:color w:val="auto"/>
              </w:rPr>
              <w:t>155,000</w:t>
            </w:r>
          </w:p>
        </w:tc>
        <w:tc>
          <w:tcPr>
            <w:tcW w:w="640" w:type="dxa"/>
            <w:vAlign w:val="bottom"/>
            <w:vMerge w:val="restart"/>
            <w:shd w:val="clear" w:color="auto" w:fill="CCEEFF"/>
          </w:tcPr>
          <w:p>
            <w:pPr>
              <w:jc w:val="center"/>
              <w:spacing w:after="0" w:line="168" w:lineRule="exact"/>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center"/>
              <w:spacing w:after="0" w:line="168" w:lineRule="exact"/>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spacing w:after="0" w:line="168" w:lineRule="exact"/>
              <w:rPr>
                <w:sz w:val="20"/>
                <w:szCs w:val="20"/>
                <w:color w:val="auto"/>
              </w:rPr>
            </w:pPr>
            <w:r>
              <w:rPr>
                <w:rFonts w:ascii="Arial" w:cs="Arial" w:eastAsia="Arial" w:hAnsi="Arial"/>
                <w:sz w:val="18"/>
                <w:szCs w:val="18"/>
                <w:color w:val="auto"/>
              </w:rPr>
              <w:t>June 2021</w:t>
            </w:r>
          </w:p>
        </w:tc>
        <w:tc>
          <w:tcPr>
            <w:tcW w:w="1440" w:type="dxa"/>
            <w:vAlign w:val="bottom"/>
            <w:gridSpan w:val="3"/>
            <w:vMerge w:val="restart"/>
            <w:shd w:val="clear" w:color="auto" w:fill="CCEEFF"/>
          </w:tcPr>
          <w:p>
            <w:pPr>
              <w:jc w:val="right"/>
              <w:ind w:right="220"/>
              <w:spacing w:after="0" w:line="168" w:lineRule="exact"/>
              <w:rPr>
                <w:sz w:val="20"/>
                <w:szCs w:val="20"/>
                <w:color w:val="auto"/>
              </w:rPr>
            </w:pPr>
            <w:r>
              <w:rPr>
                <w:rFonts w:ascii="Arial" w:cs="Arial" w:eastAsia="Arial" w:hAnsi="Arial"/>
                <w:sz w:val="18"/>
                <w:szCs w:val="18"/>
                <w:color w:val="auto"/>
              </w:rPr>
              <w:t>2026 - 2031</w:t>
            </w:r>
          </w:p>
        </w:tc>
        <w:tc>
          <w:tcPr>
            <w:tcW w:w="0" w:type="dxa"/>
            <w:vAlign w:val="bottom"/>
          </w:tcPr>
          <w:p>
            <w:pPr>
              <w:spacing w:after="0"/>
              <w:rPr>
                <w:sz w:val="1"/>
                <w:szCs w:val="1"/>
                <w:color w:val="auto"/>
              </w:rPr>
            </w:pPr>
          </w:p>
        </w:tc>
      </w:tr>
      <w:tr>
        <w:trPr>
          <w:trHeight w:val="27"/>
        </w:trPr>
        <w:tc>
          <w:tcPr>
            <w:tcW w:w="440" w:type="dxa"/>
            <w:vAlign w:val="bottom"/>
            <w:vMerge w:val="continue"/>
            <w:shd w:val="clear" w:color="auto" w:fill="CCEEFF"/>
          </w:tcPr>
          <w:p>
            <w:pPr>
              <w:spacing w:after="0"/>
              <w:rPr>
                <w:sz w:val="2"/>
                <w:szCs w:val="2"/>
                <w:color w:val="auto"/>
              </w:rPr>
            </w:pPr>
          </w:p>
        </w:tc>
        <w:tc>
          <w:tcPr>
            <w:tcW w:w="2140" w:type="dxa"/>
            <w:vAlign w:val="bottom"/>
            <w:gridSpan w:val="2"/>
            <w:shd w:val="clear" w:color="auto" w:fill="CCEEFF"/>
          </w:tcPr>
          <w:p>
            <w:pPr>
              <w:spacing w:after="0" w:line="27" w:lineRule="exact"/>
              <w:rPr>
                <w:sz w:val="20"/>
                <w:szCs w:val="20"/>
                <w:color w:val="auto"/>
              </w:rPr>
            </w:pPr>
            <w:r>
              <w:rPr>
                <w:rFonts w:ascii="Arial" w:cs="Arial" w:eastAsia="Arial" w:hAnsi="Arial"/>
                <w:sz w:val="3"/>
                <w:szCs w:val="3"/>
                <w:i w:val="1"/>
                <w:iCs w:val="1"/>
                <w:color w:val="auto"/>
              </w:rPr>
              <w:t>Solaris</w:t>
            </w:r>
          </w:p>
        </w:tc>
        <w:tc>
          <w:tcPr>
            <w:tcW w:w="780" w:type="dxa"/>
            <w:vAlign w:val="bottom"/>
            <w:gridSpan w:val="3"/>
            <w:vMerge w:val="continue"/>
            <w:shd w:val="clear" w:color="auto" w:fill="CCEEFF"/>
          </w:tcPr>
          <w:p>
            <w:pPr>
              <w:spacing w:after="0"/>
              <w:rPr>
                <w:sz w:val="2"/>
                <w:szCs w:val="2"/>
                <w:color w:val="auto"/>
              </w:rPr>
            </w:pPr>
          </w:p>
        </w:tc>
        <w:tc>
          <w:tcPr>
            <w:tcW w:w="900" w:type="dxa"/>
            <w:vAlign w:val="bottom"/>
            <w:gridSpan w:val="2"/>
            <w:vMerge w:val="continue"/>
            <w:shd w:val="clear" w:color="auto" w:fill="CCEEFF"/>
          </w:tcPr>
          <w:p>
            <w:pPr>
              <w:spacing w:after="0"/>
              <w:rPr>
                <w:sz w:val="2"/>
                <w:szCs w:val="2"/>
                <w:color w:val="auto"/>
              </w:rPr>
            </w:pPr>
          </w:p>
        </w:tc>
        <w:tc>
          <w:tcPr>
            <w:tcW w:w="640" w:type="dxa"/>
            <w:vAlign w:val="bottom"/>
            <w:vMerge w:val="continue"/>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vMerge w:val="continue"/>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vMerge w:val="continue"/>
            <w:shd w:val="clear" w:color="auto" w:fill="CCEEFF"/>
          </w:tcPr>
          <w:p>
            <w:pPr>
              <w:spacing w:after="0"/>
              <w:rPr>
                <w:sz w:val="2"/>
                <w:szCs w:val="2"/>
                <w:color w:val="auto"/>
              </w:rPr>
            </w:pPr>
          </w:p>
        </w:tc>
        <w:tc>
          <w:tcPr>
            <w:tcW w:w="1440" w:type="dxa"/>
            <w:vAlign w:val="bottom"/>
            <w:gridSpan w:val="3"/>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4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440" w:type="dxa"/>
            <w:vAlign w:val="bottom"/>
            <w:gridSpan w:val="3"/>
            <w:shd w:val="clear" w:color="auto" w:fill="CCEEFF"/>
          </w:tcPr>
          <w:p>
            <w:pPr>
              <w:jc w:val="right"/>
              <w:ind w:right="40"/>
              <w:spacing w:after="0" w:line="95"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color w:val="auto"/>
              </w:rPr>
              <w:t>6</w:t>
            </w:r>
          </w:p>
        </w:tc>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GasLog Greece</w:t>
            </w:r>
          </w:p>
        </w:tc>
        <w:tc>
          <w:tcPr>
            <w:tcW w:w="780" w:type="dxa"/>
            <w:vAlign w:val="bottom"/>
            <w:gridSpan w:val="3"/>
          </w:tcPr>
          <w:p>
            <w:pPr>
              <w:ind w:left="260"/>
              <w:spacing w:after="0"/>
              <w:rPr>
                <w:sz w:val="20"/>
                <w:szCs w:val="20"/>
                <w:color w:val="auto"/>
              </w:rPr>
            </w:pPr>
            <w:r>
              <w:rPr>
                <w:rFonts w:ascii="Arial" w:cs="Arial" w:eastAsia="Arial" w:hAnsi="Arial"/>
                <w:sz w:val="18"/>
                <w:szCs w:val="18"/>
                <w:color w:val="auto"/>
              </w:rPr>
              <w:t>2016</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174,000</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March 2026</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2031</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
        </w:trPr>
        <w:tc>
          <w:tcPr>
            <w:tcW w:w="440" w:type="dxa"/>
            <w:vAlign w:val="bottom"/>
            <w:shd w:val="clear" w:color="auto" w:fill="CCEEFF"/>
          </w:tcPr>
          <w:p>
            <w:pPr>
              <w:spacing w:after="0" w:line="19" w:lineRule="exact"/>
              <w:rPr>
                <w:sz w:val="20"/>
                <w:szCs w:val="20"/>
                <w:color w:val="auto"/>
              </w:rPr>
            </w:pPr>
            <w:r>
              <w:rPr>
                <w:rFonts w:ascii="Arial" w:cs="Arial" w:eastAsia="Arial" w:hAnsi="Arial"/>
                <w:sz w:val="2"/>
                <w:szCs w:val="2"/>
                <w:b w:val="1"/>
                <w:bCs w:val="1"/>
                <w:color w:val="auto"/>
              </w:rPr>
              <w:t>7</w:t>
            </w:r>
          </w:p>
        </w:tc>
        <w:tc>
          <w:tcPr>
            <w:tcW w:w="2140" w:type="dxa"/>
            <w:vAlign w:val="bottom"/>
            <w:gridSpan w:val="2"/>
            <w:shd w:val="clear" w:color="auto" w:fill="CCEEFF"/>
          </w:tcPr>
          <w:p>
            <w:pPr>
              <w:spacing w:after="0" w:line="19" w:lineRule="exact"/>
              <w:rPr>
                <w:sz w:val="20"/>
                <w:szCs w:val="20"/>
                <w:color w:val="auto"/>
              </w:rPr>
            </w:pPr>
            <w:r>
              <w:rPr>
                <w:rFonts w:ascii="Arial" w:cs="Arial" w:eastAsia="Arial" w:hAnsi="Arial"/>
                <w:sz w:val="2"/>
                <w:szCs w:val="2"/>
                <w:i w:val="1"/>
                <w:iCs w:val="1"/>
                <w:color w:val="auto"/>
              </w:rPr>
              <w:t>GasLog Geneva</w:t>
            </w:r>
          </w:p>
        </w:tc>
        <w:tc>
          <w:tcPr>
            <w:tcW w:w="780" w:type="dxa"/>
            <w:vAlign w:val="bottom"/>
            <w:gridSpan w:val="3"/>
            <w:shd w:val="clear" w:color="auto" w:fill="CCEEFF"/>
          </w:tcPr>
          <w:p>
            <w:pPr>
              <w:ind w:left="260"/>
              <w:spacing w:after="0" w:line="19" w:lineRule="exact"/>
              <w:rPr>
                <w:sz w:val="20"/>
                <w:szCs w:val="20"/>
                <w:color w:val="auto"/>
              </w:rPr>
            </w:pPr>
            <w:r>
              <w:rPr>
                <w:rFonts w:ascii="Arial" w:cs="Arial" w:eastAsia="Arial" w:hAnsi="Arial"/>
                <w:sz w:val="2"/>
                <w:szCs w:val="2"/>
                <w:color w:val="auto"/>
              </w:rPr>
              <w:t>2016</w:t>
            </w:r>
          </w:p>
        </w:tc>
        <w:tc>
          <w:tcPr>
            <w:tcW w:w="900" w:type="dxa"/>
            <w:vAlign w:val="bottom"/>
            <w:gridSpan w:val="2"/>
            <w:shd w:val="clear" w:color="auto" w:fill="CCEEFF"/>
          </w:tcPr>
          <w:p>
            <w:pPr>
              <w:ind w:left="180"/>
              <w:spacing w:after="0" w:line="19" w:lineRule="exact"/>
              <w:rPr>
                <w:sz w:val="20"/>
                <w:szCs w:val="20"/>
                <w:color w:val="auto"/>
              </w:rPr>
            </w:pPr>
            <w:r>
              <w:rPr>
                <w:rFonts w:ascii="Arial" w:cs="Arial" w:eastAsia="Arial" w:hAnsi="Arial"/>
                <w:sz w:val="2"/>
                <w:szCs w:val="2"/>
                <w:color w:val="auto"/>
              </w:rPr>
              <w:t>174,000</w:t>
            </w:r>
          </w:p>
        </w:tc>
        <w:tc>
          <w:tcPr>
            <w:tcW w:w="640" w:type="dxa"/>
            <w:vAlign w:val="bottom"/>
            <w:shd w:val="clear" w:color="auto" w:fill="CCEEFF"/>
          </w:tcPr>
          <w:p>
            <w:pPr>
              <w:jc w:val="center"/>
              <w:spacing w:after="0" w:line="19" w:lineRule="exact"/>
              <w:rPr>
                <w:sz w:val="20"/>
                <w:szCs w:val="20"/>
                <w:color w:val="auto"/>
              </w:rPr>
            </w:pPr>
            <w:r>
              <w:rPr>
                <w:rFonts w:ascii="Arial" w:cs="Arial" w:eastAsia="Arial" w:hAnsi="Arial"/>
                <w:sz w:val="2"/>
                <w:szCs w:val="2"/>
                <w:color w:val="auto"/>
              </w:rPr>
              <w:t>Shell</w:t>
            </w: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jc w:val="center"/>
              <w:spacing w:after="0" w:line="19" w:lineRule="exact"/>
              <w:rPr>
                <w:sz w:val="20"/>
                <w:szCs w:val="20"/>
                <w:color w:val="auto"/>
              </w:rPr>
            </w:pPr>
            <w:r>
              <w:rPr>
                <w:rFonts w:ascii="Arial" w:cs="Arial" w:eastAsia="Arial" w:hAnsi="Arial"/>
                <w:sz w:val="2"/>
                <w:szCs w:val="2"/>
                <w:color w:val="auto"/>
              </w:rPr>
              <w:t>TFDE</w:t>
            </w: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19" w:lineRule="exact"/>
              <w:rPr>
                <w:sz w:val="20"/>
                <w:szCs w:val="20"/>
                <w:color w:val="auto"/>
              </w:rPr>
            </w:pPr>
            <w:r>
              <w:rPr>
                <w:rFonts w:ascii="Arial" w:cs="Arial" w:eastAsia="Arial" w:hAnsi="Arial"/>
                <w:sz w:val="2"/>
                <w:szCs w:val="2"/>
                <w:color w:val="auto"/>
              </w:rPr>
              <w:t>September 2023</w:t>
            </w:r>
          </w:p>
        </w:tc>
        <w:tc>
          <w:tcPr>
            <w:tcW w:w="1440" w:type="dxa"/>
            <w:vAlign w:val="bottom"/>
            <w:gridSpan w:val="3"/>
            <w:shd w:val="clear" w:color="auto" w:fill="CCEEFF"/>
          </w:tcPr>
          <w:p>
            <w:pPr>
              <w:jc w:val="right"/>
              <w:ind w:right="220"/>
              <w:spacing w:after="0" w:line="19" w:lineRule="exact"/>
              <w:rPr>
                <w:sz w:val="20"/>
                <w:szCs w:val="20"/>
                <w:color w:val="auto"/>
              </w:rPr>
            </w:pPr>
            <w:r>
              <w:rPr>
                <w:rFonts w:ascii="Arial" w:cs="Arial" w:eastAsia="Arial" w:hAnsi="Arial"/>
                <w:sz w:val="2"/>
                <w:szCs w:val="2"/>
                <w:color w:val="auto"/>
              </w:rPr>
              <w:t>2028 - 2031</w:t>
            </w:r>
          </w:p>
        </w:tc>
        <w:tc>
          <w:tcPr>
            <w:tcW w:w="0" w:type="dxa"/>
            <w:vAlign w:val="bottom"/>
          </w:tcPr>
          <w:p>
            <w:pPr>
              <w:spacing w:after="0" w:line="20" w:lineRule="exact"/>
              <w:rPr>
                <w:sz w:val="1"/>
                <w:szCs w:val="1"/>
                <w:color w:val="auto"/>
              </w:rPr>
            </w:pPr>
          </w:p>
        </w:tc>
      </w:tr>
      <w:tr>
        <w:trPr>
          <w:trHeight w:val="192"/>
        </w:trPr>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
        </w:trPr>
        <w:tc>
          <w:tcPr>
            <w:tcW w:w="440" w:type="dxa"/>
            <w:vAlign w:val="bottom"/>
          </w:tcPr>
          <w:p>
            <w:pPr>
              <w:spacing w:after="0"/>
              <w:rPr>
                <w:sz w:val="20"/>
                <w:szCs w:val="20"/>
                <w:color w:val="auto"/>
              </w:rPr>
            </w:pPr>
            <w:r>
              <w:rPr>
                <w:rFonts w:ascii="Arial" w:cs="Arial" w:eastAsia="Arial" w:hAnsi="Arial"/>
                <w:sz w:val="2"/>
                <w:szCs w:val="2"/>
                <w:b w:val="1"/>
                <w:bCs w:val="1"/>
                <w:color w:val="auto"/>
              </w:rPr>
              <w:t>8</w:t>
            </w:r>
          </w:p>
        </w:tc>
        <w:tc>
          <w:tcPr>
            <w:tcW w:w="2140" w:type="dxa"/>
            <w:vAlign w:val="bottom"/>
            <w:gridSpan w:val="2"/>
          </w:tcPr>
          <w:p>
            <w:pPr>
              <w:spacing w:after="0"/>
              <w:rPr>
                <w:sz w:val="20"/>
                <w:szCs w:val="20"/>
                <w:color w:val="auto"/>
              </w:rPr>
            </w:pPr>
            <w:r>
              <w:rPr>
                <w:rFonts w:ascii="Arial" w:cs="Arial" w:eastAsia="Arial" w:hAnsi="Arial"/>
                <w:sz w:val="2"/>
                <w:szCs w:val="2"/>
                <w:i w:val="1"/>
                <w:iCs w:val="1"/>
                <w:color w:val="auto"/>
              </w:rPr>
              <w:t>Methane Rita Andrea</w:t>
            </w:r>
          </w:p>
        </w:tc>
        <w:tc>
          <w:tcPr>
            <w:tcW w:w="780" w:type="dxa"/>
            <w:vAlign w:val="bottom"/>
            <w:gridSpan w:val="3"/>
          </w:tcPr>
          <w:p>
            <w:pPr>
              <w:ind w:left="260"/>
              <w:spacing w:after="0"/>
              <w:rPr>
                <w:sz w:val="20"/>
                <w:szCs w:val="20"/>
                <w:color w:val="auto"/>
              </w:rPr>
            </w:pPr>
            <w:r>
              <w:rPr>
                <w:rFonts w:ascii="Arial" w:cs="Arial" w:eastAsia="Arial" w:hAnsi="Arial"/>
                <w:sz w:val="2"/>
                <w:szCs w:val="2"/>
                <w:color w:val="auto"/>
              </w:rPr>
              <w:t>2006</w:t>
            </w:r>
          </w:p>
        </w:tc>
        <w:tc>
          <w:tcPr>
            <w:tcW w:w="900" w:type="dxa"/>
            <w:vAlign w:val="bottom"/>
            <w:gridSpan w:val="2"/>
          </w:tcPr>
          <w:p>
            <w:pPr>
              <w:ind w:left="180"/>
              <w:spacing w:after="0"/>
              <w:rPr>
                <w:sz w:val="20"/>
                <w:szCs w:val="20"/>
                <w:color w:val="auto"/>
              </w:rPr>
            </w:pPr>
            <w:r>
              <w:rPr>
                <w:rFonts w:ascii="Arial" w:cs="Arial" w:eastAsia="Arial" w:hAnsi="Arial"/>
                <w:sz w:val="2"/>
                <w:szCs w:val="2"/>
                <w:color w:val="auto"/>
              </w:rPr>
              <w:t>145,000</w:t>
            </w:r>
          </w:p>
        </w:tc>
        <w:tc>
          <w:tcPr>
            <w:tcW w:w="640" w:type="dxa"/>
            <w:vAlign w:val="bottom"/>
          </w:tcPr>
          <w:p>
            <w:pPr>
              <w:jc w:val="center"/>
              <w:spacing w:after="0"/>
              <w:rPr>
                <w:sz w:val="20"/>
                <w:szCs w:val="20"/>
                <w:color w:val="auto"/>
              </w:rPr>
            </w:pPr>
            <w:r>
              <w:rPr>
                <w:rFonts w:ascii="Arial" w:cs="Arial" w:eastAsia="Arial" w:hAnsi="Arial"/>
                <w:sz w:val="2"/>
                <w:szCs w:val="2"/>
                <w:color w:val="auto"/>
              </w:rPr>
              <w:t>Shell</w:t>
            </w:r>
          </w:p>
        </w:tc>
        <w:tc>
          <w:tcPr>
            <w:tcW w:w="160" w:type="dxa"/>
            <w:vAlign w:val="bottom"/>
          </w:tcPr>
          <w:p>
            <w:pPr>
              <w:spacing w:after="0"/>
              <w:rPr>
                <w:sz w:val="2"/>
                <w:szCs w:val="2"/>
                <w:color w:val="auto"/>
              </w:rPr>
            </w:pPr>
          </w:p>
        </w:tc>
        <w:tc>
          <w:tcPr>
            <w:tcW w:w="720" w:type="dxa"/>
            <w:vAlign w:val="bottom"/>
          </w:tcPr>
          <w:p>
            <w:pPr>
              <w:jc w:val="center"/>
              <w:spacing w:after="0"/>
              <w:rPr>
                <w:sz w:val="20"/>
                <w:szCs w:val="20"/>
                <w:color w:val="auto"/>
              </w:rPr>
            </w:pPr>
            <w:r>
              <w:rPr>
                <w:rFonts w:ascii="Arial" w:cs="Arial" w:eastAsia="Arial" w:hAnsi="Arial"/>
                <w:sz w:val="2"/>
                <w:szCs w:val="2"/>
                <w:color w:val="auto"/>
              </w:rPr>
              <w:t>Steam</w:t>
            </w:r>
          </w:p>
        </w:tc>
        <w:tc>
          <w:tcPr>
            <w:tcW w:w="160" w:type="dxa"/>
            <w:vAlign w:val="bottom"/>
          </w:tcPr>
          <w:p>
            <w:pPr>
              <w:spacing w:after="0"/>
              <w:rPr>
                <w:sz w:val="2"/>
                <w:szCs w:val="2"/>
                <w:color w:val="auto"/>
              </w:rPr>
            </w:pPr>
          </w:p>
        </w:tc>
        <w:tc>
          <w:tcPr>
            <w:tcW w:w="1340" w:type="dxa"/>
            <w:vAlign w:val="bottom"/>
          </w:tcPr>
          <w:p>
            <w:pPr>
              <w:spacing w:after="0"/>
              <w:rPr>
                <w:sz w:val="20"/>
                <w:szCs w:val="20"/>
                <w:color w:val="auto"/>
              </w:rPr>
            </w:pPr>
            <w:r>
              <w:rPr>
                <w:rFonts w:ascii="Arial" w:cs="Arial" w:eastAsia="Arial" w:hAnsi="Arial"/>
                <w:sz w:val="2"/>
                <w:szCs w:val="2"/>
                <w:color w:val="auto"/>
              </w:rPr>
              <w:t>April 2020</w:t>
            </w:r>
          </w:p>
        </w:tc>
        <w:tc>
          <w:tcPr>
            <w:tcW w:w="1440" w:type="dxa"/>
            <w:vAlign w:val="bottom"/>
            <w:gridSpan w:val="3"/>
          </w:tcPr>
          <w:p>
            <w:pPr>
              <w:jc w:val="right"/>
              <w:ind w:right="220"/>
              <w:spacing w:after="0"/>
              <w:rPr>
                <w:sz w:val="20"/>
                <w:szCs w:val="20"/>
                <w:color w:val="auto"/>
              </w:rPr>
            </w:pPr>
            <w:r>
              <w:rPr>
                <w:rFonts w:ascii="Arial" w:cs="Arial" w:eastAsia="Arial" w:hAnsi="Arial"/>
                <w:sz w:val="2"/>
                <w:szCs w:val="2"/>
                <w:color w:val="auto"/>
              </w:rPr>
              <w:t>2023 - 2025</w:t>
            </w:r>
          </w:p>
        </w:tc>
        <w:tc>
          <w:tcPr>
            <w:tcW w:w="0" w:type="dxa"/>
            <w:vAlign w:val="bottom"/>
          </w:tcPr>
          <w:p>
            <w:pPr>
              <w:spacing w:after="0" w:line="20" w:lineRule="exact"/>
              <w:rPr>
                <w:sz w:val="1"/>
                <w:szCs w:val="1"/>
                <w:color w:val="auto"/>
              </w:rPr>
            </w:pPr>
          </w:p>
        </w:tc>
      </w:tr>
      <w:tr>
        <w:trPr>
          <w:trHeight w:val="192"/>
        </w:trPr>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22"/>
        </w:trPr>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Jane Elizabeth</w:t>
            </w:r>
          </w:p>
        </w:tc>
        <w:tc>
          <w:tcPr>
            <w:tcW w:w="7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2006</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145,000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October 2019</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Methane Alison Victoria</w:t>
            </w:r>
          </w:p>
        </w:tc>
        <w:tc>
          <w:tcPr>
            <w:tcW w:w="780" w:type="dxa"/>
            <w:vAlign w:val="bottom"/>
            <w:gridSpan w:val="3"/>
          </w:tcPr>
          <w:p>
            <w:pPr>
              <w:ind w:left="260"/>
              <w:spacing w:after="0"/>
              <w:rPr>
                <w:sz w:val="20"/>
                <w:szCs w:val="20"/>
                <w:color w:val="auto"/>
              </w:rPr>
            </w:pPr>
            <w:r>
              <w:rPr>
                <w:rFonts w:ascii="Arial" w:cs="Arial" w:eastAsia="Arial" w:hAnsi="Arial"/>
                <w:sz w:val="18"/>
                <w:szCs w:val="18"/>
                <w:color w:val="auto"/>
              </w:rPr>
              <w:t>2007</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145,000</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December 2019</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
        </w:trPr>
        <w:tc>
          <w:tcPr>
            <w:tcW w:w="440" w:type="dxa"/>
            <w:vAlign w:val="bottom"/>
            <w:shd w:val="clear" w:color="auto" w:fill="CCEEFF"/>
          </w:tcPr>
          <w:p>
            <w:pPr>
              <w:spacing w:after="0" w:line="19" w:lineRule="exact"/>
              <w:rPr>
                <w:sz w:val="20"/>
                <w:szCs w:val="20"/>
                <w:color w:val="auto"/>
              </w:rPr>
            </w:pPr>
            <w:r>
              <w:rPr>
                <w:rFonts w:ascii="Arial" w:cs="Arial" w:eastAsia="Arial" w:hAnsi="Arial"/>
                <w:sz w:val="2"/>
                <w:szCs w:val="2"/>
                <w:b w:val="1"/>
                <w:bCs w:val="1"/>
                <w:color w:val="auto"/>
              </w:rPr>
              <w:t>11</w:t>
            </w:r>
          </w:p>
        </w:tc>
        <w:tc>
          <w:tcPr>
            <w:tcW w:w="2140" w:type="dxa"/>
            <w:vAlign w:val="bottom"/>
            <w:gridSpan w:val="2"/>
            <w:shd w:val="clear" w:color="auto" w:fill="CCEEFF"/>
          </w:tcPr>
          <w:p>
            <w:pPr>
              <w:spacing w:after="0" w:line="19" w:lineRule="exact"/>
              <w:rPr>
                <w:sz w:val="20"/>
                <w:szCs w:val="20"/>
                <w:color w:val="auto"/>
              </w:rPr>
            </w:pPr>
            <w:r>
              <w:rPr>
                <w:rFonts w:ascii="Arial" w:cs="Arial" w:eastAsia="Arial" w:hAnsi="Arial"/>
                <w:sz w:val="2"/>
                <w:szCs w:val="2"/>
                <w:i w:val="1"/>
                <w:iCs w:val="1"/>
                <w:color w:val="auto"/>
              </w:rPr>
              <w:t>Methane Shirley Elisabeth</w:t>
            </w:r>
          </w:p>
        </w:tc>
        <w:tc>
          <w:tcPr>
            <w:tcW w:w="780" w:type="dxa"/>
            <w:vAlign w:val="bottom"/>
            <w:gridSpan w:val="3"/>
            <w:shd w:val="clear" w:color="auto" w:fill="CCEEFF"/>
          </w:tcPr>
          <w:p>
            <w:pPr>
              <w:ind w:left="260"/>
              <w:spacing w:after="0" w:line="19" w:lineRule="exact"/>
              <w:rPr>
                <w:sz w:val="20"/>
                <w:szCs w:val="20"/>
                <w:color w:val="auto"/>
              </w:rPr>
            </w:pPr>
            <w:r>
              <w:rPr>
                <w:rFonts w:ascii="Arial" w:cs="Arial" w:eastAsia="Arial" w:hAnsi="Arial"/>
                <w:sz w:val="2"/>
                <w:szCs w:val="2"/>
                <w:color w:val="auto"/>
              </w:rPr>
              <w:t>2007</w:t>
            </w:r>
          </w:p>
        </w:tc>
        <w:tc>
          <w:tcPr>
            <w:tcW w:w="900" w:type="dxa"/>
            <w:vAlign w:val="bottom"/>
            <w:gridSpan w:val="2"/>
            <w:shd w:val="clear" w:color="auto" w:fill="CCEEFF"/>
          </w:tcPr>
          <w:p>
            <w:pPr>
              <w:ind w:left="180"/>
              <w:spacing w:after="0" w:line="19" w:lineRule="exact"/>
              <w:rPr>
                <w:sz w:val="20"/>
                <w:szCs w:val="20"/>
                <w:color w:val="auto"/>
              </w:rPr>
            </w:pPr>
            <w:r>
              <w:rPr>
                <w:rFonts w:ascii="Arial" w:cs="Arial" w:eastAsia="Arial" w:hAnsi="Arial"/>
                <w:sz w:val="2"/>
                <w:szCs w:val="2"/>
                <w:color w:val="auto"/>
              </w:rPr>
              <w:t>145,000</w:t>
            </w:r>
          </w:p>
        </w:tc>
        <w:tc>
          <w:tcPr>
            <w:tcW w:w="640" w:type="dxa"/>
            <w:vAlign w:val="bottom"/>
            <w:shd w:val="clear" w:color="auto" w:fill="CCEEFF"/>
          </w:tcPr>
          <w:p>
            <w:pPr>
              <w:jc w:val="center"/>
              <w:spacing w:after="0" w:line="19" w:lineRule="exact"/>
              <w:rPr>
                <w:sz w:val="20"/>
                <w:szCs w:val="20"/>
                <w:color w:val="auto"/>
              </w:rPr>
            </w:pPr>
            <w:r>
              <w:rPr>
                <w:rFonts w:ascii="Arial" w:cs="Arial" w:eastAsia="Arial" w:hAnsi="Arial"/>
                <w:sz w:val="2"/>
                <w:szCs w:val="2"/>
                <w:color w:val="auto"/>
              </w:rPr>
              <w:t>Shell</w:t>
            </w: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jc w:val="center"/>
              <w:spacing w:after="0" w:line="19" w:lineRule="exact"/>
              <w:rPr>
                <w:sz w:val="20"/>
                <w:szCs w:val="20"/>
                <w:color w:val="auto"/>
              </w:rPr>
            </w:pPr>
            <w:r>
              <w:rPr>
                <w:rFonts w:ascii="Arial" w:cs="Arial" w:eastAsia="Arial" w:hAnsi="Arial"/>
                <w:sz w:val="2"/>
                <w:szCs w:val="2"/>
                <w:color w:val="auto"/>
              </w:rPr>
              <w:t>Steam</w:t>
            </w: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19" w:lineRule="exact"/>
              <w:rPr>
                <w:sz w:val="20"/>
                <w:szCs w:val="20"/>
                <w:color w:val="auto"/>
              </w:rPr>
            </w:pPr>
            <w:r>
              <w:rPr>
                <w:rFonts w:ascii="Arial" w:cs="Arial" w:eastAsia="Arial" w:hAnsi="Arial"/>
                <w:sz w:val="2"/>
                <w:szCs w:val="2"/>
                <w:color w:val="auto"/>
              </w:rPr>
              <w:t>June 2020</w:t>
            </w:r>
          </w:p>
        </w:tc>
        <w:tc>
          <w:tcPr>
            <w:tcW w:w="1440" w:type="dxa"/>
            <w:vAlign w:val="bottom"/>
            <w:gridSpan w:val="3"/>
            <w:shd w:val="clear" w:color="auto" w:fill="CCEEFF"/>
          </w:tcPr>
          <w:p>
            <w:pPr>
              <w:jc w:val="right"/>
              <w:ind w:right="220"/>
              <w:spacing w:after="0" w:line="19" w:lineRule="exact"/>
              <w:rPr>
                <w:sz w:val="20"/>
                <w:szCs w:val="20"/>
                <w:color w:val="auto"/>
              </w:rPr>
            </w:pPr>
            <w:r>
              <w:rPr>
                <w:rFonts w:ascii="Arial" w:cs="Arial" w:eastAsia="Arial" w:hAnsi="Arial"/>
                <w:sz w:val="2"/>
                <w:szCs w:val="2"/>
                <w:color w:val="auto"/>
              </w:rPr>
              <w:t>2023 - 2025</w:t>
            </w:r>
          </w:p>
        </w:tc>
        <w:tc>
          <w:tcPr>
            <w:tcW w:w="0" w:type="dxa"/>
            <w:vAlign w:val="bottom"/>
          </w:tcPr>
          <w:p>
            <w:pPr>
              <w:spacing w:after="0" w:line="20" w:lineRule="exact"/>
              <w:rPr>
                <w:sz w:val="1"/>
                <w:szCs w:val="1"/>
                <w:color w:val="auto"/>
              </w:rPr>
            </w:pPr>
          </w:p>
        </w:tc>
      </w:tr>
      <w:tr>
        <w:trPr>
          <w:trHeight w:val="192"/>
        </w:trPr>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4"/>
        </w:trPr>
        <w:tc>
          <w:tcPr>
            <w:tcW w:w="440" w:type="dxa"/>
            <w:vAlign w:val="bottom"/>
          </w:tcPr>
          <w:p>
            <w:pPr>
              <w:spacing w:after="0"/>
              <w:rPr>
                <w:sz w:val="20"/>
                <w:szCs w:val="20"/>
                <w:color w:val="auto"/>
              </w:rPr>
            </w:pPr>
            <w:r>
              <w:rPr>
                <w:rFonts w:ascii="Arial" w:cs="Arial" w:eastAsia="Arial" w:hAnsi="Arial"/>
                <w:sz w:val="2"/>
                <w:szCs w:val="2"/>
                <w:b w:val="1"/>
                <w:bCs w:val="1"/>
                <w:color w:val="auto"/>
              </w:rPr>
              <w:t>12</w:t>
            </w:r>
          </w:p>
        </w:tc>
        <w:tc>
          <w:tcPr>
            <w:tcW w:w="2140" w:type="dxa"/>
            <w:vAlign w:val="bottom"/>
            <w:gridSpan w:val="2"/>
          </w:tcPr>
          <w:p>
            <w:pPr>
              <w:spacing w:after="0"/>
              <w:rPr>
                <w:sz w:val="20"/>
                <w:szCs w:val="20"/>
                <w:color w:val="auto"/>
              </w:rPr>
            </w:pPr>
            <w:r>
              <w:rPr>
                <w:rFonts w:ascii="Arial" w:cs="Arial" w:eastAsia="Arial" w:hAnsi="Arial"/>
                <w:sz w:val="2"/>
                <w:szCs w:val="2"/>
                <w:i w:val="1"/>
                <w:iCs w:val="1"/>
                <w:color w:val="auto"/>
              </w:rPr>
              <w:t>Methane Heather Sally</w:t>
            </w:r>
          </w:p>
        </w:tc>
        <w:tc>
          <w:tcPr>
            <w:tcW w:w="780" w:type="dxa"/>
            <w:vAlign w:val="bottom"/>
            <w:gridSpan w:val="3"/>
          </w:tcPr>
          <w:p>
            <w:pPr>
              <w:ind w:left="260"/>
              <w:spacing w:after="0"/>
              <w:rPr>
                <w:sz w:val="20"/>
                <w:szCs w:val="20"/>
                <w:color w:val="auto"/>
              </w:rPr>
            </w:pPr>
            <w:r>
              <w:rPr>
                <w:rFonts w:ascii="Arial" w:cs="Arial" w:eastAsia="Arial" w:hAnsi="Arial"/>
                <w:sz w:val="2"/>
                <w:szCs w:val="2"/>
                <w:color w:val="auto"/>
              </w:rPr>
              <w:t>2007</w:t>
            </w:r>
          </w:p>
        </w:tc>
        <w:tc>
          <w:tcPr>
            <w:tcW w:w="900" w:type="dxa"/>
            <w:vAlign w:val="bottom"/>
            <w:gridSpan w:val="2"/>
          </w:tcPr>
          <w:p>
            <w:pPr>
              <w:ind w:left="180"/>
              <w:spacing w:after="0"/>
              <w:rPr>
                <w:sz w:val="20"/>
                <w:szCs w:val="20"/>
                <w:color w:val="auto"/>
              </w:rPr>
            </w:pPr>
            <w:r>
              <w:rPr>
                <w:rFonts w:ascii="Arial" w:cs="Arial" w:eastAsia="Arial" w:hAnsi="Arial"/>
                <w:sz w:val="2"/>
                <w:szCs w:val="2"/>
                <w:color w:val="auto"/>
              </w:rPr>
              <w:t>145,000</w:t>
            </w:r>
          </w:p>
        </w:tc>
        <w:tc>
          <w:tcPr>
            <w:tcW w:w="640" w:type="dxa"/>
            <w:vAlign w:val="bottom"/>
          </w:tcPr>
          <w:p>
            <w:pPr>
              <w:jc w:val="center"/>
              <w:spacing w:after="0"/>
              <w:rPr>
                <w:sz w:val="20"/>
                <w:szCs w:val="20"/>
                <w:color w:val="auto"/>
              </w:rPr>
            </w:pPr>
            <w:r>
              <w:rPr>
                <w:rFonts w:ascii="Arial" w:cs="Arial" w:eastAsia="Arial" w:hAnsi="Arial"/>
                <w:sz w:val="2"/>
                <w:szCs w:val="2"/>
                <w:color w:val="auto"/>
              </w:rPr>
              <w:t>Shell</w:t>
            </w:r>
          </w:p>
        </w:tc>
        <w:tc>
          <w:tcPr>
            <w:tcW w:w="160" w:type="dxa"/>
            <w:vAlign w:val="bottom"/>
          </w:tcPr>
          <w:p>
            <w:pPr>
              <w:spacing w:after="0"/>
              <w:rPr>
                <w:sz w:val="2"/>
                <w:szCs w:val="2"/>
                <w:color w:val="auto"/>
              </w:rPr>
            </w:pPr>
          </w:p>
        </w:tc>
        <w:tc>
          <w:tcPr>
            <w:tcW w:w="720" w:type="dxa"/>
            <w:vAlign w:val="bottom"/>
          </w:tcPr>
          <w:p>
            <w:pPr>
              <w:jc w:val="center"/>
              <w:spacing w:after="0"/>
              <w:rPr>
                <w:sz w:val="20"/>
                <w:szCs w:val="20"/>
                <w:color w:val="auto"/>
              </w:rPr>
            </w:pPr>
            <w:r>
              <w:rPr>
                <w:rFonts w:ascii="Arial" w:cs="Arial" w:eastAsia="Arial" w:hAnsi="Arial"/>
                <w:sz w:val="2"/>
                <w:szCs w:val="2"/>
                <w:color w:val="auto"/>
              </w:rPr>
              <w:t>Steam</w:t>
            </w:r>
          </w:p>
        </w:tc>
        <w:tc>
          <w:tcPr>
            <w:tcW w:w="160" w:type="dxa"/>
            <w:vAlign w:val="bottom"/>
          </w:tcPr>
          <w:p>
            <w:pPr>
              <w:spacing w:after="0"/>
              <w:rPr>
                <w:sz w:val="2"/>
                <w:szCs w:val="2"/>
                <w:color w:val="auto"/>
              </w:rPr>
            </w:pPr>
          </w:p>
        </w:tc>
        <w:tc>
          <w:tcPr>
            <w:tcW w:w="1340" w:type="dxa"/>
            <w:vAlign w:val="bottom"/>
          </w:tcPr>
          <w:p>
            <w:pPr>
              <w:spacing w:after="0"/>
              <w:rPr>
                <w:sz w:val="20"/>
                <w:szCs w:val="20"/>
                <w:color w:val="auto"/>
              </w:rPr>
            </w:pPr>
            <w:r>
              <w:rPr>
                <w:rFonts w:ascii="Arial" w:cs="Arial" w:eastAsia="Arial" w:hAnsi="Arial"/>
                <w:sz w:val="2"/>
                <w:szCs w:val="2"/>
                <w:color w:val="auto"/>
              </w:rPr>
              <w:t>December 2020</w:t>
            </w:r>
          </w:p>
        </w:tc>
        <w:tc>
          <w:tcPr>
            <w:tcW w:w="1440" w:type="dxa"/>
            <w:vAlign w:val="bottom"/>
            <w:gridSpan w:val="3"/>
          </w:tcPr>
          <w:p>
            <w:pPr>
              <w:jc w:val="right"/>
              <w:ind w:right="220"/>
              <w:spacing w:after="0"/>
              <w:rPr>
                <w:sz w:val="20"/>
                <w:szCs w:val="20"/>
                <w:color w:val="auto"/>
              </w:rPr>
            </w:pPr>
            <w:r>
              <w:rPr>
                <w:rFonts w:ascii="Arial" w:cs="Arial" w:eastAsia="Arial" w:hAnsi="Arial"/>
                <w:sz w:val="2"/>
                <w:szCs w:val="2"/>
                <w:color w:val="auto"/>
              </w:rPr>
              <w:t>2023 - 2025</w:t>
            </w:r>
          </w:p>
        </w:tc>
        <w:tc>
          <w:tcPr>
            <w:tcW w:w="0" w:type="dxa"/>
            <w:vAlign w:val="bottom"/>
          </w:tcPr>
          <w:p>
            <w:pPr>
              <w:spacing w:after="0" w:line="20" w:lineRule="exact"/>
              <w:rPr>
                <w:sz w:val="1"/>
                <w:szCs w:val="1"/>
                <w:color w:val="auto"/>
              </w:rPr>
            </w:pPr>
          </w:p>
        </w:tc>
      </w:tr>
      <w:tr>
        <w:trPr>
          <w:trHeight w:val="186"/>
        </w:trPr>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20"/>
        </w:trPr>
        <w:tc>
          <w:tcPr>
            <w:tcW w:w="4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line="318" w:lineRule="auto"/>
        <w:tabs>
          <w:tab w:leader="none" w:pos="1880" w:val="left"/>
        </w:tabs>
        <w:numPr>
          <w:ilvl w:val="0"/>
          <w:numId w:val="4"/>
        </w:numPr>
        <w:rPr>
          <w:rFonts w:ascii="Arial" w:cs="Arial" w:eastAsia="Arial" w:hAnsi="Arial"/>
          <w:sz w:val="10"/>
          <w:szCs w:val="10"/>
          <w:color w:val="auto"/>
        </w:rPr>
      </w:pPr>
      <w:r>
        <w:rPr>
          <w:rFonts w:ascii="Arial" w:cs="Arial" w:eastAsia="Arial" w:hAnsi="Arial"/>
          <w:sz w:val="12"/>
          <w:szCs w:val="12"/>
          <w:color w:val="auto"/>
        </w:rPr>
        <w:t>Charterer may extend the term of these time charters for a period ranging from five to ten years, and the charters require that the charterer provide us with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0"/>
          <w:szCs w:val="10"/>
          <w:color w:val="auto"/>
        </w:rPr>
      </w:pPr>
    </w:p>
    <w:p>
      <w:pPr>
        <w:ind w:left="1880" w:hanging="544"/>
        <w:spacing w:after="0"/>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Charterer may extend the term of the time charter for a period of five years, provided that the charterer provides us with advance notice of declaration.</w:t>
      </w:r>
    </w:p>
    <w:p>
      <w:pPr>
        <w:spacing w:after="0" w:line="122" w:lineRule="exact"/>
        <w:rPr>
          <w:rFonts w:ascii="Arial" w:cs="Arial" w:eastAsia="Arial" w:hAnsi="Arial"/>
          <w:sz w:val="11"/>
          <w:szCs w:val="11"/>
          <w:color w:val="auto"/>
        </w:rPr>
      </w:pPr>
    </w:p>
    <w:p>
      <w:pPr>
        <w:ind w:left="1880" w:hanging="544"/>
        <w:spacing w:after="0" w:line="239" w:lineRule="auto"/>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Charterer may extend the term of the time charter by two additional periods of five and three years, respectively, provided that the charterer provides us with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880" w:right="60" w:hanging="544"/>
        <w:spacing w:after="0" w:line="318" w:lineRule="auto"/>
        <w:tabs>
          <w:tab w:leader="none" w:pos="1880" w:val="left"/>
        </w:tabs>
        <w:numPr>
          <w:ilvl w:val="0"/>
          <w:numId w:val="4"/>
        </w:numPr>
        <w:rPr>
          <w:rFonts w:ascii="Arial" w:cs="Arial" w:eastAsia="Arial" w:hAnsi="Arial"/>
          <w:sz w:val="10"/>
          <w:szCs w:val="10"/>
          <w:color w:val="auto"/>
        </w:rPr>
      </w:pPr>
      <w:r>
        <w:rPr>
          <w:rFonts w:ascii="Arial" w:cs="Arial" w:eastAsia="Arial" w:hAnsi="Arial"/>
          <w:sz w:val="12"/>
          <w:szCs w:val="12"/>
          <w:color w:val="auto"/>
        </w:rPr>
        <w:t>Charterer may extend this charter for one extension period of three or five years, and the charter requires that the charterer provide us with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0"/>
          <w:szCs w:val="10"/>
          <w:color w:val="auto"/>
        </w:rPr>
      </w:pPr>
    </w:p>
    <w:p>
      <w:pPr>
        <w:ind w:left="1880" w:right="320" w:hanging="544"/>
        <w:spacing w:after="0" w:line="318" w:lineRule="auto"/>
        <w:tabs>
          <w:tab w:leader="none" w:pos="1880" w:val="left"/>
        </w:tabs>
        <w:numPr>
          <w:ilvl w:val="0"/>
          <w:numId w:val="4"/>
        </w:numPr>
        <w:rPr>
          <w:rFonts w:ascii="Arial" w:cs="Arial" w:eastAsia="Arial" w:hAnsi="Arial"/>
          <w:sz w:val="10"/>
          <w:szCs w:val="10"/>
          <w:color w:val="auto"/>
        </w:rPr>
      </w:pPr>
      <w:r>
        <w:rPr>
          <w:rFonts w:ascii="Arial" w:cs="Arial" w:eastAsia="Arial" w:hAnsi="Arial"/>
          <w:sz w:val="12"/>
          <w:szCs w:val="12"/>
          <w:color w:val="auto"/>
        </w:rPr>
        <w:t>Charterer may extend the term of two of the related charters for one extension period of three or five years, and each charter requires that the charterer provide us with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0"/>
          <w:szCs w:val="10"/>
          <w:color w:val="auto"/>
        </w:rPr>
      </w:pPr>
    </w:p>
    <w:p>
      <w:pPr>
        <w:ind w:left="1880" w:hanging="544"/>
        <w:spacing w:after="0"/>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 xml:space="preserve">On October 20, 2017, GasLog Partners acquired from GasLog 100% of the shares in the entity that owns and charters the </w:t>
      </w:r>
      <w:r>
        <w:rPr>
          <w:rFonts w:ascii="Arial" w:cs="Arial" w:eastAsia="Arial" w:hAnsi="Arial"/>
          <w:sz w:val="14"/>
          <w:szCs w:val="14"/>
          <w:i w:val="1"/>
          <w:iCs w:val="1"/>
          <w:color w:val="auto"/>
        </w:rPr>
        <w:t>Solaris</w:t>
      </w:r>
      <w:r>
        <w:rPr>
          <w:rFonts w:ascii="Arial" w:cs="Arial" w:eastAsia="Arial" w:hAnsi="Arial"/>
          <w:sz w:val="14"/>
          <w:szCs w:val="14"/>
          <w:color w:val="auto"/>
        </w:rPr>
        <w:t>.</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left="240" w:firstLine="351"/>
        <w:spacing w:after="0" w:line="288" w:lineRule="auto"/>
        <w:rPr>
          <w:sz w:val="20"/>
          <w:szCs w:val="20"/>
          <w:color w:val="auto"/>
        </w:rPr>
      </w:pPr>
      <w:r>
        <w:rPr>
          <w:rFonts w:ascii="Arial" w:cs="Arial" w:eastAsia="Arial" w:hAnsi="Arial"/>
          <w:sz w:val="16"/>
          <w:szCs w:val="16"/>
          <w:color w:val="auto"/>
        </w:rPr>
        <w:t xml:space="preserve">In April 2015, the charter expirations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were amended. The initial terms of the time charters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were each extended by four months to May 2018 and July 2018, respectively, whilst the initial term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was shortened by eight months to September 2018. The options to extend the initial terms have not been exercised and as such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are due to come off charter in May 2018, July 2018 and September 2018, respectively, each plus or minus 30 days. In October 2017, the charterer of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notified us of its intention not to exercise the charter extension option. As such,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is due to come off charter in October 2019 plus or minus 30 days. The charterer of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Alison Victoria </w:t>
      </w:r>
      <w:r>
        <w:rPr>
          <w:rFonts w:ascii="Arial" w:cs="Arial" w:eastAsia="Arial" w:hAnsi="Arial"/>
          <w:sz w:val="16"/>
          <w:szCs w:val="16"/>
          <w:color w:val="auto"/>
        </w:rPr>
        <w:t>has not exercised its charter extension option within the required notice period. As a result, the</w:t>
      </w:r>
      <w:r>
        <w:rPr>
          <w:rFonts w:ascii="Arial" w:cs="Arial" w:eastAsia="Arial" w:hAnsi="Arial"/>
          <w:sz w:val="16"/>
          <w:szCs w:val="16"/>
          <w:i w:val="1"/>
          <w:iCs w:val="1"/>
          <w:color w:val="auto"/>
        </w:rPr>
        <w:t xml:space="preserve"> Methane Alison Victoria </w:t>
      </w:r>
      <w:r>
        <w:rPr>
          <w:rFonts w:ascii="Arial" w:cs="Arial" w:eastAsia="Arial" w:hAnsi="Arial"/>
          <w:sz w:val="16"/>
          <w:szCs w:val="16"/>
          <w:color w:val="auto"/>
        </w:rPr>
        <w:t>is now due to come</w:t>
      </w:r>
      <w:r>
        <w:rPr>
          <w:rFonts w:ascii="Arial" w:cs="Arial" w:eastAsia="Arial" w:hAnsi="Arial"/>
          <w:sz w:val="16"/>
          <w:szCs w:val="16"/>
          <w:i w:val="1"/>
          <w:iCs w:val="1"/>
          <w:color w:val="auto"/>
        </w:rPr>
        <w:t xml:space="preserve"> </w:t>
      </w:r>
      <w:r>
        <w:rPr>
          <w:rFonts w:ascii="Arial" w:cs="Arial" w:eastAsia="Arial" w:hAnsi="Arial"/>
          <w:sz w:val="16"/>
          <w:szCs w:val="16"/>
          <w:color w:val="auto"/>
        </w:rPr>
        <w:t>off charter in December 2019 plus or minus 30 days. GasLog Partners continues to pursue opportunities for new multi-year charters with third parties for the vessels and, on an interim basis, may consider trading the vessels in the spot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56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25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
        <w:spacing w:after="0" w:line="256" w:lineRule="auto"/>
        <w:rPr>
          <w:sz w:val="20"/>
          <w:szCs w:val="20"/>
          <w:color w:val="auto"/>
        </w:rPr>
      </w:pPr>
      <w:r>
        <w:rPr>
          <w:rFonts w:ascii="Arial" w:cs="Arial" w:eastAsia="Arial" w:hAnsi="Arial"/>
          <w:sz w:val="18"/>
          <w:szCs w:val="18"/>
          <w:color w:val="auto"/>
        </w:rPr>
        <w:t xml:space="preserve">market, pursuing the most advantageous redeployment depending on evolving market conditions. It should be noted, that for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GasLog Partners has the option to enter into a bareboat charter or time charter arrangement with GasLog designed to guarantee the total cash available for distribution from the vessel for one year, such option being agreed to at the time the amendments to the initial charter terms, referenced above, were accepted.</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Additional Vessels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Vessel Interests Purchase Options</w:t>
      </w:r>
    </w:p>
    <w:p>
      <w:pPr>
        <w:spacing w:after="0" w:line="225" w:lineRule="exact"/>
        <w:rPr>
          <w:sz w:val="20"/>
          <w:szCs w:val="20"/>
          <w:color w:val="auto"/>
        </w:rPr>
      </w:pPr>
    </w:p>
    <w:p>
      <w:pPr>
        <w:ind w:left="240" w:right="140" w:firstLine="348"/>
        <w:spacing w:after="0" w:line="289" w:lineRule="auto"/>
        <w:rPr>
          <w:sz w:val="20"/>
          <w:szCs w:val="20"/>
          <w:color w:val="auto"/>
        </w:rPr>
      </w:pPr>
      <w:r>
        <w:rPr>
          <w:rFonts w:ascii="Arial" w:cs="Arial" w:eastAsia="Arial" w:hAnsi="Arial"/>
          <w:sz w:val="16"/>
          <w:szCs w:val="16"/>
          <w:color w:val="auto"/>
        </w:rPr>
        <w:t xml:space="preserve">We currently have the option to purchase from GasLog: (i)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within 36 months after GasLog notifies our board of directors of their acceptance by their charterers, (ii) as provided for under the addendum to the omnibus agreement dated April 21, 2015 among GasLog, GasLog Partners, our general partner and GasLog Partners Holdings,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(which is subject to a multi-year charter to MSL), within 36 months after the completion of their acquisition by GasLog on March 31, 2015, which options will expire in March 2018 if not extended and (iii)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within 30 days after GasLog notifies us that the vessel has commenced its charter. In each case, our option to purchase is at fair market value as determined pursuant to the omnibus agreement. See "Item 7. Major Unitholders and Related Party Transactions—B. Related Party Transactions—Omnibus Agreement—Noncompetition" of our Annual Report on Form 20-F for additional information on the LNG carrier purchase options.</w:t>
      </w:r>
    </w:p>
    <w:p>
      <w:pPr>
        <w:spacing w:after="0" w:line="15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Cargo</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Year</w:t>
            </w: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Capacity</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3980" w:type="dxa"/>
            <w:vAlign w:val="bottom"/>
            <w:tcBorders>
              <w:bottom w:val="single" w:sz="8" w:color="auto"/>
            </w:tcBorders>
            <w:gridSpan w:val="2"/>
          </w:tcPr>
          <w:p>
            <w:pPr>
              <w:ind w:left="1640"/>
              <w:spacing w:after="0"/>
              <w:rPr>
                <w:sz w:val="20"/>
                <w:szCs w:val="20"/>
                <w:color w:val="auto"/>
              </w:rPr>
            </w:pPr>
            <w:r>
              <w:rPr>
                <w:rFonts w:ascii="Arial" w:cs="Arial" w:eastAsia="Arial" w:hAnsi="Arial"/>
                <w:sz w:val="14"/>
                <w:szCs w:val="14"/>
                <w:b w:val="1"/>
                <w:bCs w:val="1"/>
                <w:color w:val="auto"/>
              </w:rPr>
              <w:t>Vessel Name</w:t>
            </w:r>
          </w:p>
        </w:tc>
        <w:tc>
          <w:tcPr>
            <w:tcW w:w="160" w:type="dxa"/>
            <w:vAlign w:val="bottom"/>
          </w:tcPr>
          <w:p>
            <w:pPr>
              <w:spacing w:after="0"/>
              <w:rPr>
                <w:sz w:val="15"/>
                <w:szCs w:val="15"/>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Built</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Expiration</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1</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Glasgow</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2026</w:t>
            </w:r>
          </w:p>
        </w:tc>
        <w:tc>
          <w:tcPr>
            <w:tcW w:w="0" w:type="dxa"/>
            <w:vAlign w:val="bottom"/>
          </w:tcPr>
          <w:p>
            <w:pPr>
              <w:spacing w:after="0"/>
              <w:rPr>
                <w:sz w:val="1"/>
                <w:szCs w:val="1"/>
                <w:color w:val="auto"/>
              </w:rPr>
            </w:pPr>
          </w:p>
        </w:tc>
      </w:tr>
      <w:tr>
        <w:trPr>
          <w:trHeight w:val="216"/>
        </w:trPr>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2</w:t>
            </w:r>
          </w:p>
        </w:tc>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GasLog Gibraltar</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174,000</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October 2023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3</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Becki Anne</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2024</w:t>
            </w:r>
          </w:p>
        </w:tc>
        <w:tc>
          <w:tcPr>
            <w:tcW w:w="0" w:type="dxa"/>
            <w:vAlign w:val="bottom"/>
          </w:tcPr>
          <w:p>
            <w:pPr>
              <w:spacing w:after="0"/>
              <w:rPr>
                <w:sz w:val="1"/>
                <w:szCs w:val="1"/>
                <w:color w:val="auto"/>
              </w:rPr>
            </w:pPr>
          </w:p>
        </w:tc>
      </w:tr>
      <w:tr>
        <w:trPr>
          <w:trHeight w:val="257"/>
        </w:trPr>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4</w:t>
            </w:r>
          </w:p>
        </w:tc>
        <w:tc>
          <w:tcPr>
            <w:tcW w:w="3980" w:type="dxa"/>
            <w:vAlign w:val="bottom"/>
            <w:gridSpan w:val="2"/>
          </w:tcPr>
          <w:p>
            <w:pPr>
              <w:spacing w:after="0" w:line="256" w:lineRule="exact"/>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29"/>
                <w:szCs w:val="29"/>
                <w:color w:val="auto"/>
                <w:vertAlign w:val="superscript"/>
              </w:rPr>
              <w:t>(2)</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2010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170,000</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March 2026</w:t>
            </w:r>
          </w:p>
        </w:tc>
        <w:tc>
          <w:tcPr>
            <w:tcW w:w="0" w:type="dxa"/>
            <w:vAlign w:val="bottom"/>
          </w:tcPr>
          <w:p>
            <w:pPr>
              <w:spacing w:after="0"/>
              <w:rPr>
                <w:sz w:val="1"/>
                <w:szCs w:val="1"/>
                <w:color w:val="auto"/>
              </w:rPr>
            </w:pPr>
          </w:p>
        </w:tc>
      </w:tr>
      <w:tr>
        <w:trPr>
          <w:trHeight w:val="257"/>
        </w:trPr>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5</w:t>
            </w:r>
          </w:p>
        </w:tc>
        <w:tc>
          <w:tcPr>
            <w:tcW w:w="3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GasLog Houston</w:t>
            </w:r>
            <w:r>
              <w:rPr>
                <w:rFonts w:ascii="Arial" w:cs="Arial" w:eastAsia="Arial" w:hAnsi="Arial"/>
                <w:sz w:val="29"/>
                <w:szCs w:val="29"/>
                <w:color w:val="auto"/>
                <w:vertAlign w:val="superscript"/>
              </w:rPr>
              <w:t>(3)</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LP-2S</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2028</w:t>
            </w: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Indicates the expiration of the initial fixed term.</w:t>
      </w:r>
    </w:p>
    <w:p>
      <w:pPr>
        <w:spacing w:after="0" w:line="122" w:lineRule="exact"/>
        <w:rPr>
          <w:rFonts w:ascii="Arial" w:cs="Arial" w:eastAsia="Arial" w:hAnsi="Arial"/>
          <w:sz w:val="11"/>
          <w:szCs w:val="11"/>
          <w:color w:val="auto"/>
        </w:rPr>
      </w:pPr>
    </w:p>
    <w:p>
      <w:pPr>
        <w:ind w:left="1880" w:hanging="544"/>
        <w:spacing w:after="0" w:line="278" w:lineRule="auto"/>
        <w:tabs>
          <w:tab w:leader="none" w:pos="1880" w:val="left"/>
        </w:tabs>
        <w:numPr>
          <w:ilvl w:val="0"/>
          <w:numId w:val="5"/>
        </w:numPr>
        <w:rPr>
          <w:rFonts w:ascii="Arial" w:cs="Arial" w:eastAsia="Arial" w:hAnsi="Arial"/>
          <w:sz w:val="10"/>
          <w:szCs w:val="10"/>
          <w:color w:val="auto"/>
        </w:rPr>
      </w:pPr>
      <w:r>
        <w:rPr>
          <w:rFonts w:ascii="Arial" w:cs="Arial" w:eastAsia="Arial" w:hAnsi="Arial"/>
          <w:sz w:val="12"/>
          <w:szCs w:val="12"/>
          <w:color w:val="auto"/>
        </w:rPr>
        <w:t xml:space="preserve">On February 24, 2016, GasLog's subsidiary, GAS-twenty six Ltd., completed the sale and leaseback of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with Lepta Shipping. Lepta Shipping has the right to on-sell and lease back the vessel. The vessel was sold to Lepta Shipping for a total consideration approximately equivalent to its then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 year charter with MSL.</w:t>
      </w:r>
    </w:p>
    <w:p>
      <w:pPr>
        <w:spacing w:after="0" w:line="89" w:lineRule="exact"/>
        <w:rPr>
          <w:rFonts w:ascii="Arial" w:cs="Arial" w:eastAsia="Arial" w:hAnsi="Arial"/>
          <w:sz w:val="10"/>
          <w:szCs w:val="10"/>
          <w:color w:val="auto"/>
        </w:rPr>
      </w:pPr>
    </w:p>
    <w:p>
      <w:pPr>
        <w:ind w:left="1880" w:hanging="544"/>
        <w:spacing w:after="0"/>
        <w:tabs>
          <w:tab w:leader="none" w:pos="1880" w:val="left"/>
        </w:tabs>
        <w:numPr>
          <w:ilvl w:val="0"/>
          <w:numId w:val="5"/>
        </w:numPr>
        <w:rPr>
          <w:rFonts w:ascii="Arial" w:cs="Arial" w:eastAsia="Arial" w:hAnsi="Arial"/>
          <w:sz w:val="11"/>
          <w:szCs w:val="11"/>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will be delivered to Shell on February 14, 2019 plus or minus 45 days at the charterer's option.</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left="240" w:right="80" w:firstLine="351"/>
        <w:spacing w:after="0" w:line="291"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four newbuildings listed below will each qualify as a Five-Year Vessel upon commencement of their respective charters, and GasLog will be required to offer to us an opportunity to purchase each vessel at fair market value within 30 days of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744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744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color w:val="auto"/>
        </w:rPr>
        <w:t>commencement of its charter. Generally, we must exercise this right of first offer within 30 days following the notice from GasLog that the vessel has been acquired or has become a Five-Year Vessel.</w:t>
      </w:r>
    </w:p>
    <w:p>
      <w:pPr>
        <w:spacing w:after="0" w:line="16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Cargo</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Capacity</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Propulsion</w:t>
            </w:r>
            <w:r>
              <w:rPr>
                <w:rFonts w:ascii="Arial" w:cs="Arial" w:eastAsia="Arial" w:hAnsi="Arial"/>
                <w:sz w:val="22"/>
                <w:szCs w:val="22"/>
                <w:b w:val="1"/>
                <w:bCs w:val="1"/>
                <w:color w:val="auto"/>
                <w:w w:val="81"/>
                <w:vertAlign w:val="superscript"/>
              </w:rPr>
              <w:t>(2)</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356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Vessel Name</w:t>
            </w:r>
          </w:p>
        </w:tc>
        <w:tc>
          <w:tcPr>
            <w:tcW w:w="160" w:type="dxa"/>
            <w:vAlign w:val="bottom"/>
          </w:tcPr>
          <w:p>
            <w:pPr>
              <w:spacing w:after="0"/>
              <w:rPr>
                <w:sz w:val="15"/>
                <w:szCs w:val="15"/>
                <w:color w:val="auto"/>
              </w:rPr>
            </w:pPr>
          </w:p>
        </w:tc>
        <w:tc>
          <w:tcPr>
            <w:tcW w:w="76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3"/>
                <w:szCs w:val="13"/>
                <w:b w:val="1"/>
                <w:bCs w:val="1"/>
                <w:color w:val="auto"/>
              </w:rPr>
              <w:t>Built</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1</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2130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Q1 2018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2</w:t>
            </w:r>
          </w:p>
        </w:tc>
        <w:tc>
          <w:tcPr>
            <w:tcW w:w="3560" w:type="dxa"/>
            <w:vAlign w:val="bottom"/>
            <w:gridSpan w:val="2"/>
          </w:tcPr>
          <w:p>
            <w:pPr>
              <w:spacing w:after="0"/>
              <w:rPr>
                <w:sz w:val="20"/>
                <w:szCs w:val="20"/>
                <w:color w:val="auto"/>
              </w:rPr>
            </w:pPr>
            <w:r>
              <w:rPr>
                <w:rFonts w:ascii="Arial" w:cs="Arial" w:eastAsia="Arial" w:hAnsi="Arial"/>
                <w:sz w:val="18"/>
                <w:szCs w:val="18"/>
                <w:i w:val="1"/>
                <w:iCs w:val="1"/>
                <w:color w:val="auto"/>
              </w:rPr>
              <w:t>Hull No. 2801</w:t>
            </w:r>
          </w:p>
        </w:tc>
        <w:tc>
          <w:tcPr>
            <w:tcW w:w="16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Q1 2018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174,000</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3</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2131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Q1 2019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2"/>
        </w:trPr>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4</w:t>
            </w:r>
          </w:p>
        </w:tc>
        <w:tc>
          <w:tcPr>
            <w:tcW w:w="3560" w:type="dxa"/>
            <w:vAlign w:val="bottom"/>
            <w:gridSpan w:val="2"/>
          </w:tcPr>
          <w:p>
            <w:pPr>
              <w:spacing w:after="0"/>
              <w:rPr>
                <w:sz w:val="20"/>
                <w:szCs w:val="20"/>
                <w:color w:val="auto"/>
              </w:rPr>
            </w:pPr>
            <w:r>
              <w:rPr>
                <w:rFonts w:ascii="Arial" w:cs="Arial" w:eastAsia="Arial" w:hAnsi="Arial"/>
                <w:sz w:val="18"/>
                <w:szCs w:val="18"/>
                <w:i w:val="1"/>
                <w:iCs w:val="1"/>
                <w:color w:val="auto"/>
              </w:rPr>
              <w:t>Hull No. 2213</w:t>
            </w:r>
          </w:p>
        </w:tc>
        <w:tc>
          <w:tcPr>
            <w:tcW w:w="16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Q2 2020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180,000</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Centrica</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102"/>
        </w:trPr>
        <w:tc>
          <w:tcPr>
            <w:tcW w:w="3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6"/>
        </w:numPr>
        <w:rPr>
          <w:rFonts w:ascii="Arial" w:cs="Arial" w:eastAsia="Arial" w:hAnsi="Arial"/>
          <w:sz w:val="11"/>
          <w:szCs w:val="11"/>
          <w:color w:val="auto"/>
        </w:rPr>
      </w:pPr>
      <w:r>
        <w:rPr>
          <w:rFonts w:ascii="Arial" w:cs="Arial" w:eastAsia="Arial" w:hAnsi="Arial"/>
          <w:sz w:val="14"/>
          <w:szCs w:val="14"/>
          <w:color w:val="auto"/>
        </w:rPr>
        <w:t>Expected delivery quarters are presented.</w:t>
      </w:r>
    </w:p>
    <w:p>
      <w:pPr>
        <w:spacing w:after="0" w:line="122" w:lineRule="exact"/>
        <w:rPr>
          <w:rFonts w:ascii="Arial" w:cs="Arial" w:eastAsia="Arial" w:hAnsi="Arial"/>
          <w:sz w:val="11"/>
          <w:szCs w:val="11"/>
          <w:color w:val="auto"/>
        </w:rPr>
      </w:pPr>
    </w:p>
    <w:p>
      <w:pPr>
        <w:ind w:left="1880" w:hanging="544"/>
        <w:spacing w:after="0"/>
        <w:tabs>
          <w:tab w:leader="none" w:pos="1880" w:val="left"/>
        </w:tabs>
        <w:numPr>
          <w:ilvl w:val="0"/>
          <w:numId w:val="6"/>
        </w:numPr>
        <w:rPr>
          <w:rFonts w:ascii="Arial" w:cs="Arial" w:eastAsia="Arial" w:hAnsi="Arial"/>
          <w:sz w:val="11"/>
          <w:szCs w:val="11"/>
          <w:color w:val="auto"/>
        </w:rPr>
      </w:pPr>
      <w:r>
        <w:rPr>
          <w:rFonts w:ascii="Arial" w:cs="Arial" w:eastAsia="Arial" w:hAnsi="Arial"/>
          <w:sz w:val="14"/>
          <w:szCs w:val="14"/>
          <w:color w:val="auto"/>
        </w:rPr>
        <w:t>References to "LP-2S" refer to low pressure dual-fuel two-stroke engine propulsion.</w:t>
      </w:r>
    </w:p>
    <w:p>
      <w:pPr>
        <w:spacing w:after="0" w:line="122" w:lineRule="exact"/>
        <w:rPr>
          <w:rFonts w:ascii="Arial" w:cs="Arial" w:eastAsia="Arial" w:hAnsi="Arial"/>
          <w:sz w:val="11"/>
          <w:szCs w:val="11"/>
          <w:color w:val="auto"/>
        </w:rPr>
      </w:pPr>
    </w:p>
    <w:p>
      <w:pPr>
        <w:ind w:left="1880" w:hanging="544"/>
        <w:spacing w:after="0"/>
        <w:tabs>
          <w:tab w:leader="none" w:pos="1880" w:val="left"/>
        </w:tabs>
        <w:numPr>
          <w:ilvl w:val="0"/>
          <w:numId w:val="6"/>
        </w:numPr>
        <w:rPr>
          <w:rFonts w:ascii="Arial" w:cs="Arial" w:eastAsia="Arial" w:hAnsi="Arial"/>
          <w:sz w:val="11"/>
          <w:szCs w:val="11"/>
          <w:color w:val="auto"/>
        </w:rPr>
      </w:pPr>
      <w:r>
        <w:rPr>
          <w:rFonts w:ascii="Arial" w:cs="Arial" w:eastAsia="Arial" w:hAnsi="Arial"/>
          <w:sz w:val="14"/>
          <w:szCs w:val="14"/>
          <w:color w:val="auto"/>
        </w:rPr>
        <w:t>Charter expiration to be determined based upon actual date of delivery.</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ind w:left="240" w:right="20" w:firstLine="351"/>
        <w:spacing w:after="0" w:line="259" w:lineRule="auto"/>
        <w:rPr>
          <w:sz w:val="20"/>
          <w:szCs w:val="20"/>
          <w:color w:val="auto"/>
        </w:rPr>
      </w:pPr>
      <w:r>
        <w:rPr>
          <w:rFonts w:ascii="Arial" w:cs="Arial" w:eastAsia="Arial" w:hAnsi="Arial"/>
          <w:sz w:val="18"/>
          <w:szCs w:val="18"/>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prospectus supplement.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Vessel Acquisition Considerations</w:t>
      </w:r>
    </w:p>
    <w:p>
      <w:pPr>
        <w:spacing w:after="0" w:line="225"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the date of this prospectus supplement,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Relationship with GasLog Ltd.</w:t>
      </w:r>
    </w:p>
    <w:p>
      <w:pPr>
        <w:spacing w:after="0" w:line="231" w:lineRule="exact"/>
        <w:rPr>
          <w:sz w:val="20"/>
          <w:szCs w:val="20"/>
          <w:color w:val="auto"/>
        </w:rPr>
      </w:pPr>
    </w:p>
    <w:p>
      <w:pPr>
        <w:ind w:left="240" w:right="160" w:firstLine="348"/>
        <w:spacing w:after="0" w:line="288" w:lineRule="auto"/>
        <w:rPr>
          <w:sz w:val="20"/>
          <w:szCs w:val="20"/>
          <w:color w:val="auto"/>
        </w:rPr>
      </w:pPr>
      <w:r>
        <w:rPr>
          <w:rFonts w:ascii="Arial" w:cs="Arial" w:eastAsia="Arial" w:hAnsi="Arial"/>
          <w:sz w:val="16"/>
          <w:szCs w:val="16"/>
          <w:color w:val="auto"/>
        </w:rPr>
        <w:t>We believe that one of our principal strengths is our relationship with GasLog. We believe our relationship with GasLog gives us access to GasLog's relationships with leading energy companies, shipbuilders, financing sources and suppliers and to its technical, commercial and managerial expertise, which we believe will allow us to compete more effectively when seeking additional customers. As of January 9, 2018, GasLog's wholly owned fleet includes 16 LNG carriers (including eleven ships in operation and five LNG carriers on order) and GasLog has one LNG carrier operating under its technical management for third parties and a vessel secured under a long-term bareboat charter from Lepta Shipping. In addition, GasLog holds a 25.9% interest (including the 2% interest through general partner units) in the Partnership. GasLog was incorporated in 2003 and is effectively controlled by its chairman, Peter G. Livanos, who beneficially owns approximately 40.1% of GasLog's common shares. Mr. Livanos's family's shipping activities commenced more than 100 years ago. Since its initial public offering in April 2012, GasLog has increased by approximately 70% the total carrying capacity of vessels in its fleet, which includes vessels on the water and newbuildings on order. In addition, GasLog,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11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1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98" w:lineRule="auto"/>
        <w:rPr>
          <w:sz w:val="20"/>
          <w:szCs w:val="20"/>
          <w:color w:val="auto"/>
        </w:rPr>
      </w:pPr>
      <w:r>
        <w:rPr>
          <w:rFonts w:ascii="Arial" w:cs="Arial" w:eastAsia="Arial" w:hAnsi="Arial"/>
          <w:sz w:val="16"/>
          <w:szCs w:val="16"/>
          <w:color w:val="auto"/>
        </w:rPr>
        <w:t xml:space="preserve">through its wholly owned subsidiary GasLog LNG Services, provides ship management services to the LNG carriers in our fleet, except for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which is managed by a subsidiary of Shell and, subject to any alternative arrangements with the applicable charterer, additional ships we may acquire from GasLog. GasLog also provides certain administrative and commercial management services to the Partnership. There are also risks associated with GasLog that may affect us. See "Item 3. Key Information—D. Risk Factors—Risks Inherent in Our Business" of our Annual Report on Form 20-F.</w:t>
      </w:r>
    </w:p>
    <w:p>
      <w:pPr>
        <w:spacing w:after="0" w:line="167" w:lineRule="exact"/>
        <w:rPr>
          <w:sz w:val="20"/>
          <w:szCs w:val="20"/>
          <w:color w:val="auto"/>
        </w:rPr>
      </w:pPr>
    </w:p>
    <w:p>
      <w:pPr>
        <w:ind w:left="240" w:right="20" w:firstLine="351"/>
        <w:spacing w:after="0" w:line="298" w:lineRule="auto"/>
        <w:rPr>
          <w:sz w:val="20"/>
          <w:szCs w:val="20"/>
          <w:color w:val="auto"/>
        </w:rPr>
      </w:pPr>
      <w:r>
        <w:rPr>
          <w:rFonts w:ascii="Arial" w:cs="Arial" w:eastAsia="Arial" w:hAnsi="Arial"/>
          <w:sz w:val="16"/>
          <w:szCs w:val="16"/>
          <w:color w:val="auto"/>
        </w:rPr>
        <w:t>Upon completion of this offering, GasLog will own our 2.0% general partner interest, all of our incentive distribution rights and 9,984,716 common units. Our general partner, by virtue of its general partner interest, controls the appointment of four of our seven directors (subject to its right to transfer the power to elect one director to the common unitholders so that they will thereafter elect a majority of our directors). GasLog intends to utilize us as its primary growth vehicle to pursue the acquisition of LNG carriers that are expected to generate long-term, stable cash flows.</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Our principal executive offices are located at Gildo Pastor Center, 7 Rue du Gabian, MC 98000, Monaco, and our phone number is + 377 97 97 51 15. We make our periodic reports and other information filed with or furnished to the SEC, available, free of charge through our website at www.gaslogmlp.com as soon as reasonably practicable after those reports and other information are electronically filed with or furnished to the SEC. See "Where You Can Find More Information" for an explanation of our reporting requirements as a foreign private issuer.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7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47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Organizational and Ownership Structure</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and diagram depict our simplified organizational and ownership structure as of January 9, 2018:</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20" w:type="dxa"/>
            <w:vAlign w:val="bottom"/>
          </w:tcPr>
          <w:p>
            <w:pPr>
              <w:jc w:val="right"/>
              <w:ind w:right="8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r>
      <w:tr>
        <w:trPr>
          <w:trHeight w:val="176"/>
        </w:trPr>
        <w:tc>
          <w:tcPr>
            <w:tcW w:w="20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920" w:type="dxa"/>
            <w:vAlign w:val="bottom"/>
            <w:tcBorders>
              <w:bottom w:val="single" w:sz="8" w:color="auto"/>
            </w:tcBorders>
          </w:tcPr>
          <w:p>
            <w:pPr>
              <w:jc w:val="right"/>
              <w:ind w:right="160"/>
              <w:spacing w:after="0" w:line="176" w:lineRule="exact"/>
              <w:rPr>
                <w:sz w:val="20"/>
                <w:szCs w:val="20"/>
                <w:color w:val="auto"/>
              </w:rPr>
            </w:pPr>
            <w:r>
              <w:rPr>
                <w:rFonts w:ascii="Arial" w:cs="Arial" w:eastAsia="Arial" w:hAnsi="Arial"/>
                <w:sz w:val="13"/>
                <w:szCs w:val="13"/>
                <w:b w:val="1"/>
                <w:bCs w:val="1"/>
                <w:color w:val="auto"/>
              </w:rPr>
              <w:t>Units</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93"/>
              </w:rPr>
              <w:t>Ownership</w:t>
            </w:r>
          </w:p>
        </w:tc>
        <w:tc>
          <w:tcPr>
            <w:tcW w:w="160" w:type="dxa"/>
            <w:vAlign w:val="bottom"/>
          </w:tcPr>
          <w:p>
            <w:pPr>
              <w:spacing w:after="0"/>
              <w:rPr>
                <w:sz w:val="15"/>
                <w:szCs w:val="15"/>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Common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31,017,405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74.14%</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Common Units held by GasLog Ltd.</w:t>
            </w:r>
          </w:p>
        </w:tc>
        <w:tc>
          <w:tcPr>
            <w:tcW w:w="920" w:type="dxa"/>
            <w:vAlign w:val="bottom"/>
          </w:tcPr>
          <w:p>
            <w:pPr>
              <w:jc w:val="right"/>
              <w:spacing w:after="0"/>
              <w:rPr>
                <w:sz w:val="20"/>
                <w:szCs w:val="20"/>
                <w:color w:val="auto"/>
              </w:rPr>
            </w:pPr>
            <w:r>
              <w:rPr>
                <w:rFonts w:ascii="Arial" w:cs="Arial" w:eastAsia="Arial" w:hAnsi="Arial"/>
                <w:sz w:val="18"/>
                <w:szCs w:val="18"/>
                <w:color w:val="auto"/>
              </w:rPr>
              <w:t>9,984,716</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23.86%</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836,779</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0"/>
        </w:trPr>
        <w:tc>
          <w:tcPr>
            <w:tcW w:w="20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41,838,900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r>
      <w:tr>
        <w:trPr>
          <w:trHeight w:val="20"/>
        </w:trPr>
        <w:tc>
          <w:tcPr>
            <w:tcW w:w="20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2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420" w:hanging="536"/>
        <w:spacing w:after="0" w:line="233" w:lineRule="auto"/>
        <w:tabs>
          <w:tab w:leader="none" w:pos="2420" w:val="left"/>
        </w:tabs>
        <w:numPr>
          <w:ilvl w:val="0"/>
          <w:numId w:val="7"/>
        </w:numPr>
        <w:rPr>
          <w:rFonts w:ascii="Arial" w:cs="Arial" w:eastAsia="Arial" w:hAnsi="Arial"/>
          <w:sz w:val="11"/>
          <w:szCs w:val="11"/>
          <w:color w:val="auto"/>
        </w:rPr>
      </w:pPr>
      <w:r>
        <w:rPr>
          <w:rFonts w:ascii="Arial" w:cs="Arial" w:eastAsia="Arial" w:hAnsi="Arial"/>
          <w:sz w:val="14"/>
          <w:szCs w:val="14"/>
          <w:color w:val="auto"/>
        </w:rPr>
        <w:t>The above table does not include 5,750,000 Series A Preference Units which were issued on May 15, 2017. The Series A Preference Units do not impact the other classes' percentage ownership, as the Series A Preference Units (and the Series B Preference Units (when issued)) are not included in the calculation of "Percentage Interest" as defined in our Partnership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71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771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2940" w:type="dxa"/>
            <w:vAlign w:val="bottom"/>
          </w:tcPr>
          <w:p>
            <w:pPr>
              <w:spacing w:after="0"/>
              <w:rPr>
                <w:sz w:val="19"/>
                <w:szCs w:val="19"/>
                <w:color w:val="auto"/>
              </w:rPr>
            </w:pPr>
          </w:p>
        </w:tc>
        <w:tc>
          <w:tcPr>
            <w:tcW w:w="2820" w:type="dxa"/>
            <w:vAlign w:val="bottom"/>
            <w:gridSpan w:val="2"/>
          </w:tcPr>
          <w:p>
            <w:pPr>
              <w:ind w:left="920"/>
              <w:spacing w:after="0"/>
              <w:rPr>
                <w:sz w:val="20"/>
                <w:szCs w:val="20"/>
                <w:color w:val="auto"/>
              </w:rPr>
            </w:pPr>
            <w:r>
              <w:rPr>
                <w:rFonts w:ascii="Arial" w:cs="Arial" w:eastAsia="Arial" w:hAnsi="Arial"/>
                <w:sz w:val="18"/>
                <w:szCs w:val="18"/>
                <w:b w:val="1"/>
                <w:bCs w:val="1"/>
                <w:color w:val="auto"/>
              </w:rPr>
              <w:t>The Offering</w:t>
            </w:r>
          </w:p>
        </w:tc>
        <w:tc>
          <w:tcPr>
            <w:tcW w:w="17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Issuer</w:t>
            </w: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GasLog Partners LP.</w:t>
            </w: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Securities Offered</w:t>
            </w:r>
          </w:p>
        </w:tc>
        <w:tc>
          <w:tcPr>
            <w:tcW w:w="1480" w:type="dxa"/>
            <w:vAlign w:val="bottom"/>
          </w:tcPr>
          <w:p>
            <w:pPr>
              <w:ind w:left="920"/>
              <w:spacing w:after="0"/>
              <w:rPr>
                <w:sz w:val="20"/>
                <w:szCs w:val="20"/>
                <w:color w:val="auto"/>
              </w:rPr>
            </w:pPr>
            <w:r>
              <w:rPr>
                <w:rFonts w:ascii="Arial" w:cs="Arial" w:eastAsia="Arial" w:hAnsi="Arial"/>
                <w:sz w:val="18"/>
                <w:szCs w:val="18"/>
                <w:color w:val="auto"/>
              </w:rPr>
              <w:t>of our</w:t>
            </w: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w w:val="94"/>
              </w:rPr>
              <w:t>% Series B Cumulative Redeemable Perpetual Fixed to</w:t>
            </w:r>
          </w:p>
        </w:tc>
      </w:tr>
      <w:tr>
        <w:trPr>
          <w:trHeight w:val="216"/>
        </w:trPr>
        <w:tc>
          <w:tcPr>
            <w:tcW w:w="2940" w:type="dxa"/>
            <w:vAlign w:val="bottom"/>
          </w:tcPr>
          <w:p>
            <w:pPr>
              <w:spacing w:after="0"/>
              <w:rPr>
                <w:sz w:val="18"/>
                <w:szCs w:val="18"/>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6"/>
              </w:rPr>
              <w:t>Floating Rate Preference Units ("Series B Preference Units"), liquidation</w:t>
            </w:r>
          </w:p>
        </w:tc>
      </w:tr>
      <w:tr>
        <w:trPr>
          <w:trHeight w:val="216"/>
        </w:trPr>
        <w:tc>
          <w:tcPr>
            <w:tcW w:w="294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preference $25.00 per unit (or</w:t>
            </w: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w w:val="92"/>
              </w:rPr>
              <w:t>units if the underwriters exercise their</w:t>
            </w:r>
          </w:p>
        </w:tc>
      </w:tr>
      <w:tr>
        <w:trPr>
          <w:trHeight w:val="222"/>
        </w:trPr>
        <w:tc>
          <w:tcPr>
            <w:tcW w:w="2940" w:type="dxa"/>
            <w:vAlign w:val="bottom"/>
          </w:tcPr>
          <w:p>
            <w:pPr>
              <w:spacing w:after="0"/>
              <w:rPr>
                <w:sz w:val="19"/>
                <w:szCs w:val="19"/>
                <w:color w:val="auto"/>
              </w:rPr>
            </w:pPr>
          </w:p>
        </w:tc>
        <w:tc>
          <w:tcPr>
            <w:tcW w:w="4520" w:type="dxa"/>
            <w:vAlign w:val="bottom"/>
            <w:gridSpan w:val="3"/>
          </w:tcPr>
          <w:p>
            <w:pPr>
              <w:ind w:left="220"/>
              <w:spacing w:after="0"/>
              <w:rPr>
                <w:sz w:val="20"/>
                <w:szCs w:val="20"/>
                <w:color w:val="auto"/>
              </w:rPr>
            </w:pPr>
            <w:r>
              <w:rPr>
                <w:rFonts w:ascii="Arial" w:cs="Arial" w:eastAsia="Arial" w:hAnsi="Arial"/>
                <w:sz w:val="18"/>
                <w:szCs w:val="18"/>
                <w:color w:val="auto"/>
              </w:rPr>
              <w:t>option to purchase additional units in full).</w:t>
            </w:r>
          </w:p>
        </w:tc>
        <w:tc>
          <w:tcPr>
            <w:tcW w:w="1280" w:type="dxa"/>
            <w:vAlign w:val="bottom"/>
          </w:tcPr>
          <w:p>
            <w:pPr>
              <w:spacing w:after="0"/>
              <w:rPr>
                <w:sz w:val="19"/>
                <w:szCs w:val="19"/>
                <w:color w:val="auto"/>
              </w:rPr>
            </w:pPr>
          </w:p>
        </w:tc>
      </w:tr>
      <w:tr>
        <w:trPr>
          <w:trHeight w:val="426"/>
        </w:trPr>
        <w:tc>
          <w:tcPr>
            <w:tcW w:w="2940" w:type="dxa"/>
            <w:vAlign w:val="bottom"/>
          </w:tcPr>
          <w:p>
            <w:pPr>
              <w:spacing w:after="0"/>
              <w:rPr>
                <w:sz w:val="24"/>
                <w:szCs w:val="24"/>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4"/>
              </w:rPr>
              <w:t>Blenheim Holdings Ltd., which is GasLog Ltd.'s largest shareholder and is</w:t>
            </w:r>
          </w:p>
        </w:tc>
      </w:tr>
      <w:tr>
        <w:trPr>
          <w:trHeight w:val="216"/>
        </w:trPr>
        <w:tc>
          <w:tcPr>
            <w:tcW w:w="2940" w:type="dxa"/>
            <w:vAlign w:val="bottom"/>
          </w:tcPr>
          <w:p>
            <w:pPr>
              <w:spacing w:after="0"/>
              <w:rPr>
                <w:sz w:val="18"/>
                <w:szCs w:val="18"/>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5"/>
              </w:rPr>
              <w:t>controlled by GasLog Ltd.'s chairman, Peter G. Livanos, has indicated an</w:t>
            </w:r>
          </w:p>
        </w:tc>
      </w:tr>
      <w:tr>
        <w:trPr>
          <w:trHeight w:val="216"/>
        </w:trPr>
        <w:tc>
          <w:tcPr>
            <w:tcW w:w="2940" w:type="dxa"/>
            <w:vAlign w:val="bottom"/>
          </w:tcPr>
          <w:p>
            <w:pPr>
              <w:spacing w:after="0"/>
              <w:rPr>
                <w:sz w:val="18"/>
                <w:szCs w:val="18"/>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3"/>
              </w:rPr>
              <w:t>intention to purchase up to an aggregate of approximately $5 million of our</w:t>
            </w:r>
          </w:p>
        </w:tc>
      </w:tr>
      <w:tr>
        <w:trPr>
          <w:trHeight w:val="216"/>
        </w:trPr>
        <w:tc>
          <w:tcPr>
            <w:tcW w:w="2940" w:type="dxa"/>
            <w:vAlign w:val="bottom"/>
          </w:tcPr>
          <w:p>
            <w:pPr>
              <w:spacing w:after="0"/>
              <w:rPr>
                <w:sz w:val="18"/>
                <w:szCs w:val="18"/>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9"/>
              </w:rPr>
              <w:t>Series B Preference Units in this offering at the public offering price. In</w:t>
            </w:r>
          </w:p>
        </w:tc>
      </w:tr>
      <w:tr>
        <w:trPr>
          <w:trHeight w:val="216"/>
        </w:trPr>
        <w:tc>
          <w:tcPr>
            <w:tcW w:w="2940" w:type="dxa"/>
            <w:vAlign w:val="bottom"/>
          </w:tcPr>
          <w:p>
            <w:pPr>
              <w:spacing w:after="0"/>
              <w:rPr>
                <w:sz w:val="18"/>
                <w:szCs w:val="18"/>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6"/>
              </w:rPr>
              <w:t>addition, certain other directors and officers may also purchase Series B</w:t>
            </w:r>
          </w:p>
        </w:tc>
      </w:tr>
      <w:tr>
        <w:trPr>
          <w:trHeight w:val="222"/>
        </w:trPr>
        <w:tc>
          <w:tcPr>
            <w:tcW w:w="2940" w:type="dxa"/>
            <w:vAlign w:val="bottom"/>
          </w:tcPr>
          <w:p>
            <w:pPr>
              <w:spacing w:after="0"/>
              <w:rPr>
                <w:sz w:val="19"/>
                <w:szCs w:val="19"/>
                <w:color w:val="auto"/>
              </w:rPr>
            </w:pPr>
          </w:p>
        </w:tc>
        <w:tc>
          <w:tcPr>
            <w:tcW w:w="4520" w:type="dxa"/>
            <w:vAlign w:val="bottom"/>
            <w:gridSpan w:val="3"/>
          </w:tcPr>
          <w:p>
            <w:pPr>
              <w:ind w:left="220"/>
              <w:spacing w:after="0"/>
              <w:rPr>
                <w:sz w:val="20"/>
                <w:szCs w:val="20"/>
                <w:color w:val="auto"/>
              </w:rPr>
            </w:pPr>
            <w:r>
              <w:rPr>
                <w:rFonts w:ascii="Arial" w:cs="Arial" w:eastAsia="Arial" w:hAnsi="Arial"/>
                <w:sz w:val="18"/>
                <w:szCs w:val="18"/>
                <w:color w:val="auto"/>
                <w:w w:val="92"/>
              </w:rPr>
              <w:t>Preference Units in the offering at the public offering price.</w:t>
            </w:r>
          </w:p>
        </w:tc>
        <w:tc>
          <w:tcPr>
            <w:tcW w:w="1280" w:type="dxa"/>
            <w:vAlign w:val="bottom"/>
          </w:tcPr>
          <w:p>
            <w:pPr>
              <w:spacing w:after="0"/>
              <w:rPr>
                <w:sz w:val="19"/>
                <w:szCs w:val="19"/>
                <w:color w:val="auto"/>
              </w:rPr>
            </w:pPr>
          </w:p>
        </w:tc>
      </w:tr>
      <w:tr>
        <w:trPr>
          <w:trHeight w:val="426"/>
        </w:trPr>
        <w:tc>
          <w:tcPr>
            <w:tcW w:w="2940" w:type="dxa"/>
            <w:vAlign w:val="bottom"/>
          </w:tcPr>
          <w:p>
            <w:pPr>
              <w:spacing w:after="0"/>
              <w:rPr>
                <w:sz w:val="24"/>
                <w:szCs w:val="24"/>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89"/>
              </w:rPr>
              <w:t>For a detailed description of the Series B Preference Units, see "Description of</w:t>
            </w:r>
          </w:p>
        </w:tc>
      </w:tr>
      <w:tr>
        <w:trPr>
          <w:trHeight w:val="222"/>
        </w:trPr>
        <w:tc>
          <w:tcPr>
            <w:tcW w:w="2940" w:type="dxa"/>
            <w:vAlign w:val="bottom"/>
          </w:tcPr>
          <w:p>
            <w:pPr>
              <w:spacing w:after="0"/>
              <w:rPr>
                <w:sz w:val="19"/>
                <w:szCs w:val="19"/>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Series B Preference Units".</w:t>
            </w:r>
          </w:p>
        </w:tc>
        <w:tc>
          <w:tcPr>
            <w:tcW w:w="17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Price Per Unit</w:t>
            </w:r>
          </w:p>
        </w:tc>
        <w:tc>
          <w:tcPr>
            <w:tcW w:w="1480" w:type="dxa"/>
            <w:vAlign w:val="bottom"/>
          </w:tcPr>
          <w:p>
            <w:pPr>
              <w:ind w:lef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w w:val="93"/>
              </w:rPr>
              <w:t>Conversion; Exchange and Preemptive</w:t>
            </w: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88"/>
              </w:rPr>
              <w:t>The Series B Preference Units will not have any conversion or exchange rights</w:t>
            </w:r>
          </w:p>
        </w:tc>
      </w:tr>
      <w:tr>
        <w:trPr>
          <w:trHeight w:val="222"/>
        </w:trPr>
        <w:tc>
          <w:tcPr>
            <w:tcW w:w="2940" w:type="dxa"/>
            <w:vAlign w:val="bottom"/>
          </w:tcPr>
          <w:p>
            <w:pPr>
              <w:ind w:left="180"/>
              <w:spacing w:after="0"/>
              <w:rPr>
                <w:sz w:val="20"/>
                <w:szCs w:val="20"/>
                <w:color w:val="auto"/>
              </w:rPr>
            </w:pPr>
            <w:r>
              <w:rPr>
                <w:rFonts w:ascii="Arial" w:cs="Arial" w:eastAsia="Arial" w:hAnsi="Arial"/>
                <w:sz w:val="18"/>
                <w:szCs w:val="18"/>
                <w:color w:val="auto"/>
              </w:rPr>
              <w:t>Rights</w:t>
            </w: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5"/>
              </w:rPr>
              <w:t>or be subject to preemptive rights.</w:t>
            </w:r>
          </w:p>
        </w:tc>
        <w:tc>
          <w:tcPr>
            <w:tcW w:w="17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Distributions</w:t>
            </w: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0"/>
              </w:rPr>
              <w:t>Distributions on Series B Preference Units will accrue and be cumulative from</w:t>
            </w:r>
          </w:p>
        </w:tc>
      </w:tr>
      <w:tr>
        <w:trPr>
          <w:trHeight w:val="216"/>
        </w:trPr>
        <w:tc>
          <w:tcPr>
            <w:tcW w:w="2940" w:type="dxa"/>
            <w:vAlign w:val="bottom"/>
          </w:tcPr>
          <w:p>
            <w:pPr>
              <w:spacing w:after="0"/>
              <w:rPr>
                <w:sz w:val="18"/>
                <w:szCs w:val="18"/>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3"/>
              </w:rPr>
              <w:t>the date that the Series B Preference Units are originally issued and will be</w:t>
            </w:r>
          </w:p>
        </w:tc>
      </w:tr>
      <w:tr>
        <w:trPr>
          <w:trHeight w:val="216"/>
        </w:trPr>
        <w:tc>
          <w:tcPr>
            <w:tcW w:w="2940" w:type="dxa"/>
            <w:vAlign w:val="bottom"/>
          </w:tcPr>
          <w:p>
            <w:pPr>
              <w:spacing w:after="0"/>
              <w:rPr>
                <w:sz w:val="18"/>
                <w:szCs w:val="18"/>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89"/>
              </w:rPr>
              <w:t>payable on each Distribution Payment Date (as defined below) when, as and if</w:t>
            </w:r>
          </w:p>
        </w:tc>
      </w:tr>
      <w:tr>
        <w:trPr>
          <w:trHeight w:val="216"/>
        </w:trPr>
        <w:tc>
          <w:tcPr>
            <w:tcW w:w="2940" w:type="dxa"/>
            <w:vAlign w:val="bottom"/>
          </w:tcPr>
          <w:p>
            <w:pPr>
              <w:spacing w:after="0"/>
              <w:rPr>
                <w:sz w:val="18"/>
                <w:szCs w:val="18"/>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7"/>
              </w:rPr>
              <w:t>declared by our board of directors out of legally available funds for such</w:t>
            </w:r>
          </w:p>
        </w:tc>
      </w:tr>
      <w:tr>
        <w:trPr>
          <w:trHeight w:val="222"/>
        </w:trPr>
        <w:tc>
          <w:tcPr>
            <w:tcW w:w="2940" w:type="dxa"/>
            <w:vAlign w:val="bottom"/>
          </w:tcPr>
          <w:p>
            <w:pPr>
              <w:spacing w:after="0"/>
              <w:rPr>
                <w:sz w:val="19"/>
                <w:szCs w:val="19"/>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purpose.</w:t>
            </w:r>
          </w:p>
        </w:tc>
        <w:tc>
          <w:tcPr>
            <w:tcW w:w="1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Distribution Payment Dates</w:t>
            </w: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3"/>
              </w:rPr>
              <w:t>March 15, June 15, September 15 and December 15 (each, a "Distribution</w:t>
            </w:r>
          </w:p>
        </w:tc>
      </w:tr>
      <w:tr>
        <w:trPr>
          <w:trHeight w:val="216"/>
        </w:trPr>
        <w:tc>
          <w:tcPr>
            <w:tcW w:w="2940" w:type="dxa"/>
            <w:vAlign w:val="bottom"/>
          </w:tcPr>
          <w:p>
            <w:pPr>
              <w:spacing w:after="0"/>
              <w:rPr>
                <w:sz w:val="18"/>
                <w:szCs w:val="18"/>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4"/>
              </w:rPr>
              <w:t>Payment Date") commencing March 15, 2018. If any Distribution Payment</w:t>
            </w:r>
          </w:p>
        </w:tc>
      </w:tr>
      <w:tr>
        <w:trPr>
          <w:trHeight w:val="216"/>
        </w:trPr>
        <w:tc>
          <w:tcPr>
            <w:tcW w:w="2940" w:type="dxa"/>
            <w:vAlign w:val="bottom"/>
          </w:tcPr>
          <w:p>
            <w:pPr>
              <w:spacing w:after="0"/>
              <w:rPr>
                <w:sz w:val="18"/>
                <w:szCs w:val="18"/>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7"/>
              </w:rPr>
              <w:t>Date would otherwise fall on a date that is not a Business Day, then the</w:t>
            </w:r>
          </w:p>
        </w:tc>
      </w:tr>
      <w:tr>
        <w:trPr>
          <w:trHeight w:val="216"/>
        </w:trPr>
        <w:tc>
          <w:tcPr>
            <w:tcW w:w="2940" w:type="dxa"/>
            <w:vAlign w:val="bottom"/>
          </w:tcPr>
          <w:p>
            <w:pPr>
              <w:spacing w:after="0"/>
              <w:rPr>
                <w:sz w:val="18"/>
                <w:szCs w:val="18"/>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6"/>
              </w:rPr>
              <w:t>distribution will be payable on the immediately succeeding Business Day</w:t>
            </w:r>
          </w:p>
        </w:tc>
      </w:tr>
      <w:tr>
        <w:trPr>
          <w:trHeight w:val="216"/>
        </w:trPr>
        <w:tc>
          <w:tcPr>
            <w:tcW w:w="2940" w:type="dxa"/>
            <w:vAlign w:val="bottom"/>
          </w:tcPr>
          <w:p>
            <w:pPr>
              <w:spacing w:after="0"/>
              <w:rPr>
                <w:sz w:val="18"/>
                <w:szCs w:val="18"/>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0"/>
              </w:rPr>
              <w:t>without the accumulation of additional distributions. Distributions will not bear</w:t>
            </w:r>
          </w:p>
        </w:tc>
      </w:tr>
      <w:tr>
        <w:trPr>
          <w:trHeight w:val="222"/>
        </w:trPr>
        <w:tc>
          <w:tcPr>
            <w:tcW w:w="2940" w:type="dxa"/>
            <w:vAlign w:val="bottom"/>
          </w:tcPr>
          <w:p>
            <w:pPr>
              <w:spacing w:after="0"/>
              <w:rPr>
                <w:sz w:val="19"/>
                <w:szCs w:val="19"/>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interest.</w:t>
            </w:r>
          </w:p>
        </w:tc>
        <w:tc>
          <w:tcPr>
            <w:tcW w:w="1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Distribution Rate</w:t>
            </w: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1"/>
              </w:rPr>
              <w:t>From and including the original issue date to, but excluding, March 15, 2023,</w:t>
            </w:r>
          </w:p>
        </w:tc>
      </w:tr>
      <w:tr>
        <w:trPr>
          <w:trHeight w:val="216"/>
        </w:trPr>
        <w:tc>
          <w:tcPr>
            <w:tcW w:w="2940" w:type="dxa"/>
            <w:vAlign w:val="bottom"/>
          </w:tcPr>
          <w:p>
            <w:pPr>
              <w:spacing w:after="0"/>
              <w:rPr>
                <w:sz w:val="18"/>
                <w:szCs w:val="18"/>
                <w:color w:val="auto"/>
              </w:rPr>
            </w:pPr>
          </w:p>
        </w:tc>
        <w:tc>
          <w:tcPr>
            <w:tcW w:w="4520" w:type="dxa"/>
            <w:vAlign w:val="bottom"/>
            <w:gridSpan w:val="3"/>
          </w:tcPr>
          <w:p>
            <w:pPr>
              <w:ind w:left="220"/>
              <w:spacing w:after="0"/>
              <w:rPr>
                <w:sz w:val="20"/>
                <w:szCs w:val="20"/>
                <w:color w:val="auto"/>
              </w:rPr>
            </w:pPr>
            <w:r>
              <w:rPr>
                <w:rFonts w:ascii="Arial" w:cs="Arial" w:eastAsia="Arial" w:hAnsi="Arial"/>
                <w:sz w:val="18"/>
                <w:szCs w:val="18"/>
                <w:color w:val="auto"/>
                <w:w w:val="89"/>
              </w:rPr>
              <w:t>the distribution rate for the Series B Preference Units will be</w:t>
            </w:r>
          </w:p>
        </w:tc>
        <w:tc>
          <w:tcPr>
            <w:tcW w:w="1280" w:type="dxa"/>
            <w:vAlign w:val="bottom"/>
          </w:tcPr>
          <w:p>
            <w:pPr>
              <w:ind w:left="220"/>
              <w:spacing w:after="0"/>
              <w:rPr>
                <w:sz w:val="20"/>
                <w:szCs w:val="20"/>
                <w:color w:val="auto"/>
              </w:rPr>
            </w:pPr>
            <w:r>
              <w:rPr>
                <w:rFonts w:ascii="Arial" w:cs="Arial" w:eastAsia="Arial" w:hAnsi="Arial"/>
                <w:sz w:val="18"/>
                <w:szCs w:val="18"/>
                <w:color w:val="auto"/>
                <w:w w:val="97"/>
              </w:rPr>
              <w:t>% per annum</w:t>
            </w:r>
          </w:p>
        </w:tc>
      </w:tr>
      <w:tr>
        <w:trPr>
          <w:trHeight w:val="216"/>
        </w:trPr>
        <w:tc>
          <w:tcPr>
            <w:tcW w:w="2940" w:type="dxa"/>
            <w:vAlign w:val="bottom"/>
          </w:tcPr>
          <w:p>
            <w:pPr>
              <w:spacing w:after="0"/>
              <w:rPr>
                <w:sz w:val="18"/>
                <w:szCs w:val="18"/>
                <w:color w:val="auto"/>
              </w:rPr>
            </w:pPr>
          </w:p>
        </w:tc>
        <w:tc>
          <w:tcPr>
            <w:tcW w:w="4520" w:type="dxa"/>
            <w:vAlign w:val="bottom"/>
            <w:gridSpan w:val="3"/>
          </w:tcPr>
          <w:p>
            <w:pPr>
              <w:ind w:left="220"/>
              <w:spacing w:after="0"/>
              <w:rPr>
                <w:sz w:val="20"/>
                <w:szCs w:val="20"/>
                <w:color w:val="auto"/>
              </w:rPr>
            </w:pPr>
            <w:r>
              <w:rPr>
                <w:rFonts w:ascii="Arial" w:cs="Arial" w:eastAsia="Arial" w:hAnsi="Arial"/>
                <w:sz w:val="18"/>
                <w:szCs w:val="18"/>
                <w:color w:val="auto"/>
                <w:w w:val="97"/>
              </w:rPr>
              <w:t>per $25.00 of liquidation preference per unit (equal to $</w:t>
            </w: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per annum per</w:t>
            </w:r>
          </w:p>
        </w:tc>
      </w:tr>
      <w:tr>
        <w:trPr>
          <w:trHeight w:val="216"/>
        </w:trPr>
        <w:tc>
          <w:tcPr>
            <w:tcW w:w="2940" w:type="dxa"/>
            <w:vAlign w:val="bottom"/>
          </w:tcPr>
          <w:p>
            <w:pPr>
              <w:spacing w:after="0"/>
              <w:rPr>
                <w:sz w:val="18"/>
                <w:szCs w:val="18"/>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9"/>
              </w:rPr>
              <w:t>unit). From and including March 15, 2023, the distribution rate will be a</w:t>
            </w:r>
          </w:p>
        </w:tc>
      </w:tr>
      <w:tr>
        <w:trPr>
          <w:trHeight w:val="216"/>
        </w:trPr>
        <w:tc>
          <w:tcPr>
            <w:tcW w:w="2940" w:type="dxa"/>
            <w:vAlign w:val="bottom"/>
          </w:tcPr>
          <w:p>
            <w:pPr>
              <w:spacing w:after="0"/>
              <w:rPr>
                <w:sz w:val="18"/>
                <w:szCs w:val="18"/>
                <w:color w:val="auto"/>
              </w:rPr>
            </w:pPr>
          </w:p>
        </w:tc>
        <w:tc>
          <w:tcPr>
            <w:tcW w:w="4520" w:type="dxa"/>
            <w:vAlign w:val="bottom"/>
            <w:gridSpan w:val="3"/>
          </w:tcPr>
          <w:p>
            <w:pPr>
              <w:ind w:left="220"/>
              <w:spacing w:after="0"/>
              <w:rPr>
                <w:sz w:val="20"/>
                <w:szCs w:val="20"/>
                <w:color w:val="auto"/>
              </w:rPr>
            </w:pPr>
            <w:r>
              <w:rPr>
                <w:rFonts w:ascii="Arial" w:cs="Arial" w:eastAsia="Arial" w:hAnsi="Arial"/>
                <w:sz w:val="18"/>
                <w:szCs w:val="18"/>
                <w:color w:val="auto"/>
                <w:w w:val="93"/>
              </w:rPr>
              <w:t>floating rate equal to three-month LIBOR plus a spread of</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 per annum per</w:t>
            </w:r>
          </w:p>
        </w:tc>
      </w:tr>
      <w:tr>
        <w:trPr>
          <w:trHeight w:val="222"/>
        </w:trPr>
        <w:tc>
          <w:tcPr>
            <w:tcW w:w="2940" w:type="dxa"/>
            <w:vAlign w:val="bottom"/>
          </w:tcPr>
          <w:p>
            <w:pPr>
              <w:spacing w:after="0"/>
              <w:rPr>
                <w:sz w:val="19"/>
                <w:szCs w:val="19"/>
                <w:color w:val="auto"/>
              </w:rPr>
            </w:pPr>
          </w:p>
        </w:tc>
        <w:tc>
          <w:tcPr>
            <w:tcW w:w="4520" w:type="dxa"/>
            <w:vAlign w:val="bottom"/>
            <w:gridSpan w:val="3"/>
          </w:tcPr>
          <w:p>
            <w:pPr>
              <w:ind w:left="220"/>
              <w:spacing w:after="0"/>
              <w:rPr>
                <w:sz w:val="20"/>
                <w:szCs w:val="20"/>
                <w:color w:val="auto"/>
              </w:rPr>
            </w:pPr>
            <w:r>
              <w:rPr>
                <w:rFonts w:ascii="Arial" w:cs="Arial" w:eastAsia="Arial" w:hAnsi="Arial"/>
                <w:sz w:val="18"/>
                <w:szCs w:val="18"/>
                <w:color w:val="auto"/>
              </w:rPr>
              <w:t>$25.00 of liquidation preference per unit.</w:t>
            </w:r>
          </w:p>
        </w:tc>
        <w:tc>
          <w:tcPr>
            <w:tcW w:w="1280" w:type="dxa"/>
            <w:vAlign w:val="bottom"/>
          </w:tcPr>
          <w:p>
            <w:pPr>
              <w:spacing w:after="0"/>
              <w:rPr>
                <w:sz w:val="19"/>
                <w:szCs w:val="19"/>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Distribution Calculations</w:t>
            </w: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4"/>
              </w:rPr>
              <w:t>Distributions payable on the Series B Preference Units for any distribution</w:t>
            </w:r>
          </w:p>
        </w:tc>
      </w:tr>
      <w:tr>
        <w:trPr>
          <w:trHeight w:val="222"/>
        </w:trPr>
        <w:tc>
          <w:tcPr>
            <w:tcW w:w="2940" w:type="dxa"/>
            <w:vAlign w:val="bottom"/>
          </w:tcPr>
          <w:p>
            <w:pPr>
              <w:spacing w:after="0"/>
              <w:rPr>
                <w:sz w:val="19"/>
                <w:szCs w:val="19"/>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0"/>
              </w:rPr>
              <w:t>period during the fixed rate period will be calculated based on a 360-day year</w:t>
            </w:r>
          </w:p>
        </w:tc>
      </w:tr>
    </w:tbl>
    <w:p>
      <w:pPr>
        <w:ind w:left="4500" w:right="179"/>
        <w:spacing w:after="0" w:line="295" w:lineRule="auto"/>
        <w:rPr>
          <w:sz w:val="20"/>
          <w:szCs w:val="20"/>
          <w:color w:val="auto"/>
        </w:rPr>
      </w:pPr>
      <w:r>
        <w:rPr>
          <w:rFonts w:ascii="Arial" w:cs="Arial" w:eastAsia="Arial" w:hAnsi="Arial"/>
          <w:sz w:val="16"/>
          <w:szCs w:val="16"/>
          <w:color w:val="auto"/>
        </w:rPr>
        <w:t>consisting of twelve 30-day months. Distributions payable on the Series B Preference Units for any distribution period during the floating rate period will be calculated based on a 360-day year and the number of days actually elapsed during the applicable distribution period.</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22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Ranking</w:t>
            </w:r>
          </w:p>
        </w:tc>
        <w:tc>
          <w:tcPr>
            <w:tcW w:w="8200" w:type="dxa"/>
            <w:vAlign w:val="bottom"/>
            <w:tcBorders>
              <w:top w:val="single" w:sz="8" w:color="auto"/>
              <w:right w:val="single" w:sz="8" w:color="auto"/>
            </w:tcBorders>
          </w:tcPr>
          <w:p>
            <w:pPr>
              <w:ind w:left="1280"/>
              <w:spacing w:after="0"/>
              <w:rPr>
                <w:sz w:val="20"/>
                <w:szCs w:val="20"/>
                <w:color w:val="auto"/>
              </w:rPr>
            </w:pPr>
            <w:r>
              <w:rPr>
                <w:rFonts w:ascii="Arial" w:cs="Arial" w:eastAsia="Arial" w:hAnsi="Arial"/>
                <w:sz w:val="18"/>
                <w:szCs w:val="18"/>
                <w:color w:val="auto"/>
              </w:rPr>
              <w:t>The Series B Preference Units will represent perpetual equity interests in us</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and, unlike our indebtedness, will not give rise to a claim for payment of a</w:t>
            </w:r>
          </w:p>
        </w:tc>
      </w:tr>
      <w:tr>
        <w:trPr>
          <w:trHeight w:val="222"/>
        </w:trPr>
        <w:tc>
          <w:tcPr>
            <w:tcW w:w="3220" w:type="dxa"/>
            <w:vAlign w:val="bottom"/>
            <w:tcBorders>
              <w:left w:val="single" w:sz="8" w:color="auto"/>
            </w:tcBorders>
          </w:tcPr>
          <w:p>
            <w:pPr>
              <w:spacing w:after="0"/>
              <w:rPr>
                <w:sz w:val="19"/>
                <w:szCs w:val="19"/>
                <w:color w:val="auto"/>
              </w:rPr>
            </w:pPr>
          </w:p>
        </w:tc>
        <w:tc>
          <w:tcPr>
            <w:tcW w:w="82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principal amount at a particular date. The Series B Preference Units will rank:</w:t>
            </w:r>
          </w:p>
        </w:tc>
      </w:tr>
      <w:tr>
        <w:trPr>
          <w:trHeight w:val="426"/>
        </w:trPr>
        <w:tc>
          <w:tcPr>
            <w:tcW w:w="3220" w:type="dxa"/>
            <w:vAlign w:val="bottom"/>
            <w:tcBorders>
              <w:left w:val="single" w:sz="8" w:color="auto"/>
            </w:tcBorders>
          </w:tcPr>
          <w:p>
            <w:pPr>
              <w:spacing w:after="0"/>
              <w:rPr>
                <w:sz w:val="24"/>
                <w:szCs w:val="24"/>
                <w:color w:val="auto"/>
              </w:rPr>
            </w:pPr>
          </w:p>
        </w:tc>
        <w:tc>
          <w:tcPr>
            <w:tcW w:w="82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  senior to all classes of our common units, general partner units and to each</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other class or series of limited partner interests established after the original</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issue date of the Series B Preference Units that is expressly made junior to</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the Series B Preference Units as to the payment of distributions and amounts</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payable upon liquidation, dissolution or winding up, whether voluntary or</w:t>
            </w:r>
          </w:p>
        </w:tc>
      </w:tr>
      <w:tr>
        <w:trPr>
          <w:trHeight w:val="222"/>
        </w:trPr>
        <w:tc>
          <w:tcPr>
            <w:tcW w:w="3220" w:type="dxa"/>
            <w:vAlign w:val="bottom"/>
            <w:tcBorders>
              <w:left w:val="single" w:sz="8" w:color="auto"/>
            </w:tcBorders>
          </w:tcPr>
          <w:p>
            <w:pPr>
              <w:spacing w:after="0"/>
              <w:rPr>
                <w:sz w:val="19"/>
                <w:szCs w:val="19"/>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involuntary (collectively, "Junior Securities");</w:t>
            </w:r>
          </w:p>
        </w:tc>
      </w:tr>
      <w:tr>
        <w:trPr>
          <w:trHeight w:val="426"/>
        </w:trPr>
        <w:tc>
          <w:tcPr>
            <w:tcW w:w="3220" w:type="dxa"/>
            <w:vAlign w:val="bottom"/>
            <w:tcBorders>
              <w:left w:val="single" w:sz="8" w:color="auto"/>
            </w:tcBorders>
          </w:tcPr>
          <w:p>
            <w:pPr>
              <w:spacing w:after="0"/>
              <w:rPr>
                <w:sz w:val="24"/>
                <w:szCs w:val="24"/>
                <w:color w:val="auto"/>
              </w:rPr>
            </w:pPr>
          </w:p>
        </w:tc>
        <w:tc>
          <w:tcPr>
            <w:tcW w:w="82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our existing Series A Preference Units and any other class or</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series of limited partner interests or other equity securities established after</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the original issue date of the Series B Preference Units that is not expressly</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subordinated or senior to the Series B Preference Units as to the payment of</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distributions and amounts payable upon liquidation, dissolution or winding</w:t>
            </w:r>
          </w:p>
        </w:tc>
      </w:tr>
      <w:tr>
        <w:trPr>
          <w:trHeight w:val="222"/>
        </w:trPr>
        <w:tc>
          <w:tcPr>
            <w:tcW w:w="3220" w:type="dxa"/>
            <w:vAlign w:val="bottom"/>
            <w:tcBorders>
              <w:left w:val="single" w:sz="8" w:color="auto"/>
            </w:tcBorders>
          </w:tcPr>
          <w:p>
            <w:pPr>
              <w:spacing w:after="0"/>
              <w:rPr>
                <w:sz w:val="19"/>
                <w:szCs w:val="19"/>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up, whether voluntary or involuntary (collectively, "Parity Securities"); and</w:t>
            </w:r>
          </w:p>
        </w:tc>
      </w:tr>
      <w:tr>
        <w:trPr>
          <w:trHeight w:val="426"/>
        </w:trPr>
        <w:tc>
          <w:tcPr>
            <w:tcW w:w="3220" w:type="dxa"/>
            <w:vAlign w:val="bottom"/>
            <w:tcBorders>
              <w:left w:val="single" w:sz="8" w:color="auto"/>
            </w:tcBorders>
          </w:tcPr>
          <w:p>
            <w:pPr>
              <w:spacing w:after="0"/>
              <w:rPr>
                <w:sz w:val="24"/>
                <w:szCs w:val="24"/>
                <w:color w:val="auto"/>
              </w:rPr>
            </w:pPr>
          </w:p>
        </w:tc>
        <w:tc>
          <w:tcPr>
            <w:tcW w:w="82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  junior to (i) all of our indebtedness, including guarantees of our subsidiaries'</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indebtedness, (ii) all other liabilities and (iii) each other class or series of</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limited partner interests expressly made senior to the Series B Preference</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Units as to the payment of distributions and amounts payable upon</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liquidation, dissolution or winding up, whether voluntary or involuntary</w:t>
            </w:r>
          </w:p>
        </w:tc>
      </w:tr>
      <w:tr>
        <w:trPr>
          <w:trHeight w:val="222"/>
        </w:trPr>
        <w:tc>
          <w:tcPr>
            <w:tcW w:w="3220" w:type="dxa"/>
            <w:vAlign w:val="bottom"/>
            <w:tcBorders>
              <w:left w:val="single" w:sz="8" w:color="auto"/>
            </w:tcBorders>
          </w:tcPr>
          <w:p>
            <w:pPr>
              <w:spacing w:after="0"/>
              <w:rPr>
                <w:sz w:val="19"/>
                <w:szCs w:val="19"/>
                <w:color w:val="auto"/>
              </w:rPr>
            </w:pPr>
          </w:p>
        </w:tc>
        <w:tc>
          <w:tcPr>
            <w:tcW w:w="82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(such limited partner interests described in clause (iii), "Senior Securities").</w:t>
            </w:r>
          </w:p>
        </w:tc>
      </w:tr>
      <w:tr>
        <w:trPr>
          <w:trHeight w:val="444"/>
        </w:trPr>
        <w:tc>
          <w:tcPr>
            <w:tcW w:w="3220" w:type="dxa"/>
            <w:vAlign w:val="bottom"/>
            <w:tcBorders>
              <w:left w:val="single" w:sz="8" w:color="auto"/>
              <w:bottom w:val="single" w:sz="8" w:color="auto"/>
            </w:tcBorders>
          </w:tcPr>
          <w:p>
            <w:pPr>
              <w:spacing w:after="0"/>
              <w:rPr>
                <w:sz w:val="24"/>
                <w:szCs w:val="24"/>
                <w:color w:val="auto"/>
              </w:rPr>
            </w:pPr>
          </w:p>
        </w:tc>
        <w:tc>
          <w:tcPr>
            <w:tcW w:w="8200" w:type="dxa"/>
            <w:vAlign w:val="bottom"/>
            <w:tcBorders>
              <w:bottom w:val="single" w:sz="8" w:color="auto"/>
              <w:right w:val="single" w:sz="8" w:color="auto"/>
            </w:tcBorders>
          </w:tcPr>
          <w:p>
            <w:pPr>
              <w:spacing w:after="0"/>
              <w:rPr>
                <w:sz w:val="24"/>
                <w:szCs w:val="24"/>
                <w:color w:val="auto"/>
              </w:rPr>
            </w:pPr>
          </w:p>
        </w:tc>
      </w:tr>
      <w:tr>
        <w:trPr>
          <w:trHeight w:val="427"/>
        </w:trPr>
        <w:tc>
          <w:tcPr>
            <w:tcW w:w="3220" w:type="dxa"/>
            <w:vAlign w:val="bottom"/>
          </w:tcPr>
          <w:p>
            <w:pPr>
              <w:spacing w:after="0"/>
              <w:rPr>
                <w:sz w:val="24"/>
                <w:szCs w:val="24"/>
                <w:color w:val="auto"/>
              </w:rPr>
            </w:pPr>
          </w:p>
        </w:tc>
        <w:tc>
          <w:tcPr>
            <w:tcW w:w="8200" w:type="dxa"/>
            <w:vAlign w:val="bottom"/>
          </w:tcPr>
          <w:p>
            <w:pPr>
              <w:ind w:left="2380"/>
              <w:spacing w:after="0"/>
              <w:rPr>
                <w:sz w:val="20"/>
                <w:szCs w:val="20"/>
                <w:color w:val="auto"/>
              </w:rPr>
            </w:pPr>
            <w:r>
              <w:rPr>
                <w:rFonts w:ascii="Arial" w:cs="Arial" w:eastAsia="Arial" w:hAnsi="Arial"/>
                <w:sz w:val="18"/>
                <w:szCs w:val="18"/>
                <w:color w:val="auto"/>
              </w:rPr>
              <w:t>S-9</w:t>
            </w:r>
          </w:p>
        </w:tc>
      </w:tr>
      <w:tr>
        <w:trPr>
          <w:trHeight w:val="228"/>
        </w:trPr>
        <w:tc>
          <w:tcPr>
            <w:tcW w:w="3220" w:type="dxa"/>
            <w:vAlign w:val="bottom"/>
            <w:tcBorders>
              <w:bottom w:val="single" w:sz="8" w:color="808080"/>
            </w:tcBorders>
          </w:tcPr>
          <w:p>
            <w:pPr>
              <w:spacing w:after="0"/>
              <w:rPr>
                <w:sz w:val="19"/>
                <w:szCs w:val="19"/>
                <w:color w:val="auto"/>
              </w:rPr>
            </w:pPr>
          </w:p>
        </w:tc>
        <w:tc>
          <w:tcPr>
            <w:tcW w:w="8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8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Payment of Distributions</w:t>
            </w:r>
          </w:p>
        </w:tc>
        <w:tc>
          <w:tcPr>
            <w:tcW w:w="762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No distribution may be declared or paid or set apart for payment on any Junior</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Securities unless full cumulative distributions have been or contemporaneously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are being paid or provided for on all outstanding Series B Preference Units and</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any Parity Securities through the most recent respective Distribution Payment</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Dates. Accumulated distributions in arrears for any past distribution period</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may be declared by our board of directors and paid on any date fixed by our</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board of directors, whether or not a Distribution Payment Date, to holders of</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the Series B Preference Units on the record date for such payment, which may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not be more than 60 days, nor less than 15 days, before such payment date.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Subject to the next succeeding sentence, if all accumulated distributions in</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arrears on all issued and outstanding Series B Preference Units and any Parity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Securities have not been declared and paid, or sufficient funds for the payment</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thereof have not been set apart, payment of accumulated distributions in arrears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will be made in order of their respective distribution payment dates,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commencing with the earliest such payment date. If less than all distributions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payable with respect to all Series B Preference Units and any Parity Securities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(including the Series A Preference Units) are paid, any partial payment will be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made pro rata with respect to the Series B Preference Units and any Parity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Securities entitled to a distribution payment at such time in proportion to the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aggregate amounts remaining due in respect of such units at such time. Holders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of the Series B Preference Units will not be entitled to any distribution,</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whether payable in cash, property or units, in excess of full cumulative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distributions. The holders of Series B Preference Units will not receive interest</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on unpaid distributions.</w:t>
            </w:r>
          </w:p>
        </w:tc>
      </w:tr>
      <w:tr>
        <w:trPr>
          <w:trHeight w:val="426"/>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Optional Redemption</w:t>
            </w: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At any time on or after March 15, 2023, we may redeem, in whole or from</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time to time in part, the Series B Preference Units at a redemption price of</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$25.00 per unit plus an amount equal to all accumulated and unpaid</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distributions thereon to the date of redemption, whether or not declared. Any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such redemption would be effected out of funds legally available for such</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purpose. We must provide not less than 30 days' and not more than 60 days'</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written notice of any such redemption.</w:t>
            </w:r>
          </w:p>
        </w:tc>
      </w:tr>
      <w:tr>
        <w:trPr>
          <w:trHeight w:val="444"/>
        </w:trPr>
        <w:tc>
          <w:tcPr>
            <w:tcW w:w="3800" w:type="dxa"/>
            <w:vAlign w:val="bottom"/>
            <w:tcBorders>
              <w:left w:val="single" w:sz="8" w:color="auto"/>
              <w:bottom w:val="single" w:sz="8" w:color="auto"/>
            </w:tcBorders>
          </w:tcPr>
          <w:p>
            <w:pPr>
              <w:spacing w:after="0"/>
              <w:rPr>
                <w:sz w:val="24"/>
                <w:szCs w:val="24"/>
                <w:color w:val="auto"/>
              </w:rPr>
            </w:pPr>
          </w:p>
        </w:tc>
        <w:tc>
          <w:tcPr>
            <w:tcW w:w="7620" w:type="dxa"/>
            <w:vAlign w:val="bottom"/>
            <w:tcBorders>
              <w:bottom w:val="single" w:sz="8" w:color="auto"/>
              <w:right w:val="single" w:sz="8" w:color="auto"/>
            </w:tcBorders>
          </w:tcPr>
          <w:p>
            <w:pPr>
              <w:spacing w:after="0"/>
              <w:rPr>
                <w:sz w:val="24"/>
                <w:szCs w:val="24"/>
                <w:color w:val="auto"/>
              </w:rPr>
            </w:pPr>
          </w:p>
        </w:tc>
      </w:tr>
      <w:tr>
        <w:trPr>
          <w:trHeight w:val="427"/>
        </w:trPr>
        <w:tc>
          <w:tcPr>
            <w:tcW w:w="3800" w:type="dxa"/>
            <w:vAlign w:val="bottom"/>
          </w:tcPr>
          <w:p>
            <w:pPr>
              <w:spacing w:after="0"/>
              <w:rPr>
                <w:sz w:val="24"/>
                <w:szCs w:val="24"/>
                <w:color w:val="auto"/>
              </w:rPr>
            </w:pPr>
          </w:p>
        </w:tc>
        <w:tc>
          <w:tcPr>
            <w:tcW w:w="7620" w:type="dxa"/>
            <w:vAlign w:val="bottom"/>
          </w:tcPr>
          <w:p>
            <w:pPr>
              <w:ind w:left="1740"/>
              <w:spacing w:after="0"/>
              <w:rPr>
                <w:sz w:val="20"/>
                <w:szCs w:val="20"/>
                <w:color w:val="auto"/>
              </w:rPr>
            </w:pPr>
            <w:r>
              <w:rPr>
                <w:rFonts w:ascii="Arial" w:cs="Arial" w:eastAsia="Arial" w:hAnsi="Arial"/>
                <w:sz w:val="18"/>
                <w:szCs w:val="18"/>
                <w:color w:val="auto"/>
              </w:rPr>
              <w:t>S-10</w:t>
            </w:r>
          </w:p>
        </w:tc>
      </w:tr>
      <w:tr>
        <w:trPr>
          <w:trHeight w:val="228"/>
        </w:trPr>
        <w:tc>
          <w:tcPr>
            <w:tcW w:w="3800" w:type="dxa"/>
            <w:vAlign w:val="bottom"/>
            <w:tcBorders>
              <w:bottom w:val="single" w:sz="8" w:color="808080"/>
            </w:tcBorders>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4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Voting Rights</w:t>
            </w:r>
          </w:p>
        </w:tc>
        <w:tc>
          <w:tcPr>
            <w:tcW w:w="802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Holders of the Series B Preference Units generally have no voting rights.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However, if and whenever distributions payable on the Series B Preference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Units are in arrears for six or more quarterly periods, whether or not</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consecutive, holders of Series B Preference Units (voting together as a class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with all other classes or series of Parity Securities upon which like voting</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rights have been conferred and are exercisable, including our Series A</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Preference Units) will be entitled to elect one additional director to serve on</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our board of directors, and the size of our board of directors will be increased</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as needed to accommodate such change (unless the size of our board of</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directors already has been increased by reason of the election of a director by</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holders of Parity Securities upon which like voting rights have been conferred</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and with which the Series B Preference Units voted as a class for the election</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of such director). Distributions payable on the Series B Preference Units will</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be considered to be in arrears for any quarterly period for which full</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cumulative distributions through the most recent distribution payment date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have not been paid on all outstanding Series B Preference Units. The right of</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such holders of Series B Preference Units to elect a member of our board of</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directors will continue until such time as all accumulated and unpaid</w:t>
            </w:r>
          </w:p>
        </w:tc>
      </w:tr>
      <w:tr>
        <w:trPr>
          <w:trHeight w:val="222"/>
        </w:trPr>
        <w:tc>
          <w:tcPr>
            <w:tcW w:w="3400" w:type="dxa"/>
            <w:vAlign w:val="bottom"/>
            <w:tcBorders>
              <w:left w:val="single" w:sz="8" w:color="auto"/>
            </w:tcBorders>
          </w:tcPr>
          <w:p>
            <w:pPr>
              <w:spacing w:after="0"/>
              <w:rPr>
                <w:sz w:val="19"/>
                <w:szCs w:val="19"/>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distributions on the Series B Preference Units have been paid in full.</w:t>
            </w:r>
          </w:p>
        </w:tc>
      </w:tr>
      <w:tr>
        <w:trPr>
          <w:trHeight w:val="426"/>
        </w:trPr>
        <w:tc>
          <w:tcPr>
            <w:tcW w:w="34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In the event that the holders of Series B Preference Units would be entitled to</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elect one additional director in the circumstances described above, our general</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partner would similarly be entitled, at its election, to appoint one additional</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director to serve on our board of directors, and the size of our board of</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directors will be increased as needed to accommodate such change. This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general partner-elected board member will continue to serve for only as long a</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period of time as the director elected by the holders of Series B Preference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Units. The general partner would be expected to exercise the right in order to</w:t>
            </w:r>
          </w:p>
        </w:tc>
      </w:tr>
      <w:tr>
        <w:trPr>
          <w:trHeight w:val="222"/>
        </w:trPr>
        <w:tc>
          <w:tcPr>
            <w:tcW w:w="3400" w:type="dxa"/>
            <w:vAlign w:val="bottom"/>
            <w:tcBorders>
              <w:left w:val="single" w:sz="8" w:color="auto"/>
            </w:tcBorders>
          </w:tcPr>
          <w:p>
            <w:pPr>
              <w:spacing w:after="0"/>
              <w:rPr>
                <w:sz w:val="19"/>
                <w:szCs w:val="19"/>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maintain the majority control of our board that it currently has.</w:t>
            </w:r>
          </w:p>
        </w:tc>
      </w:tr>
      <w:tr>
        <w:trPr>
          <w:trHeight w:val="426"/>
        </w:trPr>
        <w:tc>
          <w:tcPr>
            <w:tcW w:w="34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Unless we have received the affirmative vote or consent of the holders of at</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least two-thirds of the outstanding Series B Preference Units, voting as a single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class, we may not adopt any amendment to our Partnership Agreement that</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would have a material adverse effect on the terms of the Series B Preference</w:t>
            </w:r>
          </w:p>
        </w:tc>
      </w:tr>
      <w:tr>
        <w:trPr>
          <w:trHeight w:val="222"/>
        </w:trPr>
        <w:tc>
          <w:tcPr>
            <w:tcW w:w="3400" w:type="dxa"/>
            <w:vAlign w:val="bottom"/>
            <w:tcBorders>
              <w:left w:val="single" w:sz="8" w:color="auto"/>
            </w:tcBorders>
          </w:tcPr>
          <w:p>
            <w:pPr>
              <w:spacing w:after="0"/>
              <w:rPr>
                <w:sz w:val="19"/>
                <w:szCs w:val="19"/>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Units.</w:t>
            </w:r>
          </w:p>
        </w:tc>
      </w:tr>
      <w:tr>
        <w:trPr>
          <w:trHeight w:val="426"/>
        </w:trPr>
        <w:tc>
          <w:tcPr>
            <w:tcW w:w="34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In addition, unless we have received the affirmative vote or consent of the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holders of at least two-thirds of the outstanding Series B Preference Units,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voting as a class together with holders of any other Parity Securities upon</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which like voting rights have been conferred and are exercisable (including</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holders of our Series A Preference Units), we may not (i) issue any Parity</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Securities if the cumulative distributions payable on outstanding Series B</w:t>
            </w:r>
          </w:p>
        </w:tc>
      </w:tr>
      <w:tr>
        <w:trPr>
          <w:trHeight w:val="222"/>
        </w:trPr>
        <w:tc>
          <w:tcPr>
            <w:tcW w:w="3400" w:type="dxa"/>
            <w:vAlign w:val="bottom"/>
            <w:tcBorders>
              <w:left w:val="single" w:sz="8" w:color="auto"/>
            </w:tcBorders>
          </w:tcPr>
          <w:p>
            <w:pPr>
              <w:spacing w:after="0"/>
              <w:rPr>
                <w:sz w:val="19"/>
                <w:szCs w:val="19"/>
                <w:color w:val="auto"/>
              </w:rPr>
            </w:pPr>
          </w:p>
        </w:tc>
        <w:tc>
          <w:tcPr>
            <w:tcW w:w="80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Preference Units are in arrears or (ii) create or issue any Senior Securities.</w:t>
            </w:r>
          </w:p>
        </w:tc>
      </w:tr>
      <w:tr>
        <w:trPr>
          <w:trHeight w:val="444"/>
        </w:trPr>
        <w:tc>
          <w:tcPr>
            <w:tcW w:w="3400" w:type="dxa"/>
            <w:vAlign w:val="bottom"/>
            <w:tcBorders>
              <w:left w:val="single" w:sz="8" w:color="auto"/>
              <w:bottom w:val="single" w:sz="8" w:color="auto"/>
            </w:tcBorders>
          </w:tcPr>
          <w:p>
            <w:pPr>
              <w:spacing w:after="0"/>
              <w:rPr>
                <w:sz w:val="24"/>
                <w:szCs w:val="24"/>
                <w:color w:val="auto"/>
              </w:rPr>
            </w:pPr>
          </w:p>
        </w:tc>
        <w:tc>
          <w:tcPr>
            <w:tcW w:w="8020" w:type="dxa"/>
            <w:vAlign w:val="bottom"/>
            <w:tcBorders>
              <w:bottom w:val="single" w:sz="8" w:color="auto"/>
              <w:right w:val="single" w:sz="8" w:color="auto"/>
            </w:tcBorders>
          </w:tcPr>
          <w:p>
            <w:pPr>
              <w:spacing w:after="0"/>
              <w:rPr>
                <w:sz w:val="24"/>
                <w:szCs w:val="24"/>
                <w:color w:val="auto"/>
              </w:rPr>
            </w:pPr>
          </w:p>
        </w:tc>
      </w:tr>
      <w:tr>
        <w:trPr>
          <w:trHeight w:val="427"/>
        </w:trPr>
        <w:tc>
          <w:tcPr>
            <w:tcW w:w="3400" w:type="dxa"/>
            <w:vAlign w:val="bottom"/>
          </w:tcPr>
          <w:p>
            <w:pPr>
              <w:spacing w:after="0"/>
              <w:rPr>
                <w:sz w:val="24"/>
                <w:szCs w:val="24"/>
                <w:color w:val="auto"/>
              </w:rPr>
            </w:pPr>
          </w:p>
        </w:tc>
        <w:tc>
          <w:tcPr>
            <w:tcW w:w="8020" w:type="dxa"/>
            <w:vAlign w:val="bottom"/>
          </w:tcPr>
          <w:p>
            <w:pPr>
              <w:ind w:left="2160"/>
              <w:spacing w:after="0"/>
              <w:rPr>
                <w:sz w:val="20"/>
                <w:szCs w:val="20"/>
                <w:color w:val="auto"/>
              </w:rPr>
            </w:pPr>
            <w:r>
              <w:rPr>
                <w:rFonts w:ascii="Arial" w:cs="Arial" w:eastAsia="Arial" w:hAnsi="Arial"/>
                <w:sz w:val="18"/>
                <w:szCs w:val="18"/>
                <w:color w:val="auto"/>
              </w:rPr>
              <w:t>S-11</w:t>
            </w:r>
          </w:p>
        </w:tc>
      </w:tr>
      <w:tr>
        <w:trPr>
          <w:trHeight w:val="228"/>
        </w:trPr>
        <w:tc>
          <w:tcPr>
            <w:tcW w:w="3400" w:type="dxa"/>
            <w:vAlign w:val="bottom"/>
            <w:tcBorders>
              <w:bottom w:val="single" w:sz="8" w:color="808080"/>
            </w:tcBorders>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616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61606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right="139"/>
        <w:spacing w:after="0" w:line="286" w:lineRule="auto"/>
        <w:rPr>
          <w:sz w:val="20"/>
          <w:szCs w:val="20"/>
          <w:color w:val="auto"/>
        </w:rPr>
      </w:pPr>
      <w:r>
        <w:rPr>
          <w:rFonts w:ascii="Arial" w:cs="Arial" w:eastAsia="Arial" w:hAnsi="Arial"/>
          <w:sz w:val="16"/>
          <w:szCs w:val="16"/>
          <w:color w:val="auto"/>
        </w:rPr>
        <w:t>Except as noted above, no vote or consent of the holders of Series B Preference Units is required for (i) creation or incurrence of any indebtedness,</w:t>
      </w:r>
    </w:p>
    <w:p>
      <w:pPr>
        <w:ind w:left="4760" w:hanging="262"/>
        <w:spacing w:after="0"/>
        <w:tabs>
          <w:tab w:leader="none" w:pos="4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authorization or issuance of any common units or other Junior Securities or</w:t>
      </w:r>
    </w:p>
    <w:p>
      <w:pPr>
        <w:spacing w:after="0" w:line="32" w:lineRule="exact"/>
        <w:rPr>
          <w:rFonts w:ascii="Arial" w:cs="Arial" w:eastAsia="Arial" w:hAnsi="Arial"/>
          <w:sz w:val="16"/>
          <w:szCs w:val="16"/>
          <w:color w:val="auto"/>
        </w:rPr>
      </w:pPr>
    </w:p>
    <w:p>
      <w:pPr>
        <w:ind w:left="4800" w:hanging="302"/>
        <w:spacing w:after="0"/>
        <w:tabs>
          <w:tab w:leader="none" w:pos="4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authorization or issuance of any limited partner interests of any series.</w:t>
      </w:r>
    </w:p>
    <w:p>
      <w:pPr>
        <w:spacing w:after="0" w:line="242"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Fixed Liquidation Price</w:t>
            </w: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rPr>
              <w:t>In the event of any liquidation, dissolution or winding up of our affairs,</w:t>
            </w:r>
          </w:p>
        </w:tc>
      </w:tr>
      <w:tr>
        <w:trPr>
          <w:trHeight w:val="216"/>
        </w:trPr>
        <w:tc>
          <w:tcPr>
            <w:tcW w:w="2420" w:type="dxa"/>
            <w:vAlign w:val="bottom"/>
          </w:tcPr>
          <w:p>
            <w:pPr>
              <w:spacing w:after="0"/>
              <w:rPr>
                <w:sz w:val="18"/>
                <w:szCs w:val="18"/>
                <w:color w:val="auto"/>
              </w:rPr>
            </w:pP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90"/>
              </w:rPr>
              <w:t>whether voluntary or involuntary, holders of the Series B Preference Units will</w:t>
            </w:r>
          </w:p>
        </w:tc>
      </w:tr>
      <w:tr>
        <w:trPr>
          <w:trHeight w:val="216"/>
        </w:trPr>
        <w:tc>
          <w:tcPr>
            <w:tcW w:w="2420" w:type="dxa"/>
            <w:vAlign w:val="bottom"/>
          </w:tcPr>
          <w:p>
            <w:pPr>
              <w:spacing w:after="0"/>
              <w:rPr>
                <w:sz w:val="18"/>
                <w:szCs w:val="18"/>
                <w:color w:val="auto"/>
              </w:rPr>
            </w:pP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90"/>
              </w:rPr>
              <w:t>generally, subject to the discussion under "Description of Series B Preference</w:t>
            </w:r>
          </w:p>
        </w:tc>
      </w:tr>
      <w:tr>
        <w:trPr>
          <w:trHeight w:val="216"/>
        </w:trPr>
        <w:tc>
          <w:tcPr>
            <w:tcW w:w="2420" w:type="dxa"/>
            <w:vAlign w:val="bottom"/>
          </w:tcPr>
          <w:p>
            <w:pPr>
              <w:spacing w:after="0"/>
              <w:rPr>
                <w:sz w:val="18"/>
                <w:szCs w:val="18"/>
                <w:color w:val="auto"/>
              </w:rPr>
            </w:pP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90"/>
              </w:rPr>
              <w:t>Units—Liquidation Rights," have the right to receive the liquidation preference</w:t>
            </w:r>
          </w:p>
        </w:tc>
      </w:tr>
      <w:tr>
        <w:trPr>
          <w:trHeight w:val="216"/>
        </w:trPr>
        <w:tc>
          <w:tcPr>
            <w:tcW w:w="2420" w:type="dxa"/>
            <w:vAlign w:val="bottom"/>
          </w:tcPr>
          <w:p>
            <w:pPr>
              <w:spacing w:after="0"/>
              <w:rPr>
                <w:sz w:val="18"/>
                <w:szCs w:val="18"/>
                <w:color w:val="auto"/>
              </w:rPr>
            </w:pP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99"/>
              </w:rPr>
              <w:t>of $25.00 per unit plus an amount equal to all accumulated and unpaid</w:t>
            </w:r>
          </w:p>
        </w:tc>
      </w:tr>
      <w:tr>
        <w:trPr>
          <w:trHeight w:val="216"/>
        </w:trPr>
        <w:tc>
          <w:tcPr>
            <w:tcW w:w="2420" w:type="dxa"/>
            <w:vAlign w:val="bottom"/>
          </w:tcPr>
          <w:p>
            <w:pPr>
              <w:spacing w:after="0"/>
              <w:rPr>
                <w:sz w:val="18"/>
                <w:szCs w:val="18"/>
                <w:color w:val="auto"/>
              </w:rPr>
            </w:pP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91"/>
              </w:rPr>
              <w:t>distributions thereon to the date of payment, whether or not declared, before</w:t>
            </w:r>
          </w:p>
        </w:tc>
      </w:tr>
      <w:tr>
        <w:trPr>
          <w:trHeight w:val="216"/>
        </w:trPr>
        <w:tc>
          <w:tcPr>
            <w:tcW w:w="2420" w:type="dxa"/>
            <w:vAlign w:val="bottom"/>
          </w:tcPr>
          <w:p>
            <w:pPr>
              <w:spacing w:after="0"/>
              <w:rPr>
                <w:sz w:val="18"/>
                <w:szCs w:val="18"/>
                <w:color w:val="auto"/>
              </w:rPr>
            </w:pP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92"/>
              </w:rPr>
              <w:t>any payments are made to holders of our common units or any other Junior</w:t>
            </w:r>
          </w:p>
        </w:tc>
      </w:tr>
      <w:tr>
        <w:trPr>
          <w:trHeight w:val="216"/>
        </w:trPr>
        <w:tc>
          <w:tcPr>
            <w:tcW w:w="2420" w:type="dxa"/>
            <w:vAlign w:val="bottom"/>
          </w:tcPr>
          <w:p>
            <w:pPr>
              <w:spacing w:after="0"/>
              <w:rPr>
                <w:sz w:val="18"/>
                <w:szCs w:val="18"/>
                <w:color w:val="auto"/>
              </w:rPr>
            </w:pP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98"/>
              </w:rPr>
              <w:t>Securities. A consolidation or merger of us with or into any other entity,</w:t>
            </w:r>
          </w:p>
        </w:tc>
      </w:tr>
      <w:tr>
        <w:trPr>
          <w:trHeight w:val="216"/>
        </w:trPr>
        <w:tc>
          <w:tcPr>
            <w:tcW w:w="2420" w:type="dxa"/>
            <w:vAlign w:val="bottom"/>
          </w:tcPr>
          <w:p>
            <w:pPr>
              <w:spacing w:after="0"/>
              <w:rPr>
                <w:sz w:val="18"/>
                <w:szCs w:val="18"/>
                <w:color w:val="auto"/>
              </w:rPr>
            </w:pP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rPr>
              <w:t>individually or in a series of transactions, will not be deemed to be a</w:t>
            </w:r>
          </w:p>
        </w:tc>
      </w:tr>
      <w:tr>
        <w:trPr>
          <w:trHeight w:val="222"/>
        </w:trPr>
        <w:tc>
          <w:tcPr>
            <w:tcW w:w="2420" w:type="dxa"/>
            <w:vAlign w:val="bottom"/>
          </w:tcPr>
          <w:p>
            <w:pPr>
              <w:spacing w:after="0"/>
              <w:rPr>
                <w:sz w:val="19"/>
                <w:szCs w:val="19"/>
                <w:color w:val="auto"/>
              </w:rPr>
            </w:pPr>
          </w:p>
        </w:tc>
        <w:tc>
          <w:tcPr>
            <w:tcW w:w="4660" w:type="dxa"/>
            <w:vAlign w:val="bottom"/>
            <w:gridSpan w:val="2"/>
          </w:tcPr>
          <w:p>
            <w:pPr>
              <w:ind w:left="740"/>
              <w:spacing w:after="0"/>
              <w:rPr>
                <w:sz w:val="20"/>
                <w:szCs w:val="20"/>
                <w:color w:val="auto"/>
              </w:rPr>
            </w:pPr>
            <w:r>
              <w:rPr>
                <w:rFonts w:ascii="Arial" w:cs="Arial" w:eastAsia="Arial" w:hAnsi="Arial"/>
                <w:sz w:val="18"/>
                <w:szCs w:val="18"/>
                <w:color w:val="auto"/>
                <w:w w:val="97"/>
              </w:rPr>
              <w:t>liquidation, dissolution or winding up of our affairs.</w:t>
            </w:r>
          </w:p>
        </w:tc>
        <w:tc>
          <w:tcPr>
            <w:tcW w:w="1660" w:type="dxa"/>
            <w:vAlign w:val="bottom"/>
          </w:tcPr>
          <w:p>
            <w:pPr>
              <w:spacing w:after="0"/>
              <w:rPr>
                <w:sz w:val="19"/>
                <w:szCs w:val="19"/>
                <w:color w:val="auto"/>
              </w:rPr>
            </w:pP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Sinking Fund</w:t>
            </w: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rPr>
              <w:t>The Series B Preference Units will not be subject to any sinking fund</w:t>
            </w:r>
          </w:p>
        </w:tc>
      </w:tr>
      <w:tr>
        <w:trPr>
          <w:trHeight w:val="222"/>
        </w:trPr>
        <w:tc>
          <w:tcPr>
            <w:tcW w:w="2420" w:type="dxa"/>
            <w:vAlign w:val="bottom"/>
          </w:tcPr>
          <w:p>
            <w:pPr>
              <w:spacing w:after="0"/>
              <w:rPr>
                <w:sz w:val="19"/>
                <w:szCs w:val="19"/>
                <w:color w:val="auto"/>
              </w:rPr>
            </w:pPr>
          </w:p>
        </w:tc>
        <w:tc>
          <w:tcPr>
            <w:tcW w:w="4660" w:type="dxa"/>
            <w:vAlign w:val="bottom"/>
            <w:gridSpan w:val="2"/>
          </w:tcPr>
          <w:p>
            <w:pPr>
              <w:ind w:left="740"/>
              <w:spacing w:after="0"/>
              <w:rPr>
                <w:sz w:val="20"/>
                <w:szCs w:val="20"/>
                <w:color w:val="auto"/>
              </w:rPr>
            </w:pPr>
            <w:r>
              <w:rPr>
                <w:rFonts w:ascii="Arial" w:cs="Arial" w:eastAsia="Arial" w:hAnsi="Arial"/>
                <w:sz w:val="18"/>
                <w:szCs w:val="18"/>
                <w:color w:val="auto"/>
              </w:rPr>
              <w:t>requirements.</w:t>
            </w:r>
          </w:p>
        </w:tc>
        <w:tc>
          <w:tcPr>
            <w:tcW w:w="1660" w:type="dxa"/>
            <w:vAlign w:val="bottom"/>
          </w:tcPr>
          <w:p>
            <w:pPr>
              <w:spacing w:after="0"/>
              <w:rPr>
                <w:sz w:val="19"/>
                <w:szCs w:val="19"/>
                <w:color w:val="auto"/>
              </w:rPr>
            </w:pP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No Fiduciary Duties</w:t>
            </w: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90"/>
              </w:rPr>
              <w:t>None of us, our general partner or our general partner's officers and directors</w:t>
            </w:r>
          </w:p>
        </w:tc>
      </w:tr>
      <w:tr>
        <w:trPr>
          <w:trHeight w:val="216"/>
        </w:trPr>
        <w:tc>
          <w:tcPr>
            <w:tcW w:w="2420" w:type="dxa"/>
            <w:vAlign w:val="bottom"/>
          </w:tcPr>
          <w:p>
            <w:pPr>
              <w:spacing w:after="0"/>
              <w:rPr>
                <w:sz w:val="18"/>
                <w:szCs w:val="18"/>
                <w:color w:val="auto"/>
              </w:rPr>
            </w:pP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90"/>
              </w:rPr>
              <w:t>will owe any fiduciary duties to holders of the Series B Preference Units other</w:t>
            </w:r>
          </w:p>
        </w:tc>
      </w:tr>
      <w:tr>
        <w:trPr>
          <w:trHeight w:val="216"/>
        </w:trPr>
        <w:tc>
          <w:tcPr>
            <w:tcW w:w="2420" w:type="dxa"/>
            <w:vAlign w:val="bottom"/>
          </w:tcPr>
          <w:p>
            <w:pPr>
              <w:spacing w:after="0"/>
              <w:rPr>
                <w:sz w:val="18"/>
                <w:szCs w:val="18"/>
                <w:color w:val="auto"/>
              </w:rPr>
            </w:pP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rPr>
              <w:t>than a contractual duty of good faith and fair dealing pursuant to our</w:t>
            </w:r>
          </w:p>
        </w:tc>
      </w:tr>
      <w:tr>
        <w:trPr>
          <w:trHeight w:val="222"/>
        </w:trPr>
        <w:tc>
          <w:tcPr>
            <w:tcW w:w="2420" w:type="dxa"/>
            <w:vAlign w:val="bottom"/>
          </w:tcPr>
          <w:p>
            <w:pPr>
              <w:spacing w:after="0"/>
              <w:rPr>
                <w:sz w:val="19"/>
                <w:szCs w:val="19"/>
                <w:color w:val="auto"/>
              </w:rPr>
            </w:pPr>
          </w:p>
        </w:tc>
        <w:tc>
          <w:tcPr>
            <w:tcW w:w="4660" w:type="dxa"/>
            <w:vAlign w:val="bottom"/>
            <w:gridSpan w:val="2"/>
          </w:tcPr>
          <w:p>
            <w:pPr>
              <w:ind w:left="740"/>
              <w:spacing w:after="0"/>
              <w:rPr>
                <w:sz w:val="20"/>
                <w:szCs w:val="20"/>
                <w:color w:val="auto"/>
              </w:rPr>
            </w:pPr>
            <w:r>
              <w:rPr>
                <w:rFonts w:ascii="Arial" w:cs="Arial" w:eastAsia="Arial" w:hAnsi="Arial"/>
                <w:sz w:val="18"/>
                <w:szCs w:val="18"/>
                <w:color w:val="auto"/>
              </w:rPr>
              <w:t>Partnership Agreement.</w:t>
            </w:r>
          </w:p>
        </w:tc>
        <w:tc>
          <w:tcPr>
            <w:tcW w:w="1660" w:type="dxa"/>
            <w:vAlign w:val="bottom"/>
          </w:tcPr>
          <w:p>
            <w:pPr>
              <w:spacing w:after="0"/>
              <w:rPr>
                <w:sz w:val="19"/>
                <w:szCs w:val="19"/>
                <w:color w:val="auto"/>
              </w:rPr>
            </w:pP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Use of Proceeds</w:t>
            </w: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88"/>
              </w:rPr>
              <w:t>We intend to use the net proceeds of the sale of the Series B Preference Units,</w:t>
            </w:r>
          </w:p>
        </w:tc>
      </w:tr>
      <w:tr>
        <w:trPr>
          <w:trHeight w:val="216"/>
        </w:trPr>
        <w:tc>
          <w:tcPr>
            <w:tcW w:w="2420" w:type="dxa"/>
            <w:vAlign w:val="bottom"/>
          </w:tcPr>
          <w:p>
            <w:pPr>
              <w:spacing w:after="0"/>
              <w:rPr>
                <w:sz w:val="18"/>
                <w:szCs w:val="18"/>
                <w:color w:val="auto"/>
              </w:rPr>
            </w:pP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94"/>
              </w:rPr>
              <w:t>which, after deducting underwriting discounts and the estimated expenses</w:t>
            </w:r>
          </w:p>
        </w:tc>
      </w:tr>
      <w:tr>
        <w:trPr>
          <w:trHeight w:val="216"/>
        </w:trPr>
        <w:tc>
          <w:tcPr>
            <w:tcW w:w="2420" w:type="dxa"/>
            <w:vAlign w:val="bottom"/>
          </w:tcPr>
          <w:p>
            <w:pPr>
              <w:spacing w:after="0"/>
              <w:rPr>
                <w:sz w:val="18"/>
                <w:szCs w:val="18"/>
                <w:color w:val="auto"/>
              </w:rPr>
            </w:pPr>
          </w:p>
        </w:tc>
        <w:tc>
          <w:tcPr>
            <w:tcW w:w="4660" w:type="dxa"/>
            <w:vAlign w:val="bottom"/>
            <w:gridSpan w:val="2"/>
          </w:tcPr>
          <w:p>
            <w:pPr>
              <w:ind w:left="740"/>
              <w:spacing w:after="0"/>
              <w:rPr>
                <w:sz w:val="20"/>
                <w:szCs w:val="20"/>
                <w:color w:val="auto"/>
              </w:rPr>
            </w:pPr>
            <w:r>
              <w:rPr>
                <w:rFonts w:ascii="Arial" w:cs="Arial" w:eastAsia="Arial" w:hAnsi="Arial"/>
                <w:sz w:val="18"/>
                <w:szCs w:val="18"/>
                <w:color w:val="auto"/>
                <w:w w:val="93"/>
              </w:rPr>
              <w:t>payable by us, are expected to total approximately $</w:t>
            </w:r>
          </w:p>
        </w:tc>
        <w:tc>
          <w:tcPr>
            <w:tcW w:w="1660" w:type="dxa"/>
            <w:vAlign w:val="bottom"/>
          </w:tcPr>
          <w:p>
            <w:pPr>
              <w:ind w:left="260"/>
              <w:spacing w:after="0"/>
              <w:rPr>
                <w:sz w:val="20"/>
                <w:szCs w:val="20"/>
                <w:color w:val="auto"/>
              </w:rPr>
            </w:pPr>
            <w:r>
              <w:rPr>
                <w:rFonts w:ascii="Arial" w:cs="Arial" w:eastAsia="Arial" w:hAnsi="Arial"/>
                <w:sz w:val="18"/>
                <w:szCs w:val="18"/>
                <w:color w:val="auto"/>
                <w:w w:val="99"/>
              </w:rPr>
              <w:t>(or approximately</w:t>
            </w:r>
          </w:p>
        </w:tc>
      </w:tr>
      <w:tr>
        <w:trPr>
          <w:trHeight w:val="216"/>
        </w:trPr>
        <w:tc>
          <w:tcPr>
            <w:tcW w:w="2420" w:type="dxa"/>
            <w:vAlign w:val="bottom"/>
          </w:tcPr>
          <w:p>
            <w:pPr>
              <w:spacing w:after="0"/>
              <w:rPr>
                <w:sz w:val="18"/>
                <w:szCs w:val="18"/>
                <w:color w:val="auto"/>
              </w:rPr>
            </w:pPr>
          </w:p>
        </w:tc>
        <w:tc>
          <w:tcPr>
            <w:tcW w:w="1140" w:type="dxa"/>
            <w:vAlign w:val="bottom"/>
          </w:tcPr>
          <w:p>
            <w:pPr>
              <w:ind w:left="740"/>
              <w:spacing w:after="0"/>
              <w:rPr>
                <w:sz w:val="20"/>
                <w:szCs w:val="20"/>
                <w:color w:val="auto"/>
              </w:rPr>
            </w:pPr>
            <w:r>
              <w:rPr>
                <w:rFonts w:ascii="Arial" w:cs="Arial" w:eastAsia="Arial" w:hAnsi="Arial"/>
                <w:sz w:val="18"/>
                <w:szCs w:val="18"/>
                <w:color w:val="auto"/>
              </w:rPr>
              <w:t>$</w:t>
            </w:r>
          </w:p>
        </w:tc>
        <w:tc>
          <w:tcPr>
            <w:tcW w:w="5180" w:type="dxa"/>
            <w:vAlign w:val="bottom"/>
            <w:gridSpan w:val="2"/>
          </w:tcPr>
          <w:p>
            <w:pPr>
              <w:ind w:left="300"/>
              <w:spacing w:after="0"/>
              <w:rPr>
                <w:sz w:val="20"/>
                <w:szCs w:val="20"/>
                <w:color w:val="auto"/>
              </w:rPr>
            </w:pPr>
            <w:r>
              <w:rPr>
                <w:rFonts w:ascii="Arial" w:cs="Arial" w:eastAsia="Arial" w:hAnsi="Arial"/>
                <w:sz w:val="18"/>
                <w:szCs w:val="18"/>
                <w:color w:val="auto"/>
              </w:rPr>
              <w:t>if the underwriters exercise their option in full), for general</w:t>
            </w:r>
          </w:p>
        </w:tc>
      </w:tr>
      <w:tr>
        <w:trPr>
          <w:trHeight w:val="216"/>
        </w:trPr>
        <w:tc>
          <w:tcPr>
            <w:tcW w:w="2420" w:type="dxa"/>
            <w:vAlign w:val="bottom"/>
          </w:tcPr>
          <w:p>
            <w:pPr>
              <w:spacing w:after="0"/>
              <w:rPr>
                <w:sz w:val="18"/>
                <w:szCs w:val="18"/>
                <w:color w:val="auto"/>
              </w:rPr>
            </w:pP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90"/>
              </w:rPr>
              <w:t>partnership purposes, which may include future acquisitions, debt repayment,</w:t>
            </w:r>
          </w:p>
        </w:tc>
      </w:tr>
      <w:tr>
        <w:trPr>
          <w:trHeight w:val="216"/>
        </w:trPr>
        <w:tc>
          <w:tcPr>
            <w:tcW w:w="2420" w:type="dxa"/>
            <w:vAlign w:val="bottom"/>
          </w:tcPr>
          <w:p>
            <w:pPr>
              <w:spacing w:after="0"/>
              <w:rPr>
                <w:sz w:val="18"/>
                <w:szCs w:val="18"/>
                <w:color w:val="auto"/>
              </w:rPr>
            </w:pP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89"/>
              </w:rPr>
              <w:t>capital expenditures and additions to working capital. We currently expect that</w:t>
            </w:r>
          </w:p>
        </w:tc>
      </w:tr>
      <w:tr>
        <w:trPr>
          <w:trHeight w:val="222"/>
        </w:trPr>
        <w:tc>
          <w:tcPr>
            <w:tcW w:w="2420" w:type="dxa"/>
            <w:vAlign w:val="bottom"/>
          </w:tcPr>
          <w:p>
            <w:pPr>
              <w:spacing w:after="0"/>
              <w:rPr>
                <w:sz w:val="19"/>
                <w:szCs w:val="19"/>
                <w:color w:val="auto"/>
              </w:rPr>
            </w:pPr>
          </w:p>
        </w:tc>
        <w:tc>
          <w:tcPr>
            <w:tcW w:w="4660" w:type="dxa"/>
            <w:vAlign w:val="bottom"/>
            <w:gridSpan w:val="2"/>
          </w:tcPr>
          <w:p>
            <w:pPr>
              <w:ind w:left="740"/>
              <w:spacing w:after="0"/>
              <w:rPr>
                <w:sz w:val="20"/>
                <w:szCs w:val="20"/>
                <w:color w:val="auto"/>
              </w:rPr>
            </w:pPr>
            <w:r>
              <w:rPr>
                <w:rFonts w:ascii="Arial" w:cs="Arial" w:eastAsia="Arial" w:hAnsi="Arial"/>
                <w:sz w:val="18"/>
                <w:szCs w:val="18"/>
                <w:color w:val="auto"/>
              </w:rPr>
              <w:t>this will include future acquisitions from GasLog.</w:t>
            </w:r>
          </w:p>
        </w:tc>
        <w:tc>
          <w:tcPr>
            <w:tcW w:w="1660" w:type="dxa"/>
            <w:vAlign w:val="bottom"/>
          </w:tcPr>
          <w:p>
            <w:pPr>
              <w:spacing w:after="0"/>
              <w:rPr>
                <w:sz w:val="19"/>
                <w:szCs w:val="19"/>
                <w:color w:val="auto"/>
              </w:rPr>
            </w:pP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Ratings</w:t>
            </w: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90"/>
              </w:rPr>
              <w:t>The Series B Preference Units will not be rated by any Nationally Recognized</w:t>
            </w:r>
          </w:p>
        </w:tc>
      </w:tr>
      <w:tr>
        <w:trPr>
          <w:trHeight w:val="222"/>
        </w:trPr>
        <w:tc>
          <w:tcPr>
            <w:tcW w:w="2420" w:type="dxa"/>
            <w:vAlign w:val="bottom"/>
          </w:tcPr>
          <w:p>
            <w:pPr>
              <w:spacing w:after="0"/>
              <w:rPr>
                <w:sz w:val="19"/>
                <w:szCs w:val="19"/>
                <w:color w:val="auto"/>
              </w:rPr>
            </w:pPr>
          </w:p>
        </w:tc>
        <w:tc>
          <w:tcPr>
            <w:tcW w:w="4660" w:type="dxa"/>
            <w:vAlign w:val="bottom"/>
            <w:gridSpan w:val="2"/>
          </w:tcPr>
          <w:p>
            <w:pPr>
              <w:ind w:left="740"/>
              <w:spacing w:after="0"/>
              <w:rPr>
                <w:sz w:val="20"/>
                <w:szCs w:val="20"/>
                <w:color w:val="auto"/>
              </w:rPr>
            </w:pPr>
            <w:r>
              <w:rPr>
                <w:rFonts w:ascii="Arial" w:cs="Arial" w:eastAsia="Arial" w:hAnsi="Arial"/>
                <w:sz w:val="18"/>
                <w:szCs w:val="18"/>
                <w:color w:val="auto"/>
              </w:rPr>
              <w:t>Statistical Rating Organization.</w:t>
            </w:r>
          </w:p>
        </w:tc>
        <w:tc>
          <w:tcPr>
            <w:tcW w:w="1660" w:type="dxa"/>
            <w:vAlign w:val="bottom"/>
          </w:tcPr>
          <w:p>
            <w:pPr>
              <w:spacing w:after="0"/>
              <w:rPr>
                <w:sz w:val="19"/>
                <w:szCs w:val="19"/>
                <w:color w:val="auto"/>
              </w:rPr>
            </w:pP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Listing</w:t>
            </w: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94"/>
              </w:rPr>
              <w:t>We intend to file an application to list the Series B Preference Units on the</w:t>
            </w:r>
          </w:p>
        </w:tc>
      </w:tr>
      <w:tr>
        <w:trPr>
          <w:trHeight w:val="222"/>
        </w:trPr>
        <w:tc>
          <w:tcPr>
            <w:tcW w:w="2420" w:type="dxa"/>
            <w:vAlign w:val="bottom"/>
          </w:tcPr>
          <w:p>
            <w:pPr>
              <w:spacing w:after="0"/>
              <w:rPr>
                <w:sz w:val="19"/>
                <w:szCs w:val="19"/>
                <w:color w:val="auto"/>
              </w:rPr>
            </w:pPr>
          </w:p>
        </w:tc>
        <w:tc>
          <w:tcPr>
            <w:tcW w:w="6320" w:type="dxa"/>
            <w:vAlign w:val="bottom"/>
            <w:gridSpan w:val="3"/>
          </w:tcPr>
          <w:p>
            <w:pPr>
              <w:ind w:left="740"/>
              <w:spacing w:after="0"/>
              <w:rPr>
                <w:sz w:val="20"/>
                <w:szCs w:val="20"/>
                <w:color w:val="auto"/>
              </w:rPr>
            </w:pPr>
            <w:r>
              <w:rPr>
                <w:rFonts w:ascii="Arial" w:cs="Arial" w:eastAsia="Arial" w:hAnsi="Arial"/>
                <w:sz w:val="18"/>
                <w:szCs w:val="18"/>
                <w:color w:val="auto"/>
                <w:w w:val="90"/>
              </w:rPr>
              <w:t>NYSE under the symbol "GLOP PR B". If the application is approved, trading</w:t>
            </w:r>
          </w:p>
        </w:tc>
      </w:tr>
    </w:tbl>
    <w:p>
      <w:pPr>
        <w:ind w:left="4500" w:right="219"/>
        <w:spacing w:after="0" w:line="287" w:lineRule="auto"/>
        <w:rPr>
          <w:sz w:val="20"/>
          <w:szCs w:val="20"/>
          <w:color w:val="auto"/>
        </w:rPr>
      </w:pPr>
      <w:r>
        <w:rPr>
          <w:rFonts w:ascii="Arial" w:cs="Arial" w:eastAsia="Arial" w:hAnsi="Arial"/>
          <w:sz w:val="16"/>
          <w:szCs w:val="16"/>
          <w:color w:val="auto"/>
        </w:rPr>
        <w:t>of the Series B Preference Units on the NYSE is expected to begin within 30 days after the original issue date of the Series B Preference Units. The underwriters have advised us that they intend to make a market in the Series B Preference Units prior to commencement of any trading on the NYSE. However, the underwriters will have no obligation to do so, and no assurance can be given that a market for the Series B Preference Units will develop prior to commencement of trading on the NYSE or, if developed, that it will be maintained.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6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Form</w:t>
            </w:r>
          </w:p>
        </w:tc>
        <w:tc>
          <w:tcPr>
            <w:tcW w:w="782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The Series B Preference Units will be issued and maintained only in book-</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entry form registered in the name of the nominee of The Depository Trust</w:t>
            </w:r>
          </w:p>
        </w:tc>
      </w:tr>
      <w:tr>
        <w:trPr>
          <w:trHeight w:val="222"/>
        </w:trPr>
        <w:tc>
          <w:tcPr>
            <w:tcW w:w="3600" w:type="dxa"/>
            <w:vAlign w:val="bottom"/>
            <w:tcBorders>
              <w:left w:val="single" w:sz="8" w:color="auto"/>
            </w:tcBorders>
          </w:tcPr>
          <w:p>
            <w:pPr>
              <w:spacing w:after="0"/>
              <w:rPr>
                <w:sz w:val="19"/>
                <w:szCs w:val="19"/>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Company ("DTC"), except under limited circumstances.</w:t>
            </w:r>
          </w:p>
        </w:tc>
      </w:tr>
      <w:tr>
        <w:trPr>
          <w:trHeight w:val="426"/>
        </w:trPr>
        <w:tc>
          <w:tcPr>
            <w:tcW w:w="36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Settlement</w:t>
            </w: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Delivery of the Series B Preference Units offered hereby will be made against</w:t>
            </w:r>
          </w:p>
        </w:tc>
      </w:tr>
      <w:tr>
        <w:trPr>
          <w:trHeight w:val="222"/>
        </w:trPr>
        <w:tc>
          <w:tcPr>
            <w:tcW w:w="3600" w:type="dxa"/>
            <w:vAlign w:val="bottom"/>
            <w:tcBorders>
              <w:left w:val="single" w:sz="8" w:color="auto"/>
            </w:tcBorders>
          </w:tcPr>
          <w:p>
            <w:pPr>
              <w:spacing w:after="0"/>
              <w:rPr>
                <w:sz w:val="19"/>
                <w:szCs w:val="19"/>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payment therefor on or about January  , 2018.</w:t>
            </w:r>
          </w:p>
        </w:tc>
      </w:tr>
      <w:tr>
        <w:trPr>
          <w:trHeight w:val="426"/>
        </w:trPr>
        <w:tc>
          <w:tcPr>
            <w:tcW w:w="36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An investment in our Series B Preference Units involves risks. You should</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consider carefully the factors set forth in the section of this prospectus entitled</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"Risk Factors" beginning on page S-23 of this prospectus supplement and on</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page 8 of our Annual Report on Form 20-F filed with the Securities and</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Exchange Commission on February 13, 2017 and incorporated by reference</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herein, to determine whether an investment in our Series B Preference Units is</w:t>
            </w:r>
          </w:p>
        </w:tc>
      </w:tr>
      <w:tr>
        <w:trPr>
          <w:trHeight w:val="222"/>
        </w:trPr>
        <w:tc>
          <w:tcPr>
            <w:tcW w:w="3600" w:type="dxa"/>
            <w:vAlign w:val="bottom"/>
            <w:tcBorders>
              <w:left w:val="single" w:sz="8" w:color="auto"/>
            </w:tcBorders>
          </w:tcPr>
          <w:p>
            <w:pPr>
              <w:spacing w:after="0"/>
              <w:rPr>
                <w:sz w:val="19"/>
                <w:szCs w:val="19"/>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appropriate for you.</w:t>
            </w:r>
          </w:p>
        </w:tc>
      </w:tr>
      <w:tr>
        <w:trPr>
          <w:trHeight w:val="426"/>
        </w:trPr>
        <w:tc>
          <w:tcPr>
            <w:tcW w:w="36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Tax Considerations</w:t>
            </w: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Although we are organized as a partnership, we have elected to be treated as a</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corporation solely for U.S. federal income tax purposes. Consequently, all or a</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portion of the distributions you receive from us will constitute dividends for</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such purposes. The remaining portion of such distributions will be treated first</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as a non-taxable return of capital to the extent of your tax basis in your</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Series B Preference Units and, thereafter, as capital gain. In addition, there are</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other tax matters you should consider before investing in the Series B</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Preference Units, including our tax status as a non-U.S. issuer. Please read</w:t>
            </w:r>
          </w:p>
        </w:tc>
      </w:tr>
      <w:tr>
        <w:trPr>
          <w:trHeight w:val="216"/>
        </w:trPr>
        <w:tc>
          <w:tcPr>
            <w:tcW w:w="36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"Material U.S. Federal Income Tax Considerations", "Non-United States Tax</w:t>
            </w:r>
          </w:p>
        </w:tc>
      </w:tr>
      <w:tr>
        <w:trPr>
          <w:trHeight w:val="222"/>
        </w:trPr>
        <w:tc>
          <w:tcPr>
            <w:tcW w:w="3600" w:type="dxa"/>
            <w:vAlign w:val="bottom"/>
            <w:tcBorders>
              <w:left w:val="single" w:sz="8" w:color="auto"/>
            </w:tcBorders>
          </w:tcPr>
          <w:p>
            <w:pPr>
              <w:spacing w:after="0"/>
              <w:rPr>
                <w:sz w:val="19"/>
                <w:szCs w:val="19"/>
                <w:color w:val="auto"/>
              </w:rPr>
            </w:pPr>
          </w:p>
        </w:tc>
        <w:tc>
          <w:tcPr>
            <w:tcW w:w="78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Considerations" and "Risk Factors—Tax Risks".</w:t>
            </w:r>
          </w:p>
        </w:tc>
      </w:tr>
      <w:tr>
        <w:trPr>
          <w:trHeight w:val="228"/>
        </w:trPr>
        <w:tc>
          <w:tcPr>
            <w:tcW w:w="3600" w:type="dxa"/>
            <w:vAlign w:val="bottom"/>
            <w:tcBorders>
              <w:left w:val="single" w:sz="8" w:color="auto"/>
              <w:bottom w:val="single" w:sz="8" w:color="auto"/>
            </w:tcBorders>
          </w:tcPr>
          <w:p>
            <w:pPr>
              <w:spacing w:after="0"/>
              <w:rPr>
                <w:sz w:val="19"/>
                <w:szCs w:val="19"/>
                <w:color w:val="auto"/>
              </w:rPr>
            </w:pPr>
          </w:p>
        </w:tc>
        <w:tc>
          <w:tcPr>
            <w:tcW w:w="7820" w:type="dxa"/>
            <w:vAlign w:val="bottom"/>
            <w:tcBorders>
              <w:bottom w:val="single" w:sz="8" w:color="auto"/>
              <w:right w:val="single" w:sz="8" w:color="auto"/>
            </w:tcBorders>
          </w:tcPr>
          <w:p>
            <w:pPr>
              <w:spacing w:after="0"/>
              <w:rPr>
                <w:sz w:val="19"/>
                <w:szCs w:val="19"/>
                <w:color w:val="auto"/>
              </w:rPr>
            </w:pPr>
          </w:p>
        </w:tc>
      </w:tr>
      <w:tr>
        <w:trPr>
          <w:trHeight w:val="427"/>
        </w:trPr>
        <w:tc>
          <w:tcPr>
            <w:tcW w:w="3600" w:type="dxa"/>
            <w:vAlign w:val="bottom"/>
          </w:tcPr>
          <w:p>
            <w:pPr>
              <w:spacing w:after="0"/>
              <w:rPr>
                <w:sz w:val="24"/>
                <w:szCs w:val="24"/>
                <w:color w:val="auto"/>
              </w:rPr>
            </w:pPr>
          </w:p>
        </w:tc>
        <w:tc>
          <w:tcPr>
            <w:tcW w:w="7820" w:type="dxa"/>
            <w:vAlign w:val="bottom"/>
          </w:tcPr>
          <w:p>
            <w:pPr>
              <w:ind w:left="1940"/>
              <w:spacing w:after="0"/>
              <w:rPr>
                <w:sz w:val="20"/>
                <w:szCs w:val="20"/>
                <w:color w:val="auto"/>
              </w:rPr>
            </w:pPr>
            <w:r>
              <w:rPr>
                <w:rFonts w:ascii="Arial" w:cs="Arial" w:eastAsia="Arial" w:hAnsi="Arial"/>
                <w:sz w:val="18"/>
                <w:szCs w:val="18"/>
                <w:color w:val="auto"/>
              </w:rPr>
              <w:t>S-13</w:t>
            </w:r>
          </w:p>
        </w:tc>
      </w:tr>
      <w:tr>
        <w:trPr>
          <w:trHeight w:val="228"/>
        </w:trPr>
        <w:tc>
          <w:tcPr>
            <w:tcW w:w="3600" w:type="dxa"/>
            <w:vAlign w:val="bottom"/>
            <w:tcBorders>
              <w:bottom w:val="single" w:sz="8" w:color="808080"/>
            </w:tcBorders>
          </w:tcPr>
          <w:p>
            <w:pPr>
              <w:spacing w:after="0"/>
              <w:rPr>
                <w:sz w:val="19"/>
                <w:szCs w:val="19"/>
                <w:color w:val="auto"/>
              </w:rPr>
            </w:pPr>
          </w:p>
        </w:tc>
        <w:tc>
          <w:tcPr>
            <w:tcW w:w="7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380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38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 Financial and Operating Data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Summary Financial Data</w:t>
      </w:r>
    </w:p>
    <w:p>
      <w:pPr>
        <w:spacing w:after="0" w:line="231" w:lineRule="exact"/>
        <w:rPr>
          <w:sz w:val="20"/>
          <w:szCs w:val="20"/>
          <w:color w:val="auto"/>
        </w:rPr>
      </w:pPr>
    </w:p>
    <w:p>
      <w:pPr>
        <w:ind w:left="240" w:right="20" w:firstLine="348"/>
        <w:spacing w:after="0" w:line="290" w:lineRule="auto"/>
        <w:rPr>
          <w:sz w:val="20"/>
          <w:szCs w:val="20"/>
          <w:color w:val="auto"/>
        </w:rPr>
      </w:pPr>
      <w:r>
        <w:rPr>
          <w:rFonts w:ascii="Arial" w:cs="Arial" w:eastAsia="Arial" w:hAnsi="Arial"/>
          <w:sz w:val="16"/>
          <w:szCs w:val="16"/>
          <w:color w:val="auto"/>
        </w:rPr>
        <w:t>This information should be read together with, and is qualified in its entirety by, our consolidated financial statements and the notes thereto included in Exhibit 99.3 of the Report on Form 6-K, as filed with the SEC on September 29, 2017 and incorporated by reference into this prospectus and the interim unaudited condensed consolidated financial statements of GasLog Partners included in Exhibit 99.2 of the Report on Form 6-K as furnished to the SEC on October 26, 2017 and incorporated by reference into this prospectus. You should also read "Item 5. Operating and Financial Review and Prospects" included in Exhibit 99.2 of the Report on Form 6-K, as filed with the SEC on September 29, 2017 and incorporated by reference into this prospectus and "Management's Discussion and Analysis of Financial Condition and Results of Operation" in Exhibit 99.2 of the Report on Form 6-K as furnished to the SEC on October 26, 2017 and incorporated by reference into this prospectus.</w:t>
      </w:r>
    </w:p>
    <w:p>
      <w:pPr>
        <w:spacing w:after="0" w:line="172" w:lineRule="exact"/>
        <w:rPr>
          <w:sz w:val="20"/>
          <w:szCs w:val="20"/>
          <w:color w:val="auto"/>
        </w:rPr>
      </w:pPr>
    </w:p>
    <w:p>
      <w:pPr>
        <w:ind w:left="240" w:right="160" w:firstLine="351"/>
        <w:spacing w:after="0" w:line="268"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IFRS Common Control Reported Results</w:t>
      </w:r>
    </w:p>
    <w:p>
      <w:pPr>
        <w:spacing w:after="0" w:line="231" w:lineRule="exact"/>
        <w:rPr>
          <w:sz w:val="20"/>
          <w:szCs w:val="20"/>
          <w:color w:val="auto"/>
        </w:rPr>
      </w:pPr>
    </w:p>
    <w:p>
      <w:pPr>
        <w:ind w:left="240" w:right="40" w:firstLine="348"/>
        <w:spacing w:after="0" w:line="287" w:lineRule="auto"/>
        <w:rPr>
          <w:sz w:val="20"/>
          <w:szCs w:val="20"/>
          <w:color w:val="auto"/>
        </w:rPr>
      </w:pPr>
      <w:r>
        <w:rPr>
          <w:rFonts w:ascii="Arial" w:cs="Arial" w:eastAsia="Arial" w:hAnsi="Arial"/>
          <w:sz w:val="16"/>
          <w:szCs w:val="16"/>
          <w:color w:val="auto"/>
        </w:rPr>
        <w:t xml:space="preserve">The following table presents, in each case for the periods and as of the dates indicated, summary historical financial and operating data. The summary historical financial data as of December 31, 2014, 2015 and 2016 and for each of the years in the three year period ended December 31, 2016 has been derived from our audited consolidated financial statements of GasLog Partners LP included in Exhibit 99.3 of the Report on Form 6-K, as filed with the SEC on September 29, 2017 and incorporated by reference into this prospectus, after reflecting the retroactive restatement for the transfer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Geneva</w:t>
      </w:r>
      <w:r>
        <w:rPr>
          <w:rFonts w:ascii="Arial" w:cs="Arial" w:eastAsia="Arial" w:hAnsi="Arial"/>
          <w:sz w:val="16"/>
          <w:szCs w:val="16"/>
          <w:color w:val="auto"/>
        </w:rPr>
        <w:t>, on July 3, 2017, from GasLog to GasLog Partners. The summary historical financial data as of September 30, 2017 and for the three- and nine-month periods ended September 30, 2016 and 2017 has been derived from the interim unaudited condensed consolidated financial statements of GasLog Partners LP included in Exhibit 99.2 of our Report on Form 6-K furnished to the SEC on October 26, 2017 and incorporated by reference into this prospectus. The annual financial statements have been prepared in accordance with IFRS, as issued by the International Accounting Standards Board, or the "IASB". The interim financial statements have been prepared in accordance with International Accounting Standard 34 Interim Financial Reporting as issued by the IASB.</w:t>
      </w:r>
    </w:p>
    <w:p>
      <w:pPr>
        <w:spacing w:after="0" w:line="177"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Prior to the closing of our IPO, we did not own any vessels. The following presentation assumes that our business was operated as a separate entity prior to its inception.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 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following transfers of vessels from GasLog to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35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643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Partnership were each accounted for as a reorganization of entities under common control under IFRS and prior periods were retroactively restated:</w:t>
      </w:r>
    </w:p>
    <w:p>
      <w:pPr>
        <w:spacing w:after="0" w:line="245"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040" w:type="dxa"/>
            <w:vAlign w:val="bottom"/>
          </w:tcPr>
          <w:p>
            <w:pPr>
              <w:ind w:left="220"/>
              <w:spacing w:after="0"/>
              <w:rPr>
                <w:sz w:val="20"/>
                <w:szCs w:val="20"/>
                <w:color w:val="auto"/>
              </w:rPr>
            </w:pPr>
            <w:r>
              <w:rPr>
                <w:rFonts w:ascii="Arial" w:cs="Arial" w:eastAsia="Arial" w:hAnsi="Arial"/>
                <w:sz w:val="14"/>
                <w:szCs w:val="14"/>
                <w:b w:val="1"/>
                <w:bCs w:val="1"/>
                <w:color w:val="auto"/>
              </w:rPr>
              <w:t>Date</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10"/>
          </w:tcPr>
          <w:p>
            <w:pPr>
              <w:ind w:left="480"/>
              <w:spacing w:after="0"/>
              <w:rPr>
                <w:sz w:val="20"/>
                <w:szCs w:val="20"/>
                <w:color w:val="auto"/>
              </w:rPr>
            </w:pPr>
            <w:r>
              <w:rPr>
                <w:rFonts w:ascii="Arial" w:cs="Arial" w:eastAsia="Arial" w:hAnsi="Arial"/>
                <w:sz w:val="14"/>
                <w:szCs w:val="14"/>
                <w:b w:val="1"/>
                <w:bCs w:val="1"/>
                <w:color w:val="auto"/>
                <w:w w:val="92"/>
              </w:rPr>
              <w:t>Vessel(s) Transferred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May 12, 2014</w:t>
            </w:r>
          </w:p>
        </w:tc>
        <w:tc>
          <w:tcPr>
            <w:tcW w:w="3560" w:type="dxa"/>
            <w:vAlign w:val="bottom"/>
            <w:gridSpan w:val="11"/>
          </w:tcPr>
          <w:p>
            <w:pPr>
              <w:ind w:left="40"/>
              <w:spacing w:after="0" w:line="149" w:lineRule="exact"/>
              <w:rPr>
                <w:sz w:val="20"/>
                <w:szCs w:val="20"/>
                <w:color w:val="auto"/>
              </w:rPr>
            </w:pPr>
            <w:r>
              <w:rPr>
                <w:rFonts w:ascii="Arial" w:cs="Arial" w:eastAsia="Arial" w:hAnsi="Arial"/>
                <w:sz w:val="14"/>
                <w:szCs w:val="14"/>
                <w:i w:val="1"/>
                <w:iCs w:val="1"/>
                <w:color w:val="auto"/>
                <w:w w:val="97"/>
              </w:rPr>
              <w:t>GasLog Santiago</w:t>
            </w:r>
            <w:r>
              <w:rPr>
                <w:rFonts w:ascii="Arial" w:cs="Arial" w:eastAsia="Arial" w:hAnsi="Arial"/>
                <w:sz w:val="14"/>
                <w:szCs w:val="14"/>
                <w:color w:val="auto"/>
                <w:w w:val="97"/>
              </w:rPr>
              <w:t>,</w:t>
            </w:r>
            <w:r>
              <w:rPr>
                <w:rFonts w:ascii="Arial" w:cs="Arial" w:eastAsia="Arial" w:hAnsi="Arial"/>
                <w:sz w:val="14"/>
                <w:szCs w:val="14"/>
                <w:i w:val="1"/>
                <w:iCs w:val="1"/>
                <w:color w:val="auto"/>
                <w:w w:val="97"/>
              </w:rPr>
              <w:t xml:space="preserve"> GasLog Shanghai </w:t>
            </w:r>
            <w:r>
              <w:rPr>
                <w:rFonts w:ascii="Arial" w:cs="Arial" w:eastAsia="Arial" w:hAnsi="Arial"/>
                <w:sz w:val="14"/>
                <w:szCs w:val="14"/>
                <w:color w:val="auto"/>
                <w:w w:val="97"/>
              </w:rPr>
              <w:t>and</w:t>
            </w:r>
            <w:r>
              <w:rPr>
                <w:rFonts w:ascii="Arial" w:cs="Arial" w:eastAsia="Arial" w:hAnsi="Arial"/>
                <w:sz w:val="14"/>
                <w:szCs w:val="14"/>
                <w:i w:val="1"/>
                <w:iCs w:val="1"/>
                <w:color w:val="auto"/>
                <w:w w:val="97"/>
              </w:rPr>
              <w:t xml:space="preserve"> GasLog Sydney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September 29, 2014</w:t>
            </w:r>
          </w:p>
        </w:tc>
        <w:tc>
          <w:tcPr>
            <w:tcW w:w="2820" w:type="dxa"/>
            <w:vAlign w:val="bottom"/>
            <w:gridSpan w:val="7"/>
          </w:tcPr>
          <w:p>
            <w:pPr>
              <w:ind w:left="40"/>
              <w:spacing w:after="0" w:line="149" w:lineRule="exact"/>
              <w:rPr>
                <w:sz w:val="20"/>
                <w:szCs w:val="20"/>
                <w:color w:val="auto"/>
              </w:rPr>
            </w:pPr>
            <w:r>
              <w:rPr>
                <w:rFonts w:ascii="Arial" w:cs="Arial" w:eastAsia="Arial" w:hAnsi="Arial"/>
                <w:sz w:val="14"/>
                <w:szCs w:val="14"/>
                <w:i w:val="1"/>
                <w:iCs w:val="1"/>
                <w:color w:val="auto"/>
                <w:w w:val="87"/>
              </w:rPr>
              <w:t xml:space="preserve">Methane Jane Elizabeth </w:t>
            </w:r>
            <w:r>
              <w:rPr>
                <w:rFonts w:ascii="Arial" w:cs="Arial" w:eastAsia="Arial" w:hAnsi="Arial"/>
                <w:sz w:val="14"/>
                <w:szCs w:val="14"/>
                <w:color w:val="auto"/>
                <w:w w:val="87"/>
              </w:rPr>
              <w:t>and</w:t>
            </w:r>
            <w:r>
              <w:rPr>
                <w:rFonts w:ascii="Arial" w:cs="Arial" w:eastAsia="Arial" w:hAnsi="Arial"/>
                <w:sz w:val="14"/>
                <w:szCs w:val="14"/>
                <w:i w:val="1"/>
                <w:iCs w:val="1"/>
                <w:color w:val="auto"/>
                <w:w w:val="87"/>
              </w:rPr>
              <w:t xml:space="preserve"> Methane Rita Andrea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July 1, 2015</w:t>
            </w:r>
          </w:p>
        </w:tc>
        <w:tc>
          <w:tcPr>
            <w:tcW w:w="4420" w:type="dxa"/>
            <w:vAlign w:val="bottom"/>
            <w:gridSpan w:val="17"/>
          </w:tcPr>
          <w:p>
            <w:pPr>
              <w:ind w:left="40"/>
              <w:spacing w:after="0" w:line="149" w:lineRule="exact"/>
              <w:rPr>
                <w:sz w:val="20"/>
                <w:szCs w:val="20"/>
                <w:color w:val="auto"/>
              </w:rPr>
            </w:pPr>
            <w:r>
              <w:rPr>
                <w:rFonts w:ascii="Arial" w:cs="Arial" w:eastAsia="Arial" w:hAnsi="Arial"/>
                <w:sz w:val="14"/>
                <w:szCs w:val="14"/>
                <w:i w:val="1"/>
                <w:iCs w:val="1"/>
                <w:color w:val="auto"/>
                <w:w w:val="88"/>
              </w:rPr>
              <w:t xml:space="preserve">Methane Alison Victoria, Methane Heather Sally </w:t>
            </w:r>
            <w:r>
              <w:rPr>
                <w:rFonts w:ascii="Arial" w:cs="Arial" w:eastAsia="Arial" w:hAnsi="Arial"/>
                <w:sz w:val="14"/>
                <w:szCs w:val="14"/>
                <w:color w:val="auto"/>
                <w:w w:val="88"/>
              </w:rPr>
              <w:t>and</w:t>
            </w:r>
            <w:r>
              <w:rPr>
                <w:rFonts w:ascii="Arial" w:cs="Arial" w:eastAsia="Arial" w:hAnsi="Arial"/>
                <w:sz w:val="14"/>
                <w:szCs w:val="14"/>
                <w:i w:val="1"/>
                <w:iCs w:val="1"/>
                <w:color w:val="auto"/>
                <w:w w:val="88"/>
              </w:rPr>
              <w:t xml:space="preserve"> Methane Shirley Elisabeth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November 1, 2016</w:t>
            </w:r>
          </w:p>
        </w:tc>
        <w:tc>
          <w:tcPr>
            <w:tcW w:w="1140" w:type="dxa"/>
            <w:vAlign w:val="bottom"/>
          </w:tcPr>
          <w:p>
            <w:pPr>
              <w:ind w:left="40"/>
              <w:spacing w:after="0" w:line="149" w:lineRule="exact"/>
              <w:rPr>
                <w:sz w:val="20"/>
                <w:szCs w:val="20"/>
                <w:color w:val="auto"/>
              </w:rPr>
            </w:pPr>
            <w:r>
              <w:rPr>
                <w:rFonts w:ascii="Arial" w:cs="Arial" w:eastAsia="Arial" w:hAnsi="Arial"/>
                <w:sz w:val="14"/>
                <w:szCs w:val="14"/>
                <w:i w:val="1"/>
                <w:iCs w:val="1"/>
                <w:color w:val="auto"/>
              </w:rPr>
              <w:t>GasLog Seattle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May 3, 2017</w:t>
            </w:r>
          </w:p>
        </w:tc>
        <w:tc>
          <w:tcPr>
            <w:tcW w:w="1140" w:type="dxa"/>
            <w:vAlign w:val="bottom"/>
          </w:tcPr>
          <w:p>
            <w:pPr>
              <w:ind w:left="40"/>
              <w:spacing w:after="0" w:line="149" w:lineRule="exact"/>
              <w:rPr>
                <w:sz w:val="20"/>
                <w:szCs w:val="20"/>
                <w:color w:val="auto"/>
              </w:rPr>
            </w:pPr>
            <w:r>
              <w:rPr>
                <w:rFonts w:ascii="Arial" w:cs="Arial" w:eastAsia="Arial" w:hAnsi="Arial"/>
                <w:sz w:val="14"/>
                <w:szCs w:val="14"/>
                <w:i w:val="1"/>
                <w:iCs w:val="1"/>
                <w:color w:val="auto"/>
              </w:rPr>
              <w:t>GasLog Greece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40" w:type="dxa"/>
            <w:vAlign w:val="bottom"/>
          </w:tcPr>
          <w:p>
            <w:pPr>
              <w:ind w:left="220"/>
              <w:spacing w:after="0"/>
              <w:rPr>
                <w:sz w:val="20"/>
                <w:szCs w:val="20"/>
                <w:color w:val="auto"/>
              </w:rPr>
            </w:pPr>
            <w:r>
              <w:rPr>
                <w:rFonts w:ascii="Arial" w:cs="Arial" w:eastAsia="Arial" w:hAnsi="Arial"/>
                <w:sz w:val="14"/>
                <w:szCs w:val="14"/>
                <w:color w:val="auto"/>
              </w:rPr>
              <w:t>July 3, 2017</w:t>
            </w:r>
          </w:p>
        </w:tc>
        <w:tc>
          <w:tcPr>
            <w:tcW w:w="1140" w:type="dxa"/>
            <w:vAlign w:val="bottom"/>
          </w:tcPr>
          <w:p>
            <w:pPr>
              <w:ind w:left="40"/>
              <w:spacing w:after="0"/>
              <w:rPr>
                <w:sz w:val="20"/>
                <w:szCs w:val="20"/>
                <w:color w:val="auto"/>
              </w:rPr>
            </w:pPr>
            <w:r>
              <w:rPr>
                <w:rFonts w:ascii="Arial" w:cs="Arial" w:eastAsia="Arial" w:hAnsi="Arial"/>
                <w:sz w:val="14"/>
                <w:szCs w:val="14"/>
                <w:i w:val="1"/>
                <w:iCs w:val="1"/>
                <w:color w:val="auto"/>
              </w:rPr>
              <w:t>GasLog Geneva</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4"/>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0"/>
              </w:rPr>
              <w:t>Historical</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10"/>
          </w:tcPr>
          <w:p>
            <w:pPr>
              <w:jc w:val="right"/>
              <w:ind w:right="140"/>
              <w:spacing w:after="0" w:line="129" w:lineRule="exact"/>
              <w:rPr>
                <w:sz w:val="20"/>
                <w:szCs w:val="20"/>
                <w:color w:val="auto"/>
              </w:rPr>
            </w:pPr>
            <w:r>
              <w:rPr>
                <w:rFonts w:ascii="Arial" w:cs="Arial" w:eastAsia="Arial" w:hAnsi="Arial"/>
                <w:sz w:val="14"/>
                <w:szCs w:val="14"/>
                <w:b w:val="1"/>
                <w:bCs w:val="1"/>
                <w:color w:val="auto"/>
                <w:w w:val="86"/>
              </w:rPr>
              <w:t>Three Months Ended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7"/>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Nine Months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7"/>
          </w:tcPr>
          <w:p>
            <w:pPr>
              <w:jc w:val="center"/>
              <w:ind w:left="192"/>
              <w:spacing w:after="0"/>
              <w:rPr>
                <w:sz w:val="20"/>
                <w:szCs w:val="20"/>
                <w:color w:val="auto"/>
              </w:rPr>
            </w:pPr>
            <w:r>
              <w:rPr>
                <w:rFonts w:ascii="Arial" w:cs="Arial" w:eastAsia="Arial" w:hAnsi="Arial"/>
                <w:sz w:val="14"/>
                <w:szCs w:val="14"/>
                <w:b w:val="1"/>
                <w:bCs w:val="1"/>
                <w:color w:val="auto"/>
                <w:w w:val="87"/>
              </w:rPr>
              <w:t>Year Ended December 31,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center"/>
              <w:ind w:right="37"/>
              <w:spacing w:after="0" w:line="142" w:lineRule="exact"/>
              <w:rPr>
                <w:sz w:val="20"/>
                <w:szCs w:val="20"/>
                <w:color w:val="auto"/>
              </w:rPr>
            </w:pPr>
            <w:r>
              <w:rPr>
                <w:rFonts w:ascii="Arial" w:cs="Arial" w:eastAsia="Arial" w:hAnsi="Arial"/>
                <w:sz w:val="14"/>
                <w:szCs w:val="14"/>
                <w:b w:val="1"/>
                <w:bCs w:val="1"/>
                <w:color w:val="auto"/>
                <w:w w:val="83"/>
              </w:rPr>
              <w:t>2017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68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660" w:type="dxa"/>
            <w:vAlign w:val="bottom"/>
            <w:gridSpan w:val="3"/>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20"/>
          </w:tcPr>
          <w:p>
            <w:pPr>
              <w:ind w:left="320"/>
              <w:spacing w:after="0"/>
              <w:rPr>
                <w:sz w:val="20"/>
                <w:szCs w:val="20"/>
                <w:color w:val="auto"/>
              </w:rPr>
            </w:pPr>
            <w:r>
              <w:rPr>
                <w:rFonts w:ascii="Arial" w:cs="Arial" w:eastAsia="Arial" w:hAnsi="Arial"/>
                <w:sz w:val="14"/>
                <w:szCs w:val="14"/>
                <w:b w:val="1"/>
                <w:bCs w:val="1"/>
                <w:color w:val="auto"/>
                <w:w w:val="85"/>
              </w:rPr>
              <w:t>(in thousands of U.S. dollars, except per unit data)</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PROFIT OR LOSS: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Revenues</w:t>
            </w:r>
          </w:p>
        </w:tc>
        <w:tc>
          <w:tcPr>
            <w:tcW w:w="1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184,222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224,190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8"/>
              </w:rPr>
              <w:t>259,478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8"/>
              </w:rPr>
              <w:t>66,033</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2"/>
                <w:szCs w:val="12"/>
                <w:color w:val="auto"/>
              </w:rPr>
            </w:pPr>
          </w:p>
        </w:tc>
        <w:tc>
          <w:tcPr>
            <w:tcW w:w="5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7"/>
              </w:rPr>
              <w:t>73,439</w:t>
            </w:r>
          </w:p>
        </w:tc>
        <w:tc>
          <w:tcPr>
            <w:tcW w:w="2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186,387</w:t>
            </w:r>
          </w:p>
        </w:tc>
        <w:tc>
          <w:tcPr>
            <w:tcW w:w="2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217,923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Vessel operating costs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(35,732)</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(47,748)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(53,082)</w:t>
            </w: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(13,536)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(15,066)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(39,425)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(43,568)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w w:val="85"/>
              </w:rPr>
              <w:t>Voyage expenses and commissions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(2,368)</w:t>
            </w: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(3,559)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9"/>
              </w:rPr>
              <w:t>(2,630)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(39,569)</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(49,971)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(56,023)</w:t>
            </w: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(14,076)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(15,611)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(40,516)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(46,327)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General and administrative expenses</w:t>
            </w: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(6,946)</w:t>
            </w: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(11,542)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4"/>
              </w:rPr>
              <w:t>(12,234)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(3,130)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(3,787)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9"/>
              </w:rPr>
              <w:t>(9,227)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(10,470)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99,607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111,950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8"/>
              </w:rPr>
              <w:t>134,580</w:t>
            </w: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88"/>
              </w:rPr>
              <w:t>34,442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7"/>
              </w:rPr>
              <w:t>38,054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3"/>
              </w:rPr>
              <w:t>94,589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90"/>
              </w:rPr>
              <w:t>114,825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ind w:left="120"/>
              <w:spacing w:after="0" w:line="142" w:lineRule="exact"/>
              <w:rPr>
                <w:sz w:val="20"/>
                <w:szCs w:val="20"/>
                <w:color w:val="auto"/>
              </w:rPr>
            </w:pPr>
            <w:r>
              <w:rPr>
                <w:rFonts w:ascii="Arial" w:cs="Arial" w:eastAsia="Arial" w:hAnsi="Arial"/>
                <w:sz w:val="14"/>
                <w:szCs w:val="14"/>
                <w:color w:val="auto"/>
              </w:rPr>
              <w:t>Financial costs</w:t>
            </w:r>
          </w:p>
        </w:tc>
        <w:tc>
          <w:tcPr>
            <w:tcW w:w="1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(37,725)</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(31,212)</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2"/>
              </w:rPr>
              <w:t>(41,796)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(12,249)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0"/>
              </w:rPr>
              <w:t>(12,319)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(30,162)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4"/>
              </w:rPr>
              <w:t>(36,098)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Financial income</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Loss on interest rate swaps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(12,903)</w:t>
            </w: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(2,513)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(2,244)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9"/>
              </w:rPr>
              <w:t>(6,136)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(50,579)</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(34,327)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84"/>
              </w:rPr>
              <w:t>(44,118)</w:t>
            </w: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80" w:type="dxa"/>
            <w:vAlign w:val="bottom"/>
            <w:gridSpan w:val="4"/>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(14,404)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(12,680)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84"/>
              </w:rPr>
              <w:t>(36,167)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5"/>
              </w:rPr>
              <w:t>(38,414)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Profit for the year/period</w:t>
            </w:r>
          </w:p>
        </w:tc>
        <w:tc>
          <w:tcPr>
            <w:tcW w:w="1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49,028</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77,623</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90,462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25,374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58,422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76,411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80" w:type="dxa"/>
            <w:vAlign w:val="bottom"/>
            <w:gridSpan w:val="2"/>
            <w:shd w:val="clear" w:color="auto" w:fill="CCEEFF"/>
          </w:tcPr>
          <w:p>
            <w:pPr>
              <w:ind w:left="120"/>
              <w:spacing w:after="0" w:line="129" w:lineRule="exact"/>
              <w:rPr>
                <w:sz w:val="20"/>
                <w:szCs w:val="20"/>
                <w:color w:val="auto"/>
              </w:rPr>
            </w:pPr>
            <w:r>
              <w:rPr>
                <w:rFonts w:ascii="Arial" w:cs="Arial" w:eastAsia="Arial" w:hAnsi="Arial"/>
                <w:sz w:val="14"/>
                <w:szCs w:val="14"/>
                <w:b w:val="1"/>
                <w:bCs w:val="1"/>
                <w:color w:val="auto"/>
              </w:rPr>
              <w:t>Profit attributable to GasLog's operations</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b w:val="1"/>
                <w:bCs w:val="1"/>
                <w:color w:val="auto"/>
              </w:rPr>
              <w:t>34,484</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b w:val="1"/>
                <w:bCs w:val="1"/>
                <w:color w:val="auto"/>
              </w:rPr>
              <w:t>12,583</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b w:val="1"/>
                <w:bCs w:val="1"/>
                <w:color w:val="auto"/>
                <w:w w:val="93"/>
              </w:rPr>
              <w:t>13,192</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b w:val="1"/>
                <w:bCs w:val="1"/>
                <w:color w:val="auto"/>
              </w:rPr>
              <w:t>1,169</w:t>
            </w:r>
          </w:p>
        </w:tc>
        <w:tc>
          <w:tcPr>
            <w:tcW w:w="16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4"/>
                <w:szCs w:val="14"/>
                <w:b w:val="1"/>
                <w:bCs w:val="1"/>
                <w:color w:val="auto"/>
                <w:w w:val="76"/>
              </w:rPr>
              <w:t>$</w:t>
            </w:r>
          </w:p>
        </w:tc>
        <w:tc>
          <w:tcPr>
            <w:tcW w:w="2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60"/>
              <w:spacing w:after="0" w:line="129" w:lineRule="exact"/>
              <w:rPr>
                <w:sz w:val="20"/>
                <w:szCs w:val="20"/>
                <w:color w:val="auto"/>
              </w:rPr>
            </w:pPr>
            <w:r>
              <w:rPr>
                <w:rFonts w:ascii="Arial" w:cs="Arial" w:eastAsia="Arial" w:hAnsi="Arial"/>
                <w:sz w:val="14"/>
                <w:szCs w:val="14"/>
                <w:b w:val="1"/>
                <w:bCs w:val="1"/>
                <w:color w:val="auto"/>
              </w:rPr>
              <w:t>75</w:t>
            </w:r>
          </w:p>
        </w:tc>
        <w:tc>
          <w:tcPr>
            <w:tcW w:w="22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29" w:lineRule="exact"/>
              <w:rPr>
                <w:sz w:val="20"/>
                <w:szCs w:val="20"/>
                <w:color w:val="auto"/>
              </w:rPr>
            </w:pPr>
            <w:r>
              <w:rPr>
                <w:rFonts w:ascii="Arial" w:cs="Arial" w:eastAsia="Arial" w:hAnsi="Arial"/>
                <w:sz w:val="14"/>
                <w:szCs w:val="14"/>
                <w:b w:val="1"/>
                <w:bCs w:val="1"/>
                <w:color w:val="auto"/>
              </w:rPr>
              <w:t>5,979</w:t>
            </w:r>
          </w:p>
        </w:tc>
        <w:tc>
          <w:tcPr>
            <w:tcW w:w="200" w:type="dxa"/>
            <w:vAlign w:val="bottom"/>
            <w:gridSpan w:val="2"/>
            <w:shd w:val="clear" w:color="auto" w:fill="CCEEFF"/>
          </w:tcPr>
          <w:p>
            <w:pPr>
              <w:jc w:val="center"/>
              <w:ind w:left="12"/>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b w:val="1"/>
                <w:bCs w:val="1"/>
                <w:color w:val="auto"/>
              </w:rPr>
              <w:t>10,732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Partnership's profit</w:t>
            </w:r>
          </w:p>
        </w:tc>
        <w:tc>
          <w:tcPr>
            <w:tcW w:w="1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14,544</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65,040</w:t>
            </w: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77,270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18,869</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2"/>
                <w:szCs w:val="12"/>
                <w:color w:val="auto"/>
              </w:rPr>
            </w:pPr>
          </w:p>
        </w:tc>
        <w:tc>
          <w:tcPr>
            <w:tcW w:w="5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7"/>
              </w:rPr>
              <w:t>25,299</w:t>
            </w:r>
          </w:p>
        </w:tc>
        <w:tc>
          <w:tcPr>
            <w:tcW w:w="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4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52,443</w:t>
            </w:r>
          </w:p>
        </w:tc>
        <w:tc>
          <w:tcPr>
            <w:tcW w:w="20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65,679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EARNINGS PER UNIT ATTRIBUTABLE TO THE</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40" w:type="dxa"/>
            <w:vAlign w:val="bottom"/>
            <w:shd w:val="clear" w:color="auto" w:fill="CCEEFF"/>
          </w:tcPr>
          <w:p>
            <w:pPr>
              <w:ind w:left="120"/>
              <w:spacing w:after="0" w:line="193" w:lineRule="exact"/>
              <w:rPr>
                <w:sz w:val="20"/>
                <w:szCs w:val="20"/>
                <w:color w:val="auto"/>
              </w:rPr>
            </w:pPr>
            <w:r>
              <w:rPr>
                <w:rFonts w:ascii="Arial" w:cs="Arial" w:eastAsia="Arial" w:hAnsi="Arial"/>
                <w:sz w:val="14"/>
                <w:szCs w:val="14"/>
                <w:b w:val="1"/>
                <w:bCs w:val="1"/>
                <w:color w:val="auto"/>
              </w:rPr>
              <w:t>PARTNERSHIP:</w:t>
            </w:r>
            <w:r>
              <w:rPr>
                <w:rFonts w:ascii="Arial" w:cs="Arial" w:eastAsia="Arial" w:hAnsi="Arial"/>
                <w:sz w:val="22"/>
                <w:szCs w:val="22"/>
                <w:b w:val="1"/>
                <w:bCs w:val="1"/>
                <w:color w:val="auto"/>
                <w:vertAlign w:val="superscript"/>
              </w:rPr>
              <w:t>(2)</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Common units (basic)</w:t>
            </w:r>
          </w:p>
        </w:tc>
        <w:tc>
          <w:tcPr>
            <w:tcW w:w="1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0.75</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0.54</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2"/>
                <w:szCs w:val="12"/>
                <w:color w:val="auto"/>
              </w:rPr>
            </w:pPr>
          </w:p>
        </w:tc>
        <w:tc>
          <w:tcPr>
            <w:tcW w:w="5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0.53</w:t>
            </w:r>
          </w:p>
        </w:tc>
        <w:tc>
          <w:tcPr>
            <w:tcW w:w="2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1.55</w:t>
            </w:r>
          </w:p>
        </w:tc>
        <w:tc>
          <w:tcPr>
            <w:tcW w:w="2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units (diluted)</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0.75</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0.54</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0.53</w:t>
            </w:r>
          </w:p>
        </w:tc>
        <w:tc>
          <w:tcPr>
            <w:tcW w:w="2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1.55</w:t>
            </w:r>
          </w:p>
        </w:tc>
        <w:tc>
          <w:tcPr>
            <w:tcW w:w="2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120"/>
              <w:spacing w:after="0" w:line="176" w:lineRule="exact"/>
              <w:rPr>
                <w:sz w:val="20"/>
                <w:szCs w:val="20"/>
                <w:color w:val="auto"/>
              </w:rPr>
            </w:pPr>
            <w:r>
              <w:rPr>
                <w:rFonts w:ascii="Arial" w:cs="Arial" w:eastAsia="Arial" w:hAnsi="Arial"/>
                <w:sz w:val="13"/>
                <w:szCs w:val="13"/>
                <w:color w:val="auto"/>
              </w:rPr>
              <w:t>Subordinated units</w:t>
            </w:r>
            <w:r>
              <w:rPr>
                <w:rFonts w:ascii="Arial" w:cs="Arial" w:eastAsia="Arial" w:hAnsi="Arial"/>
                <w:sz w:val="20"/>
                <w:szCs w:val="20"/>
                <w:color w:val="auto"/>
                <w:vertAlign w:val="superscript"/>
              </w:rPr>
              <w:t>(3)</w:t>
            </w:r>
          </w:p>
        </w:tc>
        <w:tc>
          <w:tcPr>
            <w:tcW w:w="1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0.56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1.85</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2.14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0.52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2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4"/>
                <w:szCs w:val="14"/>
                <w:color w:val="auto"/>
              </w:rPr>
              <w:t>1.52</w:t>
            </w:r>
          </w:p>
        </w:tc>
        <w:tc>
          <w:tcPr>
            <w:tcW w:w="200" w:type="dxa"/>
            <w:vAlign w:val="bottom"/>
            <w:gridSpan w:val="2"/>
          </w:tcPr>
          <w:p>
            <w:pPr>
              <w:jc w:val="center"/>
              <w:ind w:left="12"/>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0.52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partner units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0.56</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0.56</w:t>
            </w:r>
          </w:p>
        </w:tc>
        <w:tc>
          <w:tcPr>
            <w:tcW w:w="2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1.60</w:t>
            </w:r>
          </w:p>
        </w:tc>
        <w:tc>
          <w:tcPr>
            <w:tcW w:w="2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97"/>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11"/>
            <w:vMerge w:val="restart"/>
          </w:tcPr>
          <w:p>
            <w:pPr>
              <w:jc w:val="center"/>
              <w:ind w:right="300"/>
              <w:spacing w:after="0"/>
              <w:rPr>
                <w:sz w:val="20"/>
                <w:szCs w:val="20"/>
                <w:color w:val="auto"/>
              </w:rPr>
            </w:pPr>
            <w:r>
              <w:rPr>
                <w:rFonts w:ascii="Arial" w:cs="Arial" w:eastAsia="Arial" w:hAnsi="Arial"/>
                <w:sz w:val="14"/>
                <w:szCs w:val="14"/>
                <w:b w:val="1"/>
                <w:bCs w:val="1"/>
                <w:color w:val="auto"/>
                <w:w w:val="84"/>
              </w:rPr>
              <w:t>As of 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67"/>
        </w:trPr>
        <w:tc>
          <w:tcPr>
            <w:tcW w:w="2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gridSpan w:val="11"/>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7"/>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62"/>
        </w:trPr>
        <w:tc>
          <w:tcPr>
            <w:tcW w:w="2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3"/>
              </w:rPr>
              <w:t>2015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5"/>
          </w:tcPr>
          <w:p>
            <w:pPr>
              <w:jc w:val="right"/>
              <w:ind w:right="17"/>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center"/>
              <w:ind w:right="29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gridSpan w:val="4"/>
          </w:tcPr>
          <w:p>
            <w:pPr>
              <w:ind w:left="60"/>
              <w:spacing w:after="0" w:line="157" w:lineRule="exact"/>
              <w:rPr>
                <w:sz w:val="20"/>
                <w:szCs w:val="20"/>
                <w:color w:val="auto"/>
              </w:rPr>
            </w:pPr>
            <w:r>
              <w:rPr>
                <w:rFonts w:ascii="Arial" w:cs="Arial" w:eastAsia="Arial" w:hAnsi="Arial"/>
                <w:sz w:val="12"/>
                <w:szCs w:val="12"/>
                <w:b w:val="1"/>
                <w:bCs w:val="1"/>
                <w:color w:val="auto"/>
                <w:w w:val="88"/>
              </w:rPr>
              <w:t>Restated</w:t>
            </w:r>
            <w:r>
              <w:rPr>
                <w:rFonts w:ascii="Arial" w:cs="Arial" w:eastAsia="Arial" w:hAnsi="Arial"/>
                <w:sz w:val="18"/>
                <w:szCs w:val="18"/>
                <w:b w:val="1"/>
                <w:bCs w:val="1"/>
                <w:color w:val="auto"/>
                <w:w w:val="88"/>
                <w:vertAlign w:val="superscript"/>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gridSpan w:val="5"/>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gridSpan w:val="5"/>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15"/>
          </w:tcPr>
          <w:p>
            <w:pPr>
              <w:jc w:val="center"/>
              <w:ind w:right="260"/>
              <w:spacing w:after="0"/>
              <w:rPr>
                <w:sz w:val="20"/>
                <w:szCs w:val="20"/>
                <w:color w:val="auto"/>
              </w:rPr>
            </w:pPr>
            <w:r>
              <w:rPr>
                <w:rFonts w:ascii="Arial" w:cs="Arial" w:eastAsia="Arial" w:hAnsi="Arial"/>
                <w:sz w:val="14"/>
                <w:szCs w:val="14"/>
                <w:b w:val="1"/>
                <w:bCs w:val="1"/>
                <w:color w:val="auto"/>
                <w:w w:val="85"/>
              </w:rPr>
              <w:t>(in thousands of U.S. dollars)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FINANCIAL POSITION DATA:</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50,629</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62,677</w:t>
            </w:r>
          </w:p>
        </w:tc>
        <w:tc>
          <w:tcPr>
            <w:tcW w:w="4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2"/>
                <w:szCs w:val="12"/>
                <w:color w:val="auto"/>
              </w:rPr>
            </w:pPr>
          </w:p>
        </w:tc>
        <w:tc>
          <w:tcPr>
            <w:tcW w:w="3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79"/>
              </w:rPr>
              <w:t>55,819</w:t>
            </w:r>
          </w:p>
        </w:tc>
        <w:tc>
          <w:tcPr>
            <w:tcW w:w="4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192,554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Short-term investments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21,700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4,500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Vessels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99"/>
              </w:rPr>
              <w:t>1,507,541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w w:val="99"/>
              </w:rPr>
              <w:t>1,464,763</w:t>
            </w:r>
          </w:p>
        </w:tc>
        <w:tc>
          <w:tcPr>
            <w:tcW w:w="86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1,826,995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3"/>
              </w:rPr>
              <w:t>1,782,825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Vessels under construction</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74,315</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Total assets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99"/>
              </w:rPr>
              <w:t>1,618,829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w w:val="99"/>
              </w:rPr>
              <w:t>1,616,133</w:t>
            </w:r>
          </w:p>
        </w:tc>
        <w:tc>
          <w:tcPr>
            <w:tcW w:w="86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1,904,280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3"/>
              </w:rPr>
              <w:t>1,986,644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Borrowings—current portion</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28,356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333,147</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66,697</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96,086</w:t>
            </w:r>
          </w:p>
        </w:tc>
        <w:tc>
          <w:tcPr>
            <w:tcW w:w="10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w w:val="93"/>
              </w:rPr>
              <w:t>Borrowings—non-current portion</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900,749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533,555</w:t>
            </w:r>
          </w:p>
        </w:tc>
        <w:tc>
          <w:tcPr>
            <w:tcW w:w="86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1,055,773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953,018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equity</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620,217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682,250</w:t>
            </w:r>
          </w:p>
        </w:tc>
        <w:tc>
          <w:tcPr>
            <w:tcW w:w="860" w:type="dxa"/>
            <w:vAlign w:val="bottom"/>
            <w:gridSpan w:val="6"/>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6"/>
              </w:rPr>
              <w:t>735,639</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898,558</w:t>
            </w:r>
          </w:p>
        </w:tc>
        <w:tc>
          <w:tcPr>
            <w:tcW w:w="10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131" w:right="10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331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Nine Months</w:t>
            </w:r>
          </w:p>
        </w:tc>
      </w:tr>
      <w:tr>
        <w:trPr>
          <w:trHeight w:val="161"/>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4"/>
                <w:szCs w:val="14"/>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7"/>
              </w:rPr>
              <w:t>Ended September 30,</w:t>
            </w:r>
          </w:p>
        </w:tc>
      </w:tr>
      <w:tr>
        <w:trPr>
          <w:trHeight w:val="142"/>
        </w:trPr>
        <w:tc>
          <w:tcPr>
            <w:tcW w:w="4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56"/>
        </w:trPr>
        <w:tc>
          <w:tcPr>
            <w:tcW w:w="4460" w:type="dxa"/>
            <w:vAlign w:val="bottom"/>
          </w:tcPr>
          <w:p>
            <w:pPr>
              <w:spacing w:after="0"/>
              <w:rPr>
                <w:sz w:val="13"/>
                <w:szCs w:val="13"/>
                <w:color w:val="auto"/>
              </w:rPr>
            </w:pPr>
          </w:p>
        </w:tc>
        <w:tc>
          <w:tcPr>
            <w:tcW w:w="72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72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72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72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w w:val="94"/>
              </w:rPr>
              <w:t>(in thousands of U.S. dollars)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DATA:</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ind w:right="17"/>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128,064</w:t>
            </w:r>
          </w:p>
        </w:tc>
        <w:tc>
          <w:tcPr>
            <w:tcW w:w="160" w:type="dxa"/>
            <w:vAlign w:val="bottom"/>
          </w:tcPr>
          <w:p>
            <w:pPr>
              <w:jc w:val="right"/>
              <w:ind w:right="17"/>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125,934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176,770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131,477</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7"/>
              </w:rPr>
              <w:t>$  124,157</w:t>
            </w:r>
          </w:p>
        </w:tc>
      </w:tr>
      <w:tr>
        <w:trPr>
          <w:trHeight w:val="149"/>
        </w:trPr>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in)/provided by investing activities</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(809,337)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14,421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(341,960)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(333,419)</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3,297</w:t>
            </w:r>
          </w:p>
        </w:tc>
      </w:tr>
      <w:tr>
        <w:trPr>
          <w:trHeight w:val="172"/>
        </w:trPr>
        <w:tc>
          <w:tcPr>
            <w:tcW w:w="4460" w:type="dxa"/>
            <w:vAlign w:val="bottom"/>
          </w:tcPr>
          <w:p>
            <w:pPr>
              <w:spacing w:after="0"/>
              <w:rPr>
                <w:sz w:val="20"/>
                <w:szCs w:val="20"/>
                <w:color w:val="auto"/>
              </w:rPr>
            </w:pPr>
            <w:r>
              <w:rPr>
                <w:rFonts w:ascii="Arial" w:cs="Arial" w:eastAsia="Arial" w:hAnsi="Arial"/>
                <w:sz w:val="14"/>
                <w:szCs w:val="14"/>
                <w:color w:val="auto"/>
              </w:rPr>
              <w:t>Net cash provided by/(used in) financing activities</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711,785</w:t>
            </w: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(128,307)</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158,332</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258,680</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9,281</w:t>
            </w:r>
          </w:p>
        </w:tc>
      </w:tr>
    </w:tbl>
    <w:p>
      <w:pPr>
        <w:spacing w:after="0" w:line="200" w:lineRule="exact"/>
        <w:rPr>
          <w:sz w:val="20"/>
          <w:szCs w:val="20"/>
          <w:color w:val="auto"/>
        </w:rPr>
      </w:pPr>
    </w:p>
    <w:p>
      <w:pPr>
        <w:spacing w:after="0" w:line="39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19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left="293"/>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9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69"/>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660" w:type="dxa"/>
            <w:vAlign w:val="bottom"/>
          </w:tcPr>
          <w:p>
            <w:pPr>
              <w:ind w:left="20"/>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FLEET DATA*:</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Number of LNG carriers at end of period</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number of LNG carriers during period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Average age of LNG carriers (years)</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w:t>
            </w: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w:t>
            </w: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calendar days of fleet for the period</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2,595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3,285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3,663</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920</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1,012</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2,651</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3,003</w:t>
            </w:r>
          </w:p>
        </w:tc>
      </w:tr>
      <w:tr>
        <w:trPr>
          <w:trHeight w:val="284"/>
        </w:trPr>
        <w:tc>
          <w:tcPr>
            <w:tcW w:w="3620" w:type="dxa"/>
            <w:vAlign w:val="bottom"/>
            <w:gridSpan w:val="2"/>
          </w:tcPr>
          <w:p>
            <w:pPr>
              <w:spacing w:after="0"/>
              <w:rPr>
                <w:sz w:val="20"/>
                <w:szCs w:val="20"/>
                <w:color w:val="auto"/>
              </w:rPr>
            </w:pPr>
            <w:r>
              <w:rPr>
                <w:rFonts w:ascii="Arial" w:cs="Arial" w:eastAsia="Arial" w:hAnsi="Arial"/>
                <w:sz w:val="14"/>
                <w:szCs w:val="14"/>
                <w:color w:val="auto"/>
              </w:rPr>
              <w:t>Total operating days of fleet for the period</w:t>
            </w:r>
            <w:r>
              <w:rPr>
                <w:rFonts w:ascii="Arial" w:cs="Arial" w:eastAsia="Arial" w:hAnsi="Arial"/>
                <w:sz w:val="22"/>
                <w:szCs w:val="22"/>
                <w:color w:val="auto"/>
                <w:vertAlign w:val="superscript"/>
              </w:rPr>
              <w:t>(4)</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2,586</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3,220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3,618</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920</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1,012</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2,606</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3,003</w:t>
            </w:r>
          </w:p>
        </w:tc>
      </w:tr>
      <w:tr>
        <w:trPr>
          <w:trHeight w:val="20"/>
        </w:trPr>
        <w:tc>
          <w:tcPr>
            <w:tcW w:w="1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Fleet Data above is calculated consistent with our IFRS Common Control Reported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w:t>
            </w:r>
          </w:p>
        </w:tc>
        <w:tc>
          <w:tcPr>
            <w:tcW w:w="16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w:t>
            </w:r>
          </w:p>
        </w:tc>
      </w:tr>
      <w:tr>
        <w:trPr>
          <w:trHeight w:val="161"/>
        </w:trPr>
        <w:tc>
          <w:tcPr>
            <w:tcW w:w="3060" w:type="dxa"/>
            <w:vAlign w:val="bottom"/>
          </w:tcPr>
          <w:p>
            <w:pPr>
              <w:spacing w:after="0"/>
              <w:rPr>
                <w:sz w:val="14"/>
                <w:szCs w:val="14"/>
                <w:color w:val="auto"/>
              </w:rPr>
            </w:pPr>
          </w:p>
        </w:tc>
        <w:tc>
          <w:tcPr>
            <w:tcW w:w="25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9"/>
              </w:rPr>
              <w:t>Ended September 30,</w:t>
            </w:r>
          </w:p>
        </w:tc>
        <w:tc>
          <w:tcPr>
            <w:tcW w:w="16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2"/>
              </w:rPr>
              <w:t>Ended September 30,</w:t>
            </w:r>
          </w:p>
        </w:tc>
      </w:tr>
      <w:tr>
        <w:trPr>
          <w:trHeight w:val="142"/>
        </w:trPr>
        <w:tc>
          <w:tcPr>
            <w:tcW w:w="30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r>
      <w:tr>
        <w:trPr>
          <w:trHeight w:val="156"/>
        </w:trPr>
        <w:tc>
          <w:tcPr>
            <w:tcW w:w="306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68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61"/>
        </w:trPr>
        <w:tc>
          <w:tcPr>
            <w:tcW w:w="3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w w:val="97"/>
              </w:rPr>
              <w:t>(in thousands of U.S. dollars)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FINANCIAL DATA:</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6"/>
        </w:trPr>
        <w:tc>
          <w:tcPr>
            <w:tcW w:w="3060" w:type="dxa"/>
            <w:vAlign w:val="bottom"/>
          </w:tcPr>
          <w:p>
            <w:pPr>
              <w:ind w:left="120"/>
              <w:spacing w:after="0" w:line="176" w:lineRule="exact"/>
              <w:rPr>
                <w:sz w:val="20"/>
                <w:szCs w:val="20"/>
                <w:color w:val="auto"/>
              </w:rPr>
            </w:pPr>
            <w:r>
              <w:rPr>
                <w:rFonts w:ascii="Arial" w:cs="Arial" w:eastAsia="Arial" w:hAnsi="Arial"/>
                <w:sz w:val="13"/>
                <w:szCs w:val="13"/>
                <w:color w:val="auto"/>
              </w:rPr>
              <w:t>EBITDA</w:t>
            </w:r>
            <w:r>
              <w:rPr>
                <w:rFonts w:ascii="Arial" w:cs="Arial" w:eastAsia="Arial" w:hAnsi="Arial"/>
                <w:sz w:val="20"/>
                <w:szCs w:val="20"/>
                <w:color w:val="auto"/>
                <w:vertAlign w:val="superscript"/>
              </w:rPr>
              <w:t>(5)</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   139,176</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   161,921</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   190,603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48,518</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$ 53,665</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   135,105</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$ 161,152</w:t>
            </w:r>
          </w:p>
        </w:tc>
      </w:tr>
      <w:tr>
        <w:trPr>
          <w:trHeight w:val="149"/>
        </w:trPr>
        <w:tc>
          <w:tcPr>
            <w:tcW w:w="3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 expenditures:</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9"/>
        </w:trPr>
        <w:tc>
          <w:tcPr>
            <w:tcW w:w="3060" w:type="dxa"/>
            <w:vAlign w:val="bottom"/>
          </w:tcPr>
          <w:p>
            <w:pPr>
              <w:ind w:left="240"/>
              <w:spacing w:after="0" w:line="149" w:lineRule="exact"/>
              <w:rPr>
                <w:sz w:val="20"/>
                <w:szCs w:val="20"/>
                <w:color w:val="auto"/>
              </w:rPr>
            </w:pPr>
            <w:r>
              <w:rPr>
                <w:rFonts w:ascii="Arial" w:cs="Arial" w:eastAsia="Arial" w:hAnsi="Arial"/>
                <w:sz w:val="14"/>
                <w:szCs w:val="14"/>
                <w:color w:val="auto"/>
              </w:rPr>
              <w:t>Payment for vessels and vessel additions</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789,179</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7,317</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337,647</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162,775</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1,509</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333,534</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1,799</w:t>
            </w:r>
          </w:p>
        </w:tc>
      </w:tr>
      <w:tr>
        <w:trPr>
          <w:trHeight w:val="176"/>
        </w:trPr>
        <w:tc>
          <w:tcPr>
            <w:tcW w:w="306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Distributable cash flow</w:t>
            </w:r>
            <w:r>
              <w:rPr>
                <w:rFonts w:ascii="Arial" w:cs="Arial" w:eastAsia="Arial" w:hAnsi="Arial"/>
                <w:sz w:val="20"/>
                <w:szCs w:val="20"/>
                <w:color w:val="auto"/>
                <w:vertAlign w:val="superscript"/>
              </w:rPr>
              <w:t>(5)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27,259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72,254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83,660</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21,413</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26,867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60,118</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73,617</w:t>
            </w:r>
          </w:p>
        </w:tc>
      </w:tr>
      <w:tr>
        <w:trPr>
          <w:trHeight w:val="149"/>
        </w:trPr>
        <w:tc>
          <w:tcPr>
            <w:tcW w:w="3060" w:type="dxa"/>
            <w:vAlign w:val="bottom"/>
          </w:tcPr>
          <w:p>
            <w:pPr>
              <w:ind w:left="120"/>
              <w:spacing w:after="0" w:line="149" w:lineRule="exact"/>
              <w:rPr>
                <w:sz w:val="20"/>
                <w:szCs w:val="20"/>
                <w:color w:val="auto"/>
              </w:rPr>
            </w:pPr>
            <w:r>
              <w:rPr>
                <w:rFonts w:ascii="Arial" w:cs="Arial" w:eastAsia="Arial" w:hAnsi="Arial"/>
                <w:sz w:val="14"/>
                <w:szCs w:val="14"/>
                <w:color w:val="auto"/>
              </w:rPr>
              <w:t>Cash distributions declared</w:t>
            </w: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22,179</w:t>
            </w:r>
            <w:r>
              <w:rPr>
                <w:rFonts w:ascii="Arial" w:cs="Arial" w:eastAsia="Arial" w:hAnsi="Arial"/>
                <w:sz w:val="17"/>
                <w:szCs w:val="17"/>
                <w:color w:val="auto"/>
                <w:vertAlign w:val="superscript"/>
              </w:rPr>
              <w:t>(6)</w:t>
            </w: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58,992</w:t>
            </w:r>
            <w:r>
              <w:rPr>
                <w:rFonts w:ascii="Arial" w:cs="Arial" w:eastAsia="Arial" w:hAnsi="Arial"/>
                <w:sz w:val="17"/>
                <w:szCs w:val="17"/>
                <w:color w:val="auto"/>
                <w:vertAlign w:val="superscript"/>
              </w:rPr>
              <w:t>(7)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1"/>
                <w:szCs w:val="11"/>
                <w:color w:val="auto"/>
              </w:rPr>
              <w:t>65,577</w:t>
            </w:r>
            <w:r>
              <w:rPr>
                <w:rFonts w:ascii="Arial" w:cs="Arial" w:eastAsia="Arial" w:hAnsi="Arial"/>
                <w:sz w:val="17"/>
                <w:szCs w:val="17"/>
                <w:color w:val="auto"/>
                <w:vertAlign w:val="superscript"/>
              </w:rPr>
              <w:t>(8)</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17,077</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21,001</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1"/>
                <w:szCs w:val="11"/>
                <w:color w:val="auto"/>
              </w:rPr>
              <w:t>48,500</w:t>
            </w:r>
            <w:r>
              <w:rPr>
                <w:rFonts w:ascii="Arial" w:cs="Arial" w:eastAsia="Arial" w:hAnsi="Arial"/>
                <w:sz w:val="17"/>
                <w:szCs w:val="17"/>
                <w:color w:val="auto"/>
                <w:vertAlign w:val="superscript"/>
              </w:rPr>
              <w:t>(9)</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60,671</w:t>
            </w:r>
            <w:r>
              <w:rPr>
                <w:rFonts w:ascii="Arial" w:cs="Arial" w:eastAsia="Arial" w:hAnsi="Arial"/>
                <w:sz w:val="17"/>
                <w:szCs w:val="17"/>
                <w:color w:val="auto"/>
                <w:vertAlign w:val="superscript"/>
              </w:rPr>
              <w:t>(10)</w:t>
            </w:r>
          </w:p>
        </w:tc>
      </w:tr>
      <w:tr>
        <w:trPr>
          <w:trHeight w:val="149"/>
        </w:trPr>
        <w:tc>
          <w:tcPr>
            <w:tcW w:w="3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distributions paid</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23,169</w:t>
            </w:r>
            <w:r>
              <w:rPr>
                <w:rFonts w:ascii="Arial" w:cs="Arial" w:eastAsia="Arial" w:hAnsi="Arial"/>
                <w:sz w:val="17"/>
                <w:szCs w:val="17"/>
                <w:color w:val="auto"/>
                <w:vertAlign w:val="superscript"/>
              </w:rPr>
              <w:t>(6)</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60,002</w:t>
            </w:r>
            <w:r>
              <w:rPr>
                <w:rFonts w:ascii="Arial" w:cs="Arial" w:eastAsia="Arial" w:hAnsi="Arial"/>
                <w:sz w:val="17"/>
                <w:szCs w:val="17"/>
                <w:color w:val="auto"/>
                <w:vertAlign w:val="superscript"/>
              </w:rPr>
              <w:t>(7)</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73,377</w:t>
            </w:r>
            <w:r>
              <w:rPr>
                <w:rFonts w:ascii="Arial" w:cs="Arial" w:eastAsia="Arial" w:hAnsi="Arial"/>
                <w:sz w:val="17"/>
                <w:szCs w:val="17"/>
                <w:color w:val="auto"/>
                <w:vertAlign w:val="superscript"/>
              </w:rPr>
              <w:t>(8)</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17,077</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21,001</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56,300</w:t>
            </w:r>
            <w:r>
              <w:rPr>
                <w:rFonts w:ascii="Arial" w:cs="Arial" w:eastAsia="Arial" w:hAnsi="Arial"/>
                <w:sz w:val="17"/>
                <w:szCs w:val="17"/>
                <w:color w:val="auto"/>
                <w:vertAlign w:val="superscript"/>
              </w:rPr>
              <w:t>(9)</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60,671</w:t>
            </w:r>
            <w:r>
              <w:rPr>
                <w:rFonts w:ascii="Arial" w:cs="Arial" w:eastAsia="Arial" w:hAnsi="Arial"/>
                <w:sz w:val="17"/>
                <w:szCs w:val="17"/>
                <w:color w:val="auto"/>
                <w:vertAlign w:val="superscript"/>
              </w:rPr>
              <w:t>(10)</w:t>
            </w:r>
          </w:p>
        </w:tc>
      </w:tr>
      <w:tr>
        <w:trPr>
          <w:trHeight w:val="172"/>
        </w:trPr>
        <w:tc>
          <w:tcPr>
            <w:tcW w:w="3060" w:type="dxa"/>
            <w:vAlign w:val="bottom"/>
          </w:tcPr>
          <w:p>
            <w:pPr>
              <w:ind w:left="120"/>
              <w:spacing w:after="0"/>
              <w:rPr>
                <w:sz w:val="20"/>
                <w:szCs w:val="20"/>
                <w:color w:val="auto"/>
              </w:rPr>
            </w:pPr>
            <w:r>
              <w:rPr>
                <w:rFonts w:ascii="Arial" w:cs="Arial" w:eastAsia="Arial" w:hAnsi="Arial"/>
                <w:sz w:val="14"/>
                <w:szCs w:val="14"/>
                <w:color w:val="auto"/>
              </w:rPr>
              <w:t>Preference unit distributions declared and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4,133</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4,133</w:t>
            </w:r>
          </w:p>
        </w:tc>
      </w:tr>
    </w:tbl>
    <w:p>
      <w:pPr>
        <w:spacing w:after="0" w:line="18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Partnership Performance Results</w:t>
      </w:r>
    </w:p>
    <w:p>
      <w:pPr>
        <w:spacing w:after="0" w:line="246"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financial and operating data below exclude amounts related to vessels currently owned by the Partnership for the periods prior to their respective transfer to GasLog Partners from GasLog, as</w:t>
      </w:r>
    </w:p>
    <w:p>
      <w:pPr>
        <w:spacing w:after="0" w:line="38" w:lineRule="exact"/>
        <w:rPr>
          <w:sz w:val="20"/>
          <w:szCs w:val="20"/>
          <w:color w:val="auto"/>
        </w:rPr>
      </w:pPr>
    </w:p>
    <w:p>
      <w:pPr>
        <w:ind w:left="240"/>
        <w:spacing w:after="0" w:line="288" w:lineRule="auto"/>
        <w:rPr>
          <w:sz w:val="20"/>
          <w:szCs w:val="20"/>
          <w:color w:val="auto"/>
        </w:rPr>
      </w:pPr>
      <w:r>
        <w:rPr>
          <w:rFonts w:ascii="Arial" w:cs="Arial" w:eastAsia="Arial" w:hAnsi="Arial"/>
          <w:sz w:val="12"/>
          <w:szCs w:val="12"/>
          <w:color w:val="auto"/>
        </w:rPr>
        <w:t>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50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95071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7"/>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12"/>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16"/>
          </w:tcPr>
          <w:p>
            <w:pPr>
              <w:jc w:val="center"/>
              <w:ind w:right="160"/>
              <w:spacing w:after="0" w:line="142" w:lineRule="exact"/>
              <w:rPr>
                <w:sz w:val="20"/>
                <w:szCs w:val="20"/>
                <w:color w:val="auto"/>
              </w:rPr>
            </w:pPr>
            <w:r>
              <w:rPr>
                <w:rFonts w:ascii="Arial" w:cs="Arial" w:eastAsia="Arial" w:hAnsi="Arial"/>
                <w:sz w:val="14"/>
                <w:szCs w:val="14"/>
                <w:b w:val="1"/>
                <w:bCs w:val="1"/>
                <w:color w:val="auto"/>
                <w:w w:val="86"/>
              </w:rPr>
              <w:t>(in thousands of U.S. dollars)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37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PARTNERSHIP PERFORMANCE STATEMENT OF</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93"/>
        </w:trPr>
        <w:tc>
          <w:tcPr>
            <w:tcW w:w="370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14"/>
                <w:szCs w:val="14"/>
                <w:b w:val="1"/>
                <w:bCs w:val="1"/>
                <w:color w:val="auto"/>
              </w:rPr>
              <w:t>PROFIT OR LOSS</w:t>
            </w:r>
            <w:r>
              <w:rPr>
                <w:rFonts w:ascii="Arial" w:cs="Arial" w:eastAsia="Arial" w:hAnsi="Arial"/>
                <w:sz w:val="22"/>
                <w:szCs w:val="22"/>
                <w:b w:val="1"/>
                <w:bCs w:val="1"/>
                <w:color w:val="auto"/>
                <w:vertAlign w:val="superscript"/>
              </w:rPr>
              <w:t>(5)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49"/>
        </w:trPr>
        <w:tc>
          <w:tcPr>
            <w:tcW w:w="3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Revenues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65,931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w w:val="90"/>
              </w:rPr>
              <w:t>168,927</w:t>
            </w:r>
          </w:p>
        </w:tc>
        <w:tc>
          <w:tcPr>
            <w:tcW w:w="1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2"/>
              </w:rPr>
              <w:t>206,424</w:t>
            </w:r>
          </w:p>
        </w:tc>
        <w:tc>
          <w:tcPr>
            <w:tcW w:w="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51,452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97"/>
              </w:rPr>
              <w:t>73,277</w:t>
            </w:r>
          </w:p>
        </w:tc>
        <w:tc>
          <w:tcPr>
            <w:tcW w:w="7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$ 150,446</w:t>
            </w:r>
          </w:p>
        </w:tc>
        <w:tc>
          <w:tcPr>
            <w:tcW w:w="14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89"/>
              </w:rPr>
              <w:t>$ 192,852</w:t>
            </w:r>
          </w:p>
        </w:tc>
        <w:tc>
          <w:tcPr>
            <w:tcW w:w="20" w:type="dxa"/>
            <w:vAlign w:val="bottom"/>
          </w:tcPr>
          <w:p>
            <w:pPr>
              <w:spacing w:after="0"/>
              <w:rPr>
                <w:sz w:val="12"/>
                <w:szCs w:val="12"/>
                <w:color w:val="auto"/>
              </w:rPr>
            </w:pPr>
          </w:p>
        </w:tc>
      </w:tr>
      <w:tr>
        <w:trPr>
          <w:trHeight w:val="149"/>
        </w:trPr>
        <w:tc>
          <w:tcPr>
            <w:tcW w:w="37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Vessel operating costs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(12,226)</w:t>
            </w: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5"/>
              </w:rPr>
              <w:t>(33,656)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(43,479)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5"/>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1"/>
              </w:rPr>
              <w:t>(10,822)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(15,046)</w:t>
            </w:r>
          </w:p>
        </w:tc>
        <w:tc>
          <w:tcPr>
            <w:tcW w:w="2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(32,634)</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(39,523)</w:t>
            </w:r>
          </w:p>
        </w:tc>
        <w:tc>
          <w:tcPr>
            <w:tcW w:w="20" w:type="dxa"/>
            <w:vAlign w:val="bottom"/>
            <w:shd w:val="clear" w:color="auto" w:fill="CCEEFF"/>
          </w:tcPr>
          <w:p>
            <w:pPr>
              <w:spacing w:after="0"/>
              <w:rPr>
                <w:sz w:val="12"/>
                <w:szCs w:val="12"/>
                <w:color w:val="auto"/>
              </w:rPr>
            </w:pPr>
          </w:p>
        </w:tc>
      </w:tr>
      <w:tr>
        <w:trPr>
          <w:trHeight w:val="149"/>
        </w:trPr>
        <w:tc>
          <w:tcPr>
            <w:tcW w:w="3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Voyage expenses and commissions</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(817)</w:t>
            </w:r>
          </w:p>
        </w:tc>
        <w:tc>
          <w:tcPr>
            <w:tcW w:w="100" w:type="dxa"/>
            <w:vAlign w:val="bottom"/>
          </w:tcPr>
          <w:p>
            <w:pPr>
              <w:spacing w:after="0"/>
              <w:rPr>
                <w:sz w:val="12"/>
                <w:szCs w:val="12"/>
                <w:color w:val="auto"/>
              </w:rPr>
            </w:pPr>
          </w:p>
        </w:tc>
        <w:tc>
          <w:tcPr>
            <w:tcW w:w="600" w:type="dxa"/>
            <w:vAlign w:val="bottom"/>
            <w:gridSpan w:val="3"/>
          </w:tcPr>
          <w:p>
            <w:pPr>
              <w:jc w:val="right"/>
              <w:ind w:right="12"/>
              <w:spacing w:after="0" w:line="149" w:lineRule="exact"/>
              <w:rPr>
                <w:sz w:val="20"/>
                <w:szCs w:val="20"/>
                <w:color w:val="auto"/>
              </w:rPr>
            </w:pPr>
            <w:r>
              <w:rPr>
                <w:rFonts w:ascii="Arial" w:cs="Arial" w:eastAsia="Arial" w:hAnsi="Arial"/>
                <w:sz w:val="14"/>
                <w:szCs w:val="14"/>
                <w:color w:val="auto"/>
              </w:rPr>
              <w:t>(2,102)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(2,841)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w w:val="85"/>
              </w:rPr>
              <w:t>(644)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(919)</w:t>
            </w:r>
          </w:p>
        </w:tc>
        <w:tc>
          <w:tcPr>
            <w:tcW w:w="220" w:type="dxa"/>
            <w:vAlign w:val="bottom"/>
          </w:tcPr>
          <w:p>
            <w:pPr>
              <w:spacing w:after="0"/>
              <w:rPr>
                <w:sz w:val="12"/>
                <w:szCs w:val="12"/>
                <w:color w:val="auto"/>
              </w:rPr>
            </w:pPr>
          </w:p>
        </w:tc>
        <w:tc>
          <w:tcPr>
            <w:tcW w:w="6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(2,135)</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(2,420)</w:t>
            </w:r>
          </w:p>
        </w:tc>
        <w:tc>
          <w:tcPr>
            <w:tcW w:w="20" w:type="dxa"/>
            <w:vAlign w:val="bottom"/>
          </w:tcPr>
          <w:p>
            <w:pPr>
              <w:spacing w:after="0"/>
              <w:rPr>
                <w:sz w:val="12"/>
                <w:szCs w:val="12"/>
                <w:color w:val="auto"/>
              </w:rPr>
            </w:pPr>
          </w:p>
        </w:tc>
      </w:tr>
      <w:tr>
        <w:trPr>
          <w:trHeight w:val="149"/>
        </w:trPr>
        <w:tc>
          <w:tcPr>
            <w:tcW w:w="37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(13,352)</w:t>
            </w: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5"/>
              </w:rPr>
              <w:t>(35,981)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(45,230)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5"/>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1"/>
              </w:rPr>
              <w:t>(11,116)</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(15,580)</w:t>
            </w:r>
          </w:p>
        </w:tc>
        <w:tc>
          <w:tcPr>
            <w:tcW w:w="2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(33,168)</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(41,408)</w:t>
            </w:r>
          </w:p>
        </w:tc>
        <w:tc>
          <w:tcPr>
            <w:tcW w:w="20" w:type="dxa"/>
            <w:vAlign w:val="bottom"/>
            <w:shd w:val="clear" w:color="auto" w:fill="CCEEFF"/>
          </w:tcPr>
          <w:p>
            <w:pPr>
              <w:spacing w:after="0"/>
              <w:rPr>
                <w:sz w:val="12"/>
                <w:szCs w:val="12"/>
                <w:color w:val="auto"/>
              </w:rPr>
            </w:pPr>
          </w:p>
        </w:tc>
      </w:tr>
      <w:tr>
        <w:trPr>
          <w:trHeight w:val="149"/>
        </w:trPr>
        <w:tc>
          <w:tcPr>
            <w:tcW w:w="3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General and administrative expenses</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(4,591)</w:t>
            </w:r>
          </w:p>
        </w:tc>
        <w:tc>
          <w:tcPr>
            <w:tcW w:w="100" w:type="dxa"/>
            <w:vAlign w:val="bottom"/>
          </w:tcPr>
          <w:p>
            <w:pPr>
              <w:spacing w:after="0"/>
              <w:rPr>
                <w:sz w:val="12"/>
                <w:szCs w:val="12"/>
                <w:color w:val="auto"/>
              </w:rPr>
            </w:pPr>
          </w:p>
        </w:tc>
        <w:tc>
          <w:tcPr>
            <w:tcW w:w="600" w:type="dxa"/>
            <w:vAlign w:val="bottom"/>
            <w:gridSpan w:val="3"/>
          </w:tcPr>
          <w:p>
            <w:pPr>
              <w:jc w:val="right"/>
              <w:ind w:right="12"/>
              <w:spacing w:after="0" w:line="149" w:lineRule="exact"/>
              <w:rPr>
                <w:sz w:val="20"/>
                <w:szCs w:val="20"/>
                <w:color w:val="auto"/>
              </w:rPr>
            </w:pPr>
            <w:r>
              <w:rPr>
                <w:rFonts w:ascii="Arial" w:cs="Arial" w:eastAsia="Arial" w:hAnsi="Arial"/>
                <w:sz w:val="14"/>
                <w:szCs w:val="14"/>
                <w:color w:val="auto"/>
                <w:w w:val="95"/>
              </w:rPr>
              <w:t>(10,383)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88"/>
              </w:rPr>
              <w:t>(11,219)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5"/>
          </w:tcPr>
          <w:p>
            <w:pPr>
              <w:jc w:val="right"/>
              <w:ind w:right="52"/>
              <w:spacing w:after="0" w:line="149" w:lineRule="exact"/>
              <w:rPr>
                <w:sz w:val="20"/>
                <w:szCs w:val="20"/>
                <w:color w:val="auto"/>
              </w:rPr>
            </w:pPr>
            <w:r>
              <w:rPr>
                <w:rFonts w:ascii="Arial" w:cs="Arial" w:eastAsia="Arial" w:hAnsi="Arial"/>
                <w:sz w:val="14"/>
                <w:szCs w:val="14"/>
                <w:color w:val="auto"/>
              </w:rPr>
              <w:t>(2,752)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(3,783)</w:t>
            </w:r>
          </w:p>
        </w:tc>
        <w:tc>
          <w:tcPr>
            <w:tcW w:w="220" w:type="dxa"/>
            <w:vAlign w:val="bottom"/>
          </w:tcPr>
          <w:p>
            <w:pPr>
              <w:spacing w:after="0"/>
              <w:rPr>
                <w:sz w:val="12"/>
                <w:szCs w:val="12"/>
                <w:color w:val="auto"/>
              </w:rPr>
            </w:pPr>
          </w:p>
        </w:tc>
        <w:tc>
          <w:tcPr>
            <w:tcW w:w="6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(8,426)</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(10,134)</w:t>
            </w:r>
          </w:p>
        </w:tc>
        <w:tc>
          <w:tcPr>
            <w:tcW w:w="20" w:type="dxa"/>
            <w:vAlign w:val="bottom"/>
          </w:tcPr>
          <w:p>
            <w:pPr>
              <w:spacing w:after="0"/>
              <w:rPr>
                <w:sz w:val="12"/>
                <w:szCs w:val="12"/>
                <w:color w:val="auto"/>
              </w:rPr>
            </w:pPr>
          </w:p>
        </w:tc>
      </w:tr>
      <w:tr>
        <w:trPr>
          <w:trHeight w:val="20"/>
        </w:trPr>
        <w:tc>
          <w:tcPr>
            <w:tcW w:w="2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37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w w:val="97"/>
              </w:rPr>
              <w:t>34,945</w:t>
            </w: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86,805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82"/>
              </w:rPr>
              <w:t>103,655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26,118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7"/>
              </w:rPr>
              <w:t>37,949</w:t>
            </w: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74,083</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99,367</w:t>
            </w:r>
          </w:p>
        </w:tc>
        <w:tc>
          <w:tcPr>
            <w:tcW w:w="20" w:type="dxa"/>
            <w:vAlign w:val="bottom"/>
            <w:shd w:val="clear" w:color="auto" w:fill="CCEEFF"/>
          </w:tcPr>
          <w:p>
            <w:pPr>
              <w:spacing w:after="0"/>
              <w:rPr>
                <w:sz w:val="12"/>
                <w:szCs w:val="12"/>
                <w:color w:val="auto"/>
              </w:rPr>
            </w:pPr>
          </w:p>
        </w:tc>
      </w:tr>
      <w:tr>
        <w:trPr>
          <w:trHeight w:val="142"/>
        </w:trPr>
        <w:tc>
          <w:tcPr>
            <w:tcW w:w="370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Financial costs</w:t>
            </w: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0"/>
              </w:rPr>
              <w:t>(15,206)</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4"/>
              </w:rPr>
              <w:t>(21,789)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0"/>
              </w:rPr>
              <w:t>(30,187)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w w:val="99"/>
              </w:rPr>
              <w:t>(7,333)</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(12,289)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4"/>
              </w:rPr>
              <w:t>(21,766)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(31,359)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7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Financial income</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311</w:t>
            </w: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656</w:t>
            </w:r>
          </w:p>
        </w:tc>
        <w:tc>
          <w:tcPr>
            <w:tcW w:w="20" w:type="dxa"/>
            <w:vAlign w:val="bottom"/>
            <w:shd w:val="clear" w:color="auto" w:fill="CCEEFF"/>
          </w:tcPr>
          <w:p>
            <w:pPr>
              <w:spacing w:after="0"/>
              <w:rPr>
                <w:sz w:val="12"/>
                <w:szCs w:val="12"/>
                <w:color w:val="auto"/>
              </w:rPr>
            </w:pPr>
          </w:p>
        </w:tc>
      </w:tr>
      <w:tr>
        <w:trPr>
          <w:trHeight w:val="149"/>
        </w:trPr>
        <w:tc>
          <w:tcPr>
            <w:tcW w:w="3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(Loss)/gain on interest rate swaps</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3,623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(672)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(2,985)</w:t>
            </w:r>
          </w:p>
        </w:tc>
        <w:tc>
          <w:tcPr>
            <w:tcW w:w="20" w:type="dxa"/>
            <w:vAlign w:val="bottom"/>
          </w:tcPr>
          <w:p>
            <w:pPr>
              <w:spacing w:after="0"/>
              <w:rPr>
                <w:sz w:val="12"/>
                <w:szCs w:val="12"/>
                <w:color w:val="auto"/>
              </w:rPr>
            </w:pPr>
          </w:p>
        </w:tc>
      </w:tr>
      <w:tr>
        <w:trPr>
          <w:trHeight w:val="20"/>
        </w:trPr>
        <w:tc>
          <w:tcPr>
            <w:tcW w:w="2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37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88"/>
              </w:rPr>
              <w:t>(20,401)</w:t>
            </w: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(21,765)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88"/>
              </w:rPr>
              <w:t>(26,385)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5"/>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(7,249)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(12,650)</w:t>
            </w:r>
          </w:p>
        </w:tc>
        <w:tc>
          <w:tcPr>
            <w:tcW w:w="2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4"/>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(21,640)</w:t>
            </w:r>
          </w:p>
        </w:tc>
        <w:tc>
          <w:tcPr>
            <w:tcW w:w="70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(33,688)</w:t>
            </w:r>
          </w:p>
        </w:tc>
        <w:tc>
          <w:tcPr>
            <w:tcW w:w="20" w:type="dxa"/>
            <w:vAlign w:val="bottom"/>
            <w:shd w:val="clear" w:color="auto" w:fill="CCEEFF"/>
          </w:tcPr>
          <w:p>
            <w:pPr>
              <w:spacing w:after="0"/>
              <w:rPr>
                <w:sz w:val="12"/>
                <w:szCs w:val="12"/>
                <w:color w:val="auto"/>
              </w:rPr>
            </w:pPr>
          </w:p>
        </w:tc>
      </w:tr>
      <w:tr>
        <w:trPr>
          <w:trHeight w:val="142"/>
        </w:trPr>
        <w:tc>
          <w:tcPr>
            <w:tcW w:w="37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Partnership's profit</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14,544</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65,040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77,270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18,869</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25,299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52,443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65,679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5"/>
        </w:trPr>
        <w:tc>
          <w:tcPr>
            <w:tcW w:w="2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7"/>
          </w:tcPr>
          <w:p>
            <w:pPr>
              <w:jc w:val="center"/>
              <w:ind w:right="92"/>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24"/>
                <w:szCs w:val="24"/>
                <w:color w:val="auto"/>
              </w:rPr>
            </w:pPr>
          </w:p>
        </w:tc>
        <w:tc>
          <w:tcPr>
            <w:tcW w:w="12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2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6"/>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2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9"/>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7"/>
          </w:tcPr>
          <w:p>
            <w:pPr>
              <w:jc w:val="center"/>
              <w:ind w:right="92"/>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2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7"/>
              </w:rPr>
              <w:t>September 30,</w:t>
            </w:r>
          </w:p>
        </w:tc>
      </w:tr>
      <w:tr>
        <w:trPr>
          <w:trHeight w:val="142"/>
        </w:trPr>
        <w:tc>
          <w:tcPr>
            <w:tcW w:w="2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4"/>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7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PARTNERSHIP PERFORMANCE FLEET DATA*:</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Number of LNG carriers at end of period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62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7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Average number of LNG carriers during period</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8.2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w:t>
            </w:r>
          </w:p>
        </w:tc>
        <w:tc>
          <w:tcPr>
            <w:tcW w:w="70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62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w:t>
            </w:r>
          </w:p>
        </w:tc>
        <w:tc>
          <w:tcPr>
            <w:tcW w:w="5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9.9</w:t>
            </w: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Average age of LNG carriers (years)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2"/>
              </w:rPr>
              <w:t>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1"/>
              </w:rPr>
              <w:t>6.7</w:t>
            </w:r>
          </w:p>
        </w:tc>
        <w:tc>
          <w:tcPr>
            <w:tcW w:w="62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7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calendar days of fleet for the period</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885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2,377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2,989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736</w:t>
            </w:r>
          </w:p>
        </w:tc>
        <w:tc>
          <w:tcPr>
            <w:tcW w:w="70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1,010</w:t>
            </w:r>
          </w:p>
        </w:tc>
        <w:tc>
          <w:tcPr>
            <w:tcW w:w="62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2,192</w:t>
            </w:r>
          </w:p>
        </w:tc>
        <w:tc>
          <w:tcPr>
            <w:tcW w:w="5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2,698</w:t>
            </w: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84"/>
        </w:trPr>
        <w:tc>
          <w:tcPr>
            <w:tcW w:w="3700" w:type="dxa"/>
            <w:vAlign w:val="bottom"/>
            <w:gridSpan w:val="2"/>
          </w:tcPr>
          <w:p>
            <w:pPr>
              <w:ind w:left="120"/>
              <w:spacing w:after="0"/>
              <w:rPr>
                <w:sz w:val="20"/>
                <w:szCs w:val="20"/>
                <w:color w:val="auto"/>
              </w:rPr>
            </w:pPr>
            <w:r>
              <w:rPr>
                <w:rFonts w:ascii="Arial" w:cs="Arial" w:eastAsia="Arial" w:hAnsi="Arial"/>
                <w:sz w:val="14"/>
                <w:szCs w:val="14"/>
                <w:color w:val="auto"/>
              </w:rPr>
              <w:t>Total operating days of fleet for the period</w:t>
            </w:r>
            <w:r>
              <w:rPr>
                <w:rFonts w:ascii="Arial" w:cs="Arial" w:eastAsia="Arial" w:hAnsi="Arial"/>
                <w:sz w:val="22"/>
                <w:szCs w:val="22"/>
                <w:color w:val="auto"/>
                <w:vertAlign w:val="superscript"/>
              </w:rPr>
              <w:t>(4)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885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2,377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4"/>
                <w:szCs w:val="14"/>
                <w:color w:val="auto"/>
                <w:w w:val="96"/>
              </w:rPr>
              <w:t>2,944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w w:val="94"/>
              </w:rPr>
              <w:t>736</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1,010</w:t>
            </w:r>
          </w:p>
        </w:tc>
        <w:tc>
          <w:tcPr>
            <w:tcW w:w="620" w:type="dxa"/>
            <w:vAlign w:val="bottom"/>
            <w:gridSpan w:val="4"/>
          </w:tcPr>
          <w:p>
            <w:pPr>
              <w:jc w:val="right"/>
              <w:ind w:right="140"/>
              <w:spacing w:after="0"/>
              <w:rPr>
                <w:sz w:val="20"/>
                <w:szCs w:val="20"/>
                <w:color w:val="auto"/>
              </w:rPr>
            </w:pPr>
            <w:r>
              <w:rPr>
                <w:rFonts w:ascii="Arial" w:cs="Arial" w:eastAsia="Arial" w:hAnsi="Arial"/>
                <w:sz w:val="14"/>
                <w:szCs w:val="14"/>
                <w:color w:val="auto"/>
              </w:rPr>
              <w:t>2,147</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2,698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Partnership Performance Fleet Data above is calculated consistent with our Partnership Performance Results.</w:t>
      </w:r>
    </w:p>
    <w:p>
      <w:pPr>
        <w:spacing w:after="0" w:line="18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1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15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r>
      <w:tr>
        <w:trPr>
          <w:trHeight w:val="142"/>
        </w:trPr>
        <w:tc>
          <w:tcPr>
            <w:tcW w:w="1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00" w:type="dxa"/>
            <w:vAlign w:val="bottom"/>
            <w:gridSpan w:val="6"/>
          </w:tcPr>
          <w:p>
            <w:pPr>
              <w:ind w:left="220"/>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36"/>
        </w:trPr>
        <w:tc>
          <w:tcPr>
            <w:tcW w:w="33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OTHER PARTNERSHIP PERFORMANCE</w:t>
            </w: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1"/>
        </w:trPr>
        <w:tc>
          <w:tcPr>
            <w:tcW w:w="33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FINANCIAL DATA:</w:t>
            </w: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6"/>
        </w:trPr>
        <w:tc>
          <w:tcPr>
            <w:tcW w:w="3360" w:type="dxa"/>
            <w:vAlign w:val="bottom"/>
            <w:gridSpan w:val="2"/>
          </w:tcPr>
          <w:p>
            <w:pPr>
              <w:spacing w:after="0" w:line="176" w:lineRule="exact"/>
              <w:rPr>
                <w:sz w:val="20"/>
                <w:szCs w:val="20"/>
                <w:color w:val="auto"/>
              </w:rPr>
            </w:pPr>
            <w:r>
              <w:rPr>
                <w:rFonts w:ascii="Arial" w:cs="Arial" w:eastAsia="Arial" w:hAnsi="Arial"/>
                <w:sz w:val="13"/>
                <w:szCs w:val="13"/>
                <w:color w:val="auto"/>
              </w:rPr>
              <w:t>EBITDA</w:t>
            </w:r>
            <w:r>
              <w:rPr>
                <w:rFonts w:ascii="Arial" w:cs="Arial" w:eastAsia="Arial" w:hAnsi="Arial"/>
                <w:sz w:val="20"/>
                <w:szCs w:val="20"/>
                <w:color w:val="auto"/>
                <w:vertAlign w:val="superscript"/>
              </w:rPr>
              <w:t>(5)</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$ 48,297</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w w:val="86"/>
              </w:rPr>
              <w:t>$ 122,786</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$ 148,885</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88"/>
              </w:rPr>
              <w:t>$ 37,234</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88"/>
              </w:rPr>
              <w:t>$ 53,529</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w w:val="86"/>
              </w:rPr>
              <w:t>$ 107,251</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$ 140,775</w:t>
            </w:r>
          </w:p>
        </w:tc>
      </w:tr>
      <w:tr>
        <w:trPr>
          <w:trHeight w:val="176"/>
        </w:trPr>
        <w:tc>
          <w:tcPr>
            <w:tcW w:w="33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Distributable cash flow</w:t>
            </w:r>
            <w:r>
              <w:rPr>
                <w:rFonts w:ascii="Arial" w:cs="Arial" w:eastAsia="Arial" w:hAnsi="Arial"/>
                <w:sz w:val="20"/>
                <w:szCs w:val="20"/>
                <w:color w:val="auto"/>
                <w:vertAlign w:val="superscript"/>
              </w:rPr>
              <w:t>(5)</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27,259</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72,254</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83,660</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21,413</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26,867</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60,118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73,617</w:t>
            </w: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Cash distributions declared and paid</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1"/>
                <w:szCs w:val="11"/>
                <w:color w:val="auto"/>
              </w:rPr>
              <w:t>13,369</w:t>
            </w:r>
            <w:r>
              <w:rPr>
                <w:rFonts w:ascii="Arial" w:cs="Arial" w:eastAsia="Arial" w:hAnsi="Arial"/>
                <w:sz w:val="17"/>
                <w:szCs w:val="17"/>
                <w:color w:val="auto"/>
                <w:vertAlign w:val="superscript"/>
              </w:rPr>
              <w:t>(11)</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51,192</w:t>
            </w:r>
            <w:r>
              <w:rPr>
                <w:rFonts w:ascii="Arial" w:cs="Arial" w:eastAsia="Arial" w:hAnsi="Arial"/>
                <w:sz w:val="17"/>
                <w:szCs w:val="17"/>
                <w:color w:val="auto"/>
                <w:vertAlign w:val="superscript"/>
              </w:rPr>
              <w:t>(12)</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1"/>
                <w:szCs w:val="11"/>
                <w:color w:val="auto"/>
              </w:rPr>
              <w:t>65,577</w:t>
            </w:r>
            <w:r>
              <w:rPr>
                <w:rFonts w:ascii="Arial" w:cs="Arial" w:eastAsia="Arial" w:hAnsi="Arial"/>
                <w:sz w:val="17"/>
                <w:szCs w:val="17"/>
                <w:color w:val="auto"/>
                <w:vertAlign w:val="superscript"/>
              </w:rPr>
              <w:t>(13)</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17,077</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21,001</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48,500</w:t>
            </w:r>
            <w:r>
              <w:rPr>
                <w:rFonts w:ascii="Arial" w:cs="Arial" w:eastAsia="Arial" w:hAnsi="Arial"/>
                <w:sz w:val="17"/>
                <w:szCs w:val="17"/>
                <w:color w:val="auto"/>
                <w:vertAlign w:val="superscript"/>
              </w:rPr>
              <w:t>(14)</w:t>
            </w:r>
          </w:p>
        </w:tc>
        <w:tc>
          <w:tcPr>
            <w:tcW w:w="76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60,671</w:t>
            </w:r>
            <w:r>
              <w:rPr>
                <w:rFonts w:ascii="Arial" w:cs="Arial" w:eastAsia="Arial" w:hAnsi="Arial"/>
                <w:sz w:val="17"/>
                <w:szCs w:val="17"/>
                <w:color w:val="auto"/>
                <w:vertAlign w:val="superscript"/>
              </w:rPr>
              <w:t>(10)</w:t>
            </w: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Preference unit distributions declared and paid</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4,133</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4,133</w:t>
            </w:r>
          </w:p>
        </w:tc>
      </w:tr>
      <w:tr>
        <w:trPr>
          <w:trHeight w:val="108"/>
        </w:trPr>
        <w:tc>
          <w:tcPr>
            <w:tcW w:w="194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192" w:lineRule="exact"/>
        <w:rPr>
          <w:sz w:val="20"/>
          <w:szCs w:val="20"/>
          <w:color w:val="auto"/>
        </w:rPr>
      </w:pPr>
    </w:p>
    <w:p>
      <w:pPr>
        <w:ind w:left="1880" w:right="180" w:hanging="544"/>
        <w:spacing w:after="0" w:line="239" w:lineRule="auto"/>
        <w:tabs>
          <w:tab w:leader="none" w:pos="18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GAS-seven Ltd., GAS-eleven Ltd. and GAS-thirteen Ltd. acquired on November 1, 2016, May 3, 2017 and July 3, 2017, respectively, from GasLog.</w:t>
      </w:r>
    </w:p>
    <w:p>
      <w:pPr>
        <w:spacing w:after="0" w:line="111" w:lineRule="exact"/>
        <w:rPr>
          <w:rFonts w:ascii="Arial" w:cs="Arial" w:eastAsia="Arial" w:hAnsi="Arial"/>
          <w:sz w:val="11"/>
          <w:szCs w:val="11"/>
          <w:color w:val="auto"/>
        </w:rPr>
      </w:pPr>
    </w:p>
    <w:p>
      <w:pPr>
        <w:ind w:left="1880" w:hanging="544"/>
        <w:spacing w:after="0" w:line="262" w:lineRule="auto"/>
        <w:tabs>
          <w:tab w:leader="none" w:pos="1880" w:val="left"/>
        </w:tabs>
        <w:numPr>
          <w:ilvl w:val="0"/>
          <w:numId w:val="11"/>
        </w:numPr>
        <w:rPr>
          <w:rFonts w:ascii="Arial" w:cs="Arial" w:eastAsia="Arial" w:hAnsi="Arial"/>
          <w:sz w:val="10"/>
          <w:szCs w:val="10"/>
          <w:color w:val="auto"/>
        </w:rPr>
      </w:pPr>
      <w:r>
        <w:rPr>
          <w:rFonts w:ascii="Arial" w:cs="Arial" w:eastAsia="Arial" w:hAnsi="Arial"/>
          <w:sz w:val="12"/>
          <w:szCs w:val="12"/>
          <w:color w:val="auto"/>
        </w:rPr>
        <w:t>On May 12, 2014, the Partnership completed its IPO and issued 9,822,358 common units, 9,822,358 subordinated units and 400,913 general partner units. On September 29, 2014, the Partnership completed an equity offering of 4,500,000 common units. In connection with the offering, the Partnership issued 91,837 general partner units to its general partner in order for GasLog to retain its 2.0% general partner interest. On June 26, 2015, the Partnership completed an equity offering of 7,500,000 common units. In connection with the offering, the Partnership issued 153,061 general partner units to its general partner in order for GasLog to retain its 2.0% general partner interest. On August 5, 2016, the Partnership completed an equity offering of 2,750,000 common units. In connection with the offering, the Partnership issued 56,122 general partner units to its general partner in order for GasLog to retain its 2.0% general partner interest. On January 27, 2017, the Partnership completed an equity offering of 3,750,000 common units. In addition, the option to purchase additional shares was partially exercised by the underwriter on February 24, 2017, resulting in 120,000 additional units being sold at the same price. In connection with the offering, the Partnership issued 78,980 general partner units to its general partner in order for GasLog to retain its 2.0% general partner interest. Earnings per unit is presented for the periods in which the units were outstanding. On May 15, 2017, the Partnership completed an equity offering of 5,750,000 Series A Preference Units. On May 16, 2017 the subordination period expired, and the subordinated units held by GasLog converted on a one-for-one basis into common units, which participate pro rata with other common units in distributions for available cash. Also, on May 16, 2017, GasLog Partners entered into an Equity Distribution Agreement (the "Equity Distribution Agreement") under which the Partnership may, from time to time, raise equity through the issuance and sale of new common units (the "ATM Programme") having an aggregate offering price of up to $100.0 million. Since the commencement of the ATM Programme through September 30, 2017, GasLog Partners issued and received payment for a total of 2,351,885 common units. In connection with the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592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592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880"/>
        <w:spacing w:after="0" w:line="233" w:lineRule="auto"/>
        <w:rPr>
          <w:sz w:val="20"/>
          <w:szCs w:val="20"/>
          <w:color w:val="auto"/>
        </w:rPr>
      </w:pPr>
      <w:r>
        <w:rPr>
          <w:rFonts w:ascii="Arial" w:cs="Arial" w:eastAsia="Arial" w:hAnsi="Arial"/>
          <w:sz w:val="14"/>
          <w:szCs w:val="14"/>
          <w:color w:val="auto"/>
        </w:rPr>
        <w:t>issuance of common units under the ATM Programme during that period, the Partnership also issued 47,998 general partner units to its general partner in order for GasLog to retain its 2.0% general partner interest. On November 3, 2017, the Partnership entered into the Amended and Restated Equity Distribution Agreement to increase the size of the ATM Programme from $100.0 million to $144.04 million.</w:t>
      </w:r>
    </w:p>
    <w:p>
      <w:pPr>
        <w:spacing w:after="0" w:line="179" w:lineRule="exact"/>
        <w:rPr>
          <w:sz w:val="20"/>
          <w:szCs w:val="20"/>
          <w:color w:val="auto"/>
        </w:rPr>
      </w:pPr>
    </w:p>
    <w:p>
      <w:pPr>
        <w:ind w:left="1880" w:right="40" w:hanging="544"/>
        <w:spacing w:after="0" w:line="228" w:lineRule="auto"/>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Upon the expiration of the subordination period, which occurred on May 16, 2017, all of the subordinated units held by GasLog converted on a one-for-one basis into common units which participate pro rata with other common units in distributions of available cash. Consequently, earnings have been allocated to subordinated units and the weighted average number of subordinated units has been calculated only for the applicable period in 2017 during which they were entitled to distributions based on the Partnership Agreement, i.e. for the three months ended March 31, 2017. For further discussion, see "Item 8. Financial Information-Our Cash Distribution Policy-Subordination Period" in our Annual Report on Form 20-F.</w:t>
      </w:r>
    </w:p>
    <w:p>
      <w:pPr>
        <w:spacing w:after="0" w:line="113" w:lineRule="exact"/>
        <w:rPr>
          <w:rFonts w:ascii="Arial" w:cs="Arial" w:eastAsia="Arial" w:hAnsi="Arial"/>
          <w:sz w:val="11"/>
          <w:szCs w:val="11"/>
          <w:color w:val="auto"/>
        </w:rPr>
      </w:pPr>
    </w:p>
    <w:p>
      <w:pPr>
        <w:ind w:left="1880" w:right="80" w:hanging="544"/>
        <w:spacing w:after="0" w:line="228" w:lineRule="auto"/>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The operating days for our fleet are the total number of days in a given period that the vessels were in our possession less the total number of days off-hire not recoverable from the insurers.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111" w:lineRule="exact"/>
        <w:rPr>
          <w:rFonts w:ascii="Arial" w:cs="Arial" w:eastAsia="Arial" w:hAnsi="Arial"/>
          <w:sz w:val="11"/>
          <w:szCs w:val="11"/>
          <w:color w:val="auto"/>
        </w:rPr>
      </w:pPr>
    </w:p>
    <w:p>
      <w:pPr>
        <w:ind w:left="1880" w:hanging="544"/>
        <w:spacing w:after="0"/>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b w:val="1"/>
          <w:bCs w:val="1"/>
          <w:color w:val="auto"/>
        </w:rPr>
        <w:t>Non-GAAP Financial Measures</w:t>
      </w:r>
    </w:p>
    <w:p>
      <w:pPr>
        <w:spacing w:after="0" w:line="205" w:lineRule="exact"/>
        <w:rPr>
          <w:rFonts w:ascii="Arial" w:cs="Arial" w:eastAsia="Arial" w:hAnsi="Arial"/>
          <w:sz w:val="11"/>
          <w:szCs w:val="11"/>
          <w:color w:val="auto"/>
        </w:rPr>
      </w:pPr>
    </w:p>
    <w:p>
      <w:pPr>
        <w:ind w:left="1880" w:right="380"/>
        <w:spacing w:after="0" w:line="239" w:lineRule="auto"/>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Partnership Performance Results. </w:t>
      </w:r>
      <w:r>
        <w:rPr>
          <w:rFonts w:ascii="Arial" w:cs="Arial" w:eastAsia="Arial" w:hAnsi="Arial"/>
          <w:sz w:val="14"/>
          <w:szCs w:val="14"/>
          <w:color w:val="auto"/>
        </w:rPr>
        <w:t>As described above, our IFRS Common Control Reported Results are derived from the consolidated financial statements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Partnership.</w:t>
      </w:r>
    </w:p>
    <w:p>
      <w:pPr>
        <w:spacing w:after="0" w:line="192" w:lineRule="exact"/>
        <w:rPr>
          <w:rFonts w:ascii="Arial" w:cs="Arial" w:eastAsia="Arial" w:hAnsi="Arial"/>
          <w:sz w:val="11"/>
          <w:szCs w:val="11"/>
          <w:color w:val="auto"/>
        </w:rPr>
      </w:pPr>
    </w:p>
    <w:p>
      <w:pPr>
        <w:ind w:left="1880" w:right="240"/>
        <w:spacing w:after="0" w:line="262" w:lineRule="auto"/>
        <w:rPr>
          <w:rFonts w:ascii="Arial" w:cs="Arial" w:eastAsia="Arial" w:hAnsi="Arial"/>
          <w:sz w:val="11"/>
          <w:szCs w:val="11"/>
          <w:color w:val="auto"/>
        </w:rPr>
      </w:pPr>
      <w:r>
        <w:rPr>
          <w:rFonts w:ascii="Arial" w:cs="Arial" w:eastAsia="Arial" w:hAnsi="Arial"/>
          <w:sz w:val="12"/>
          <w:szCs w:val="12"/>
          <w:color w:val="auto"/>
        </w:rPr>
        <w:t xml:space="preserve">Our Partnership Performance Results presented below are non-GAAP measures and exclude amounts related to GAS-three Ltd., GAS-four Ltd. and GAS-five Ltd. (the owners of the </w:t>
      </w:r>
      <w:r>
        <w:rPr>
          <w:rFonts w:ascii="Arial" w:cs="Arial" w:eastAsia="Arial" w:hAnsi="Arial"/>
          <w:sz w:val="12"/>
          <w:szCs w:val="12"/>
          <w:i w:val="1"/>
          <w:iCs w:val="1"/>
          <w:color w:val="auto"/>
        </w:rPr>
        <w:t>GasLog Shanghai</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Santiago</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Sydney</w:t>
      </w:r>
      <w:r>
        <w:rPr>
          <w:rFonts w:ascii="Arial" w:cs="Arial" w:eastAsia="Arial" w:hAnsi="Arial"/>
          <w:sz w:val="12"/>
          <w:szCs w:val="12"/>
          <w:color w:val="auto"/>
        </w:rPr>
        <w:t xml:space="preserve">, respectively) for the period prior to the closing of the IPO, GAS-sixteen Ltd. and GAS-seventeen Ltd. (the owners of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respectively) for the period prior to their transfer to the Partnership on September 29, 2014, the amounts related to GAS-nineteen Ltd., GAS-twenty Ltd. and GAS-twenty one Ltd. (the owners of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Shirley Elisabeth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Heather Sally</w:t>
      </w:r>
      <w:r>
        <w:rPr>
          <w:rFonts w:ascii="Arial" w:cs="Arial" w:eastAsia="Arial" w:hAnsi="Arial"/>
          <w:sz w:val="12"/>
          <w:szCs w:val="12"/>
          <w:color w:val="auto"/>
        </w:rPr>
        <w:t>, respectively) for the period prior to their transfer to the Partnership on July 1, 2015, the amounts related to GAS-</w:t>
      </w:r>
    </w:p>
    <w:p>
      <w:pPr>
        <w:spacing w:after="0" w:line="1" w:lineRule="exact"/>
        <w:rPr>
          <w:rFonts w:ascii="Arial" w:cs="Arial" w:eastAsia="Arial" w:hAnsi="Arial"/>
          <w:sz w:val="11"/>
          <w:szCs w:val="11"/>
          <w:color w:val="auto"/>
        </w:rPr>
      </w:pPr>
    </w:p>
    <w:p>
      <w:pPr>
        <w:ind w:left="1880"/>
        <w:spacing w:after="0" w:line="263" w:lineRule="auto"/>
        <w:rPr>
          <w:rFonts w:ascii="Arial" w:cs="Arial" w:eastAsia="Arial" w:hAnsi="Arial"/>
          <w:sz w:val="11"/>
          <w:szCs w:val="11"/>
          <w:color w:val="auto"/>
        </w:rPr>
      </w:pPr>
      <w:r>
        <w:rPr>
          <w:rFonts w:ascii="Arial" w:cs="Arial" w:eastAsia="Arial" w:hAnsi="Arial"/>
          <w:sz w:val="12"/>
          <w:szCs w:val="12"/>
          <w:color w:val="auto"/>
        </w:rPr>
        <w:t xml:space="preserve">seven Ltd. (the owner of the </w:t>
      </w:r>
      <w:r>
        <w:rPr>
          <w:rFonts w:ascii="Arial" w:cs="Arial" w:eastAsia="Arial" w:hAnsi="Arial"/>
          <w:sz w:val="12"/>
          <w:szCs w:val="12"/>
          <w:i w:val="1"/>
          <w:iCs w:val="1"/>
          <w:color w:val="auto"/>
        </w:rPr>
        <w:t>GasLog Seattle</w:t>
      </w:r>
      <w:r>
        <w:rPr>
          <w:rFonts w:ascii="Arial" w:cs="Arial" w:eastAsia="Arial" w:hAnsi="Arial"/>
          <w:sz w:val="12"/>
          <w:szCs w:val="12"/>
          <w:color w:val="auto"/>
        </w:rPr>
        <w:t xml:space="preserve">) for the period prior to its transfer to the Partnership on November 1, 2016, the amounts related to GAS-eleven Ltd. (the owner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for the period prior to its transfer to the Partnership on May 3, 2017 and the amounts related to GAS-thirteen Ltd. (the owner of the </w:t>
      </w:r>
      <w:r>
        <w:rPr>
          <w:rFonts w:ascii="Arial" w:cs="Arial" w:eastAsia="Arial" w:hAnsi="Arial"/>
          <w:sz w:val="12"/>
          <w:szCs w:val="12"/>
          <w:i w:val="1"/>
          <w:iCs w:val="1"/>
          <w:color w:val="auto"/>
        </w:rPr>
        <w:t>GasLog</w:t>
      </w:r>
      <w:r>
        <w:rPr>
          <w:rFonts w:ascii="Arial" w:cs="Arial" w:eastAsia="Arial" w:hAnsi="Arial"/>
          <w:sz w:val="12"/>
          <w:szCs w:val="12"/>
          <w:color w:val="auto"/>
        </w:rPr>
        <w:t xml:space="preserve"> </w:t>
      </w:r>
      <w:r>
        <w:rPr>
          <w:rFonts w:ascii="Arial" w:cs="Arial" w:eastAsia="Arial" w:hAnsi="Arial"/>
          <w:sz w:val="12"/>
          <w:szCs w:val="12"/>
          <w:i w:val="1"/>
          <w:iCs w:val="1"/>
          <w:color w:val="auto"/>
        </w:rPr>
        <w:t>Geneva</w:t>
      </w:r>
      <w:r>
        <w:rPr>
          <w:rFonts w:ascii="Arial" w:cs="Arial" w:eastAsia="Arial" w:hAnsi="Arial"/>
          <w:sz w:val="12"/>
          <w:szCs w:val="12"/>
          <w:color w:val="auto"/>
        </w:rPr>
        <w:t>) for the period prior to its transfer to the Partnership on July 3, 2017. While such amounts are reflected in the Partnership's reported financial statements because</w:t>
      </w:r>
      <w:r>
        <w:rPr>
          <w:rFonts w:ascii="Arial" w:cs="Arial" w:eastAsia="Arial" w:hAnsi="Arial"/>
          <w:sz w:val="12"/>
          <w:szCs w:val="12"/>
          <w:i w:val="1"/>
          <w:iCs w:val="1"/>
          <w:color w:val="auto"/>
        </w:rPr>
        <w:t xml:space="preserve"> </w:t>
      </w:r>
      <w:r>
        <w:rPr>
          <w:rFonts w:ascii="Arial" w:cs="Arial" w:eastAsia="Arial" w:hAnsi="Arial"/>
          <w:sz w:val="12"/>
          <w:szCs w:val="12"/>
          <w:color w:val="auto"/>
        </w:rPr>
        <w:t>the transfers to the Partnership were accounted for as a reorganization of entities under common control under IFRS, (i) GAS-three Ltd., GAS-four Ltd. and GAS-five Ltd. were not owned by the Partnership prior to the closing of the IPO, (ii) GAS-sixteen Ltd. and GAS-seventeen Ltd. were not owned by the Partnership prior to their transfer to the Partnership in September 2014, (iii) GAS-nineteen Ltd., GAS-twenty Ltd. and GAS-twenty one Ltd. were not owned by the Partnership prior to their transfer to the Partnership in July 2015, (iv) GAS-seven Ltd. was not owned by the Partnership prior to its transfer to the Partnership in November 2016, (v) GAS-eleven Ltd. was not owned by the Partnership prior to its transfer to the Partnership in May 2017 and (vi) GAS-thirteen Ltd. was not owned by the Partnership prior to its transfer to the Partnership in July 2017, and accordingly the Partnership was not entitled to the cash or results generated in the period prior to such transfers.</w:t>
      </w:r>
    </w:p>
    <w:p>
      <w:pPr>
        <w:spacing w:after="0" w:line="180" w:lineRule="exact"/>
        <w:rPr>
          <w:rFonts w:ascii="Arial" w:cs="Arial" w:eastAsia="Arial" w:hAnsi="Arial"/>
          <w:sz w:val="11"/>
          <w:szCs w:val="11"/>
          <w:color w:val="auto"/>
        </w:rPr>
      </w:pPr>
    </w:p>
    <w:p>
      <w:pPr>
        <w:ind w:left="1880" w:right="100"/>
        <w:spacing w:after="0" w:line="273" w:lineRule="auto"/>
        <w:rPr>
          <w:rFonts w:ascii="Arial" w:cs="Arial" w:eastAsia="Arial" w:hAnsi="Arial"/>
          <w:sz w:val="11"/>
          <w:szCs w:val="11"/>
          <w:color w:val="auto"/>
        </w:rPr>
      </w:pPr>
      <w:r>
        <w:rPr>
          <w:rFonts w:ascii="Arial" w:cs="Arial" w:eastAsia="Arial" w:hAnsi="Arial"/>
          <w:sz w:val="12"/>
          <w:szCs w:val="12"/>
          <w:color w:val="auto"/>
        </w:rPr>
        <w:t>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989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5989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Reconciliation of Partnership Performance Results to IFRS Common Control Reported Results in our Financial Statements:</w:t>
      </w:r>
    </w:p>
    <w:p>
      <w:pPr>
        <w:spacing w:after="0" w:line="20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gridSpan w:val="9"/>
          </w:tcPr>
          <w:p>
            <w:pPr>
              <w:jc w:val="center"/>
              <w:ind w:right="332"/>
              <w:spacing w:after="0"/>
              <w:rPr>
                <w:sz w:val="20"/>
                <w:szCs w:val="20"/>
                <w:color w:val="auto"/>
              </w:rPr>
            </w:pPr>
            <w:r>
              <w:rPr>
                <w:rFonts w:ascii="Arial" w:cs="Arial" w:eastAsia="Arial" w:hAnsi="Arial"/>
                <w:sz w:val="14"/>
                <w:szCs w:val="14"/>
                <w:b w:val="1"/>
                <w:bCs w:val="1"/>
                <w:color w:val="auto"/>
                <w:w w:val="86"/>
              </w:rPr>
              <w:t>Year Ended December 31, 2014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0" w:type="dxa"/>
            <w:vAlign w:val="bottom"/>
            <w:gridSpan w:val="12"/>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 2015</w:t>
            </w:r>
          </w:p>
        </w:tc>
        <w:tc>
          <w:tcPr>
            <w:tcW w:w="300" w:type="dxa"/>
            <w:vAlign w:val="bottom"/>
          </w:tcPr>
          <w:p>
            <w:pPr>
              <w:spacing w:after="0"/>
              <w:rPr>
                <w:sz w:val="14"/>
                <w:szCs w:val="14"/>
                <w:color w:val="auto"/>
              </w:rPr>
            </w:pPr>
          </w:p>
        </w:tc>
        <w:tc>
          <w:tcPr>
            <w:tcW w:w="2280" w:type="dxa"/>
            <w:vAlign w:val="bottom"/>
            <w:gridSpan w:val="13"/>
          </w:tcPr>
          <w:p>
            <w:pPr>
              <w:jc w:val="center"/>
              <w:ind w:right="480"/>
              <w:spacing w:after="0"/>
              <w:rPr>
                <w:sz w:val="20"/>
                <w:szCs w:val="20"/>
                <w:color w:val="auto"/>
              </w:rPr>
            </w:pPr>
            <w:r>
              <w:rPr>
                <w:rFonts w:ascii="Arial" w:cs="Arial" w:eastAsia="Arial" w:hAnsi="Arial"/>
                <w:sz w:val="14"/>
                <w:szCs w:val="14"/>
                <w:b w:val="1"/>
                <w:bCs w:val="1"/>
                <w:color w:val="auto"/>
                <w:w w:val="86"/>
              </w:rPr>
              <w:t>Year Ended December 31, 2016</w:t>
            </w:r>
          </w:p>
        </w:tc>
      </w:tr>
      <w:tr>
        <w:trPr>
          <w:trHeight w:val="129"/>
        </w:trPr>
        <w:tc>
          <w:tcPr>
            <w:tcW w:w="1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33"/>
              <w:spacing w:after="0" w:line="129" w:lineRule="exact"/>
              <w:rPr>
                <w:sz w:val="20"/>
                <w:szCs w:val="20"/>
                <w:color w:val="auto"/>
              </w:rPr>
            </w:pPr>
            <w:r>
              <w:rPr>
                <w:rFonts w:ascii="Arial" w:cs="Arial" w:eastAsia="Arial" w:hAnsi="Arial"/>
                <w:sz w:val="14"/>
                <w:szCs w:val="14"/>
                <w:b w:val="1"/>
                <w:bCs w:val="1"/>
                <w:color w:val="auto"/>
                <w:w w:val="93"/>
              </w:rPr>
              <w:t>IFRS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jc w:val="center"/>
              <w:ind w:right="12"/>
              <w:spacing w:after="0" w:line="129" w:lineRule="exact"/>
              <w:rPr>
                <w:sz w:val="20"/>
                <w:szCs w:val="20"/>
                <w:color w:val="auto"/>
              </w:rPr>
            </w:pPr>
            <w:r>
              <w:rPr>
                <w:rFonts w:ascii="Arial" w:cs="Arial" w:eastAsia="Arial" w:hAnsi="Arial"/>
                <w:sz w:val="14"/>
                <w:szCs w:val="14"/>
                <w:b w:val="1"/>
                <w:bCs w:val="1"/>
                <w:color w:val="auto"/>
                <w:w w:val="93"/>
              </w:rPr>
              <w:t>IFRS</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IFRS</w:t>
            </w:r>
          </w:p>
        </w:tc>
        <w:tc>
          <w:tcPr>
            <w:tcW w:w="140" w:type="dxa"/>
            <w:vAlign w:val="bottom"/>
          </w:tcPr>
          <w:p>
            <w:pPr>
              <w:spacing w:after="0"/>
              <w:rPr>
                <w:sz w:val="11"/>
                <w:szCs w:val="11"/>
                <w:color w:val="auto"/>
              </w:rPr>
            </w:pPr>
          </w:p>
        </w:tc>
      </w:tr>
      <w:tr>
        <w:trPr>
          <w:trHeight w:val="149"/>
        </w:trPr>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49"/>
        </w:trPr>
        <w:tc>
          <w:tcPr>
            <w:tcW w:w="128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Results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80" w:type="dxa"/>
            <w:vAlign w:val="bottom"/>
          </w:tcPr>
          <w:p>
            <w:pPr>
              <w:spacing w:after="0"/>
              <w:rPr>
                <w:sz w:val="12"/>
                <w:szCs w:val="12"/>
                <w:color w:val="auto"/>
              </w:rPr>
            </w:pPr>
          </w:p>
        </w:tc>
        <w:tc>
          <w:tcPr>
            <w:tcW w:w="740" w:type="dxa"/>
            <w:vAlign w:val="bottom"/>
            <w:gridSpan w:val="3"/>
          </w:tcPr>
          <w:p>
            <w:pPr>
              <w:jc w:val="center"/>
              <w:ind w:right="92"/>
              <w:spacing w:after="0" w:line="149" w:lineRule="exact"/>
              <w:rPr>
                <w:sz w:val="20"/>
                <w:szCs w:val="20"/>
                <w:color w:val="auto"/>
              </w:rPr>
            </w:pPr>
            <w:r>
              <w:rPr>
                <w:rFonts w:ascii="Arial" w:cs="Arial" w:eastAsia="Arial" w:hAnsi="Arial"/>
                <w:sz w:val="14"/>
                <w:szCs w:val="14"/>
                <w:b w:val="1"/>
                <w:bCs w:val="1"/>
                <w:color w:val="auto"/>
                <w:w w:val="92"/>
              </w:rPr>
              <w:t>Control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2"/>
              </w:rPr>
              <w:t>Results</w:t>
            </w:r>
          </w:p>
        </w:tc>
        <w:tc>
          <w:tcPr>
            <w:tcW w:w="8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Control</w:t>
            </w:r>
          </w:p>
        </w:tc>
        <w:tc>
          <w:tcPr>
            <w:tcW w:w="8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Results</w:t>
            </w:r>
          </w:p>
        </w:tc>
        <w:tc>
          <w:tcPr>
            <w:tcW w:w="860" w:type="dxa"/>
            <w:vAlign w:val="bottom"/>
            <w:gridSpan w:val="5"/>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Partnership</w:t>
            </w:r>
          </w:p>
        </w:tc>
        <w:tc>
          <w:tcPr>
            <w:tcW w:w="8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Control</w:t>
            </w:r>
          </w:p>
        </w:tc>
      </w:tr>
      <w:tr>
        <w:trPr>
          <w:trHeight w:val="149"/>
        </w:trPr>
        <w:tc>
          <w:tcPr>
            <w:tcW w:w="128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80" w:type="dxa"/>
            <w:vAlign w:val="bottom"/>
          </w:tcPr>
          <w:p>
            <w:pPr>
              <w:spacing w:after="0"/>
              <w:rPr>
                <w:sz w:val="12"/>
                <w:szCs w:val="12"/>
                <w:color w:val="auto"/>
              </w:rPr>
            </w:pPr>
          </w:p>
        </w:tc>
        <w:tc>
          <w:tcPr>
            <w:tcW w:w="740" w:type="dxa"/>
            <w:vAlign w:val="bottom"/>
            <w:gridSpan w:val="3"/>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Reported</w:t>
            </w:r>
          </w:p>
        </w:tc>
        <w:tc>
          <w:tcPr>
            <w:tcW w:w="82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8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Reported</w:t>
            </w:r>
          </w:p>
        </w:tc>
        <w:tc>
          <w:tcPr>
            <w:tcW w:w="8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860" w:type="dxa"/>
            <w:vAlign w:val="bottom"/>
            <w:gridSpan w:val="5"/>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Performance</w:t>
            </w:r>
          </w:p>
        </w:tc>
        <w:tc>
          <w:tcPr>
            <w:tcW w:w="8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1280" w:type="dxa"/>
            <w:vAlign w:val="bottom"/>
          </w:tcPr>
          <w:p>
            <w:pPr>
              <w:spacing w:after="0"/>
              <w:rPr>
                <w:sz w:val="14"/>
                <w:szCs w:val="14"/>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to GasLog</w:t>
            </w:r>
          </w:p>
        </w:tc>
        <w:tc>
          <w:tcPr>
            <w:tcW w:w="1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Results</w:t>
            </w:r>
          </w:p>
        </w:tc>
        <w:tc>
          <w:tcPr>
            <w:tcW w:w="80" w:type="dxa"/>
            <w:vAlign w:val="bottom"/>
          </w:tcPr>
          <w:p>
            <w:pPr>
              <w:spacing w:after="0"/>
              <w:rPr>
                <w:sz w:val="14"/>
                <w:szCs w:val="14"/>
                <w:color w:val="auto"/>
              </w:rPr>
            </w:pPr>
          </w:p>
        </w:tc>
        <w:tc>
          <w:tcPr>
            <w:tcW w:w="740" w:type="dxa"/>
            <w:vAlign w:val="bottom"/>
            <w:gridSpan w:val="3"/>
          </w:tcPr>
          <w:p>
            <w:pPr>
              <w:jc w:val="center"/>
              <w:ind w:right="92"/>
              <w:spacing w:after="0"/>
              <w:rPr>
                <w:sz w:val="20"/>
                <w:szCs w:val="20"/>
                <w:color w:val="auto"/>
              </w:rPr>
            </w:pPr>
            <w:r>
              <w:rPr>
                <w:rFonts w:ascii="Arial" w:cs="Arial" w:eastAsia="Arial" w:hAnsi="Arial"/>
                <w:sz w:val="14"/>
                <w:szCs w:val="14"/>
                <w:b w:val="1"/>
                <w:bCs w:val="1"/>
                <w:color w:val="auto"/>
                <w:w w:val="82"/>
              </w:rPr>
              <w:t>Results</w:t>
            </w:r>
          </w:p>
        </w:tc>
        <w:tc>
          <w:tcPr>
            <w:tcW w:w="60" w:type="dxa"/>
            <w:vAlign w:val="bottom"/>
          </w:tcPr>
          <w:p>
            <w:pPr>
              <w:spacing w:after="0"/>
              <w:rPr>
                <w:sz w:val="14"/>
                <w:szCs w:val="14"/>
                <w:color w:val="auto"/>
              </w:rPr>
            </w:pPr>
          </w:p>
        </w:tc>
        <w:tc>
          <w:tcPr>
            <w:tcW w:w="760" w:type="dxa"/>
            <w:vAlign w:val="bottom"/>
            <w:gridSpan w:val="3"/>
          </w:tcPr>
          <w:p>
            <w:pPr>
              <w:jc w:val="center"/>
              <w:ind w:right="72"/>
              <w:spacing w:after="0"/>
              <w:rPr>
                <w:sz w:val="20"/>
                <w:szCs w:val="20"/>
                <w:color w:val="auto"/>
              </w:rPr>
            </w:pPr>
            <w:r>
              <w:rPr>
                <w:rFonts w:ascii="Arial" w:cs="Arial" w:eastAsia="Arial" w:hAnsi="Arial"/>
                <w:sz w:val="14"/>
                <w:szCs w:val="14"/>
                <w:b w:val="1"/>
                <w:bCs w:val="1"/>
                <w:color w:val="auto"/>
                <w:w w:val="83"/>
              </w:rPr>
              <w:t>to GasLog</w:t>
            </w:r>
          </w:p>
        </w:tc>
        <w:tc>
          <w:tcPr>
            <w:tcW w:w="140" w:type="dxa"/>
            <w:vAlign w:val="bottom"/>
          </w:tcPr>
          <w:p>
            <w:pPr>
              <w:spacing w:after="0"/>
              <w:rPr>
                <w:sz w:val="14"/>
                <w:szCs w:val="14"/>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2"/>
              </w:rPr>
              <w:t>Results</w:t>
            </w:r>
          </w:p>
        </w:tc>
        <w:tc>
          <w:tcPr>
            <w:tcW w:w="8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to GasLog</w:t>
            </w:r>
          </w:p>
        </w:tc>
        <w:tc>
          <w:tcPr>
            <w:tcW w:w="60" w:type="dxa"/>
            <w:vAlign w:val="bottom"/>
          </w:tcPr>
          <w:p>
            <w:pPr>
              <w:spacing w:after="0"/>
              <w:rPr>
                <w:sz w:val="14"/>
                <w:szCs w:val="14"/>
                <w:color w:val="auto"/>
              </w:rPr>
            </w:pPr>
          </w:p>
        </w:tc>
        <w:tc>
          <w:tcPr>
            <w:tcW w:w="80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82"/>
              </w:rPr>
              <w:t>Results</w:t>
            </w:r>
          </w:p>
        </w:tc>
        <w:tc>
          <w:tcPr>
            <w:tcW w:w="8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Results</w:t>
            </w:r>
          </w:p>
        </w:tc>
      </w:tr>
      <w:tr>
        <w:trPr>
          <w:trHeight w:val="156"/>
        </w:trPr>
        <w:tc>
          <w:tcPr>
            <w:tcW w:w="1280" w:type="dxa"/>
            <w:vAlign w:val="bottom"/>
          </w:tcPr>
          <w:p>
            <w:pPr>
              <w:spacing w:after="0"/>
              <w:rPr>
                <w:sz w:val="13"/>
                <w:szCs w:val="13"/>
                <w:color w:val="auto"/>
              </w:rPr>
            </w:pPr>
          </w:p>
        </w:tc>
        <w:tc>
          <w:tcPr>
            <w:tcW w:w="74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ind w:right="13"/>
              <w:spacing w:after="0" w:line="157" w:lineRule="exact"/>
              <w:rPr>
                <w:sz w:val="20"/>
                <w:szCs w:val="20"/>
                <w:color w:val="auto"/>
              </w:rPr>
            </w:pPr>
            <w:r>
              <w:rPr>
                <w:rFonts w:ascii="Arial" w:cs="Arial" w:eastAsia="Arial" w:hAnsi="Arial"/>
                <w:sz w:val="12"/>
                <w:szCs w:val="12"/>
                <w:b w:val="1"/>
                <w:bCs w:val="1"/>
                <w:color w:val="auto"/>
                <w:w w:val="91"/>
              </w:rPr>
              <w:t>Restated</w:t>
            </w:r>
            <w:r>
              <w:rPr>
                <w:rFonts w:ascii="Arial" w:cs="Arial" w:eastAsia="Arial" w:hAnsi="Arial"/>
                <w:sz w:val="18"/>
                <w:szCs w:val="18"/>
                <w:b w:val="1"/>
                <w:bCs w:val="1"/>
                <w:color w:val="auto"/>
                <w:w w:val="91"/>
                <w:vertAlign w:val="superscript"/>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top w:val="single" w:sz="8" w:color="auto"/>
            </w:tcBorders>
            <w:gridSpan w:val="3"/>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tcBorders>
            <w:gridSpan w:val="4"/>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80" w:type="dxa"/>
            <w:vAlign w:val="bottom"/>
          </w:tcPr>
          <w:p>
            <w:pPr>
              <w:spacing w:after="0"/>
              <w:rPr>
                <w:sz w:val="13"/>
                <w:szCs w:val="13"/>
                <w:color w:val="auto"/>
              </w:rPr>
            </w:pPr>
          </w:p>
        </w:tc>
        <w:tc>
          <w:tcPr>
            <w:tcW w:w="740" w:type="dxa"/>
            <w:vAlign w:val="bottom"/>
            <w:tcBorders>
              <w:top w:val="single" w:sz="8" w:color="auto"/>
            </w:tcBorders>
            <w:gridSpan w:val="4"/>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gridSpan w:val="3"/>
          </w:tcPr>
          <w:p>
            <w:pPr>
              <w:jc w:val="center"/>
              <w:ind w:right="20"/>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40" w:type="dxa"/>
            <w:vAlign w:val="bottom"/>
          </w:tcPr>
          <w:p>
            <w:pPr>
              <w:spacing w:after="0"/>
              <w:rPr>
                <w:sz w:val="13"/>
                <w:szCs w:val="13"/>
                <w:color w:val="auto"/>
              </w:rPr>
            </w:pPr>
          </w:p>
        </w:tc>
      </w:tr>
      <w:tr>
        <w:trPr>
          <w:trHeight w:val="161"/>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0" w:type="dxa"/>
            <w:vAlign w:val="bottom"/>
            <w:gridSpan w:val="12"/>
          </w:tcPr>
          <w:p>
            <w:pPr>
              <w:jc w:val="center"/>
              <w:ind w:right="200"/>
              <w:spacing w:after="0"/>
              <w:rPr>
                <w:sz w:val="20"/>
                <w:szCs w:val="20"/>
                <w:color w:val="auto"/>
              </w:rPr>
            </w:pPr>
            <w:r>
              <w:rPr>
                <w:rFonts w:ascii="Arial" w:cs="Arial" w:eastAsia="Arial" w:hAnsi="Arial"/>
                <w:sz w:val="14"/>
                <w:szCs w:val="14"/>
                <w:b w:val="1"/>
                <w:bCs w:val="1"/>
                <w:color w:val="auto"/>
                <w:w w:val="86"/>
              </w:rPr>
              <w:t>(in thousands of U.S. dollars)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36"/>
        </w:trPr>
        <w:tc>
          <w:tcPr>
            <w:tcW w:w="1280" w:type="dxa"/>
            <w:vAlign w:val="bottom"/>
            <w:shd w:val="clear" w:color="auto" w:fill="CCEEFF"/>
          </w:tcPr>
          <w:p>
            <w:pPr>
              <w:ind w:left="80"/>
              <w:spacing w:after="0" w:line="136" w:lineRule="exact"/>
              <w:rPr>
                <w:sz w:val="20"/>
                <w:szCs w:val="20"/>
                <w:color w:val="auto"/>
              </w:rPr>
            </w:pPr>
            <w:r>
              <w:rPr>
                <w:rFonts w:ascii="Arial" w:cs="Arial" w:eastAsia="Arial" w:hAnsi="Arial"/>
                <w:sz w:val="14"/>
                <w:szCs w:val="14"/>
                <w:b w:val="1"/>
                <w:bCs w:val="1"/>
                <w:color w:val="auto"/>
              </w:rPr>
              <w:t>STATEMENT OF</w:t>
            </w: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PROFIT OR</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61"/>
        </w:trPr>
        <w:tc>
          <w:tcPr>
            <w:tcW w:w="12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LOSS</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49"/>
        </w:trPr>
        <w:tc>
          <w:tcPr>
            <w:tcW w:w="1280" w:type="dxa"/>
            <w:vAlign w:val="bottom"/>
          </w:tcPr>
          <w:p>
            <w:pPr>
              <w:ind w:left="80"/>
              <w:spacing w:after="0" w:line="149" w:lineRule="exact"/>
              <w:rPr>
                <w:sz w:val="20"/>
                <w:szCs w:val="20"/>
                <w:color w:val="auto"/>
              </w:rPr>
            </w:pPr>
            <w:r>
              <w:rPr>
                <w:rFonts w:ascii="Arial" w:cs="Arial" w:eastAsia="Arial" w:hAnsi="Arial"/>
                <w:sz w:val="14"/>
                <w:szCs w:val="14"/>
                <w:color w:val="auto"/>
              </w:rPr>
              <w:t>Revenues</w:t>
            </w:r>
          </w:p>
        </w:tc>
        <w:tc>
          <w:tcPr>
            <w:tcW w:w="300" w:type="dxa"/>
            <w:vAlign w:val="bottom"/>
          </w:tcPr>
          <w:p>
            <w:pPr>
              <w:jc w:val="right"/>
              <w:ind w:right="180"/>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2"/>
              </w:rPr>
              <w:t>118,291</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65,931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184,222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12"/>
              <w:spacing w:after="0" w:line="149" w:lineRule="exact"/>
              <w:rPr>
                <w:sz w:val="20"/>
                <w:szCs w:val="20"/>
                <w:color w:val="auto"/>
              </w:rPr>
            </w:pPr>
            <w:r>
              <w:rPr>
                <w:rFonts w:ascii="Arial" w:cs="Arial" w:eastAsia="Arial" w:hAnsi="Arial"/>
                <w:sz w:val="14"/>
                <w:szCs w:val="14"/>
                <w:color w:val="auto"/>
              </w:rPr>
              <w:t>55,263</w:t>
            </w:r>
          </w:p>
        </w:tc>
        <w:tc>
          <w:tcPr>
            <w:tcW w:w="140" w:type="dxa"/>
            <w:vAlign w:val="bottom"/>
          </w:tcPr>
          <w:p>
            <w:pPr>
              <w:jc w:val="right"/>
              <w:ind w:right="21"/>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168,927</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224,190</w:t>
            </w:r>
          </w:p>
        </w:tc>
        <w:tc>
          <w:tcPr>
            <w:tcW w:w="300" w:type="dxa"/>
            <w:vAlign w:val="bottom"/>
          </w:tcPr>
          <w:p>
            <w:pPr>
              <w:jc w:val="right"/>
              <w:ind w:right="175"/>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2"/>
                <w:szCs w:val="12"/>
                <w:color w:val="auto"/>
              </w:rPr>
            </w:pPr>
          </w:p>
        </w:tc>
        <w:tc>
          <w:tcPr>
            <w:tcW w:w="4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53,054</w:t>
            </w:r>
          </w:p>
        </w:tc>
        <w:tc>
          <w:tcPr>
            <w:tcW w:w="6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4"/>
          </w:tcPr>
          <w:p>
            <w:pPr>
              <w:jc w:val="right"/>
              <w:ind w:right="12"/>
              <w:spacing w:after="0" w:line="149" w:lineRule="exact"/>
              <w:rPr>
                <w:sz w:val="20"/>
                <w:szCs w:val="20"/>
                <w:color w:val="auto"/>
              </w:rPr>
            </w:pPr>
            <w:r>
              <w:rPr>
                <w:rFonts w:ascii="Arial" w:cs="Arial" w:eastAsia="Arial" w:hAnsi="Arial"/>
                <w:sz w:val="14"/>
                <w:szCs w:val="14"/>
                <w:color w:val="auto"/>
              </w:rPr>
              <w:t>206,424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259,478</w:t>
            </w:r>
          </w:p>
        </w:tc>
        <w:tc>
          <w:tcPr>
            <w:tcW w:w="140" w:type="dxa"/>
            <w:vAlign w:val="bottom"/>
          </w:tcPr>
          <w:p>
            <w:pPr>
              <w:spacing w:after="0"/>
              <w:rPr>
                <w:sz w:val="12"/>
                <w:szCs w:val="12"/>
                <w:color w:val="auto"/>
              </w:rPr>
            </w:pPr>
          </w:p>
        </w:tc>
      </w:tr>
      <w:tr>
        <w:trPr>
          <w:trHeight w:val="138"/>
        </w:trPr>
        <w:tc>
          <w:tcPr>
            <w:tcW w:w="128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Vessel operating</w:t>
            </w: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9"/>
        </w:trPr>
        <w:tc>
          <w:tcPr>
            <w:tcW w:w="12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costs</w:t>
            </w:r>
          </w:p>
        </w:tc>
        <w:tc>
          <w:tcPr>
            <w:tcW w:w="3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88"/>
              </w:rPr>
              <w:t>(23,506)</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(12,226)</w:t>
            </w:r>
          </w:p>
        </w:tc>
        <w:tc>
          <w:tcPr>
            <w:tcW w:w="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(35,732)</w:t>
            </w:r>
          </w:p>
        </w:tc>
        <w:tc>
          <w:tcPr>
            <w:tcW w:w="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(14,092)</w:t>
            </w:r>
          </w:p>
        </w:tc>
        <w:tc>
          <w:tcPr>
            <w:tcW w:w="140" w:type="dxa"/>
            <w:vAlign w:val="bottom"/>
            <w:tcBorders>
              <w:left w:val="single" w:sz="8" w:color="CCEEFF"/>
            </w:tcBorders>
            <w:shd w:val="clear" w:color="auto" w:fill="CCEEFF"/>
          </w:tcPr>
          <w:p>
            <w:pPr>
              <w:spacing w:after="0"/>
              <w:rPr>
                <w:sz w:val="13"/>
                <w:szCs w:val="13"/>
                <w:color w:val="auto"/>
              </w:rPr>
            </w:pPr>
          </w:p>
        </w:tc>
        <w:tc>
          <w:tcPr>
            <w:tcW w:w="7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(33,656)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(47,748)</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0"/>
              </w:rPr>
              <w:t>(9,603)</w:t>
            </w:r>
          </w:p>
        </w:tc>
        <w:tc>
          <w:tcPr>
            <w:tcW w:w="6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(43,479)</w:t>
            </w: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(53,082)</w:t>
            </w:r>
          </w:p>
        </w:tc>
      </w:tr>
      <w:tr>
        <w:trPr>
          <w:trHeight w:val="138"/>
        </w:trPr>
        <w:tc>
          <w:tcPr>
            <w:tcW w:w="1280" w:type="dxa"/>
            <w:vAlign w:val="bottom"/>
          </w:tcPr>
          <w:p>
            <w:pPr>
              <w:ind w:left="80"/>
              <w:spacing w:after="0" w:line="138" w:lineRule="exact"/>
              <w:rPr>
                <w:sz w:val="20"/>
                <w:szCs w:val="20"/>
                <w:color w:val="auto"/>
              </w:rPr>
            </w:pPr>
            <w:r>
              <w:rPr>
                <w:rFonts w:ascii="Arial" w:cs="Arial" w:eastAsia="Arial" w:hAnsi="Arial"/>
                <w:sz w:val="14"/>
                <w:szCs w:val="14"/>
                <w:color w:val="auto"/>
              </w:rPr>
              <w:t>Voyage expenses</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9"/>
        </w:trPr>
        <w:tc>
          <w:tcPr>
            <w:tcW w:w="1280" w:type="dxa"/>
            <w:vAlign w:val="bottom"/>
          </w:tcPr>
          <w:p>
            <w:pPr>
              <w:ind w:left="200"/>
              <w:spacing w:after="0" w:line="159" w:lineRule="exact"/>
              <w:rPr>
                <w:sz w:val="20"/>
                <w:szCs w:val="20"/>
                <w:color w:val="auto"/>
              </w:rPr>
            </w:pPr>
            <w:r>
              <w:rPr>
                <w:rFonts w:ascii="Arial" w:cs="Arial" w:eastAsia="Arial" w:hAnsi="Arial"/>
                <w:sz w:val="14"/>
                <w:szCs w:val="14"/>
                <w:color w:val="auto"/>
                <w:w w:val="97"/>
              </w:rPr>
              <w:t>and commissions</w:t>
            </w:r>
          </w:p>
        </w:tc>
        <w:tc>
          <w:tcPr>
            <w:tcW w:w="300" w:type="dxa"/>
            <w:vAlign w:val="bottom"/>
          </w:tcPr>
          <w:p>
            <w:pPr>
              <w:spacing w:after="0"/>
              <w:rPr>
                <w:sz w:val="13"/>
                <w:szCs w:val="13"/>
                <w:color w:val="auto"/>
              </w:rPr>
            </w:pP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(1,551)</w:t>
            </w:r>
          </w:p>
        </w:tc>
        <w:tc>
          <w:tcPr>
            <w:tcW w:w="1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(817)</w:t>
            </w:r>
          </w:p>
        </w:tc>
        <w:tc>
          <w:tcPr>
            <w:tcW w:w="80" w:type="dxa"/>
            <w:vAlign w:val="bottom"/>
          </w:tcPr>
          <w:p>
            <w:pPr>
              <w:spacing w:after="0"/>
              <w:rPr>
                <w:sz w:val="13"/>
                <w:szCs w:val="13"/>
                <w:color w:val="auto"/>
              </w:rPr>
            </w:pPr>
          </w:p>
        </w:tc>
        <w:tc>
          <w:tcPr>
            <w:tcW w:w="7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(2,368)</w:t>
            </w:r>
          </w:p>
        </w:tc>
        <w:tc>
          <w:tcPr>
            <w:tcW w:w="60" w:type="dxa"/>
            <w:vAlign w:val="bottom"/>
          </w:tcPr>
          <w:p>
            <w:pPr>
              <w:spacing w:after="0"/>
              <w:rPr>
                <w:sz w:val="13"/>
                <w:szCs w:val="13"/>
                <w:color w:val="auto"/>
              </w:rPr>
            </w:pPr>
          </w:p>
        </w:tc>
        <w:tc>
          <w:tcPr>
            <w:tcW w:w="7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(877)</w:t>
            </w:r>
          </w:p>
        </w:tc>
        <w:tc>
          <w:tcPr>
            <w:tcW w:w="14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(2,102)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(2,979)</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(718)</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85"/>
              </w:rPr>
              <w:t>(2,841)</w:t>
            </w:r>
          </w:p>
        </w:tc>
        <w:tc>
          <w:tcPr>
            <w:tcW w:w="80" w:type="dxa"/>
            <w:vAlign w:val="bottom"/>
          </w:tcPr>
          <w:p>
            <w:pPr>
              <w:spacing w:after="0"/>
              <w:rPr>
                <w:sz w:val="13"/>
                <w:szCs w:val="13"/>
                <w:color w:val="auto"/>
              </w:rPr>
            </w:pP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(3,559)</w:t>
            </w:r>
          </w:p>
        </w:tc>
      </w:tr>
      <w:tr>
        <w:trPr>
          <w:trHeight w:val="149"/>
        </w:trPr>
        <w:tc>
          <w:tcPr>
            <w:tcW w:w="1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Depreciation</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(26,217)</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(13,352)</w:t>
            </w: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(39,569)</w:t>
            </w:r>
          </w:p>
        </w:tc>
        <w:tc>
          <w:tcPr>
            <w:tcW w:w="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(13,990)</w:t>
            </w:r>
          </w:p>
        </w:tc>
        <w:tc>
          <w:tcPr>
            <w:tcW w:w="14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(35,981)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(49,971)</w:t>
            </w:r>
          </w:p>
        </w:tc>
        <w:tc>
          <w:tcPr>
            <w:tcW w:w="8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(10,793)</w:t>
            </w:r>
          </w:p>
        </w:tc>
        <w:tc>
          <w:tcPr>
            <w:tcW w:w="6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(45,230)</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(56,023)</w:t>
            </w:r>
          </w:p>
        </w:tc>
      </w:tr>
      <w:tr>
        <w:trPr>
          <w:trHeight w:val="138"/>
        </w:trPr>
        <w:tc>
          <w:tcPr>
            <w:tcW w:w="1280" w:type="dxa"/>
            <w:vAlign w:val="bottom"/>
          </w:tcPr>
          <w:p>
            <w:pPr>
              <w:ind w:left="80"/>
              <w:spacing w:after="0" w:line="138" w:lineRule="exact"/>
              <w:rPr>
                <w:sz w:val="20"/>
                <w:szCs w:val="20"/>
                <w:color w:val="auto"/>
              </w:rPr>
            </w:pPr>
            <w:r>
              <w:rPr>
                <w:rFonts w:ascii="Arial" w:cs="Arial" w:eastAsia="Arial" w:hAnsi="Arial"/>
                <w:sz w:val="14"/>
                <w:szCs w:val="14"/>
                <w:color w:val="auto"/>
              </w:rPr>
              <w:t>General and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administrative</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1280" w:type="dxa"/>
            <w:vAlign w:val="bottom"/>
          </w:tcPr>
          <w:p>
            <w:pPr>
              <w:ind w:left="200"/>
              <w:spacing w:after="0" w:line="159" w:lineRule="exact"/>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13"/>
                <w:szCs w:val="13"/>
                <w:color w:val="auto"/>
              </w:rPr>
            </w:pP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(2,355)</w:t>
            </w:r>
          </w:p>
        </w:tc>
        <w:tc>
          <w:tcPr>
            <w:tcW w:w="1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(4,591)</w:t>
            </w:r>
          </w:p>
        </w:tc>
        <w:tc>
          <w:tcPr>
            <w:tcW w:w="80" w:type="dxa"/>
            <w:vAlign w:val="bottom"/>
          </w:tcPr>
          <w:p>
            <w:pPr>
              <w:spacing w:after="0"/>
              <w:rPr>
                <w:sz w:val="13"/>
                <w:szCs w:val="13"/>
                <w:color w:val="auto"/>
              </w:rPr>
            </w:pPr>
          </w:p>
        </w:tc>
        <w:tc>
          <w:tcPr>
            <w:tcW w:w="7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(6,946)</w:t>
            </w:r>
          </w:p>
        </w:tc>
        <w:tc>
          <w:tcPr>
            <w:tcW w:w="60" w:type="dxa"/>
            <w:vAlign w:val="bottom"/>
          </w:tcPr>
          <w:p>
            <w:pPr>
              <w:spacing w:after="0"/>
              <w:rPr>
                <w:sz w:val="13"/>
                <w:szCs w:val="13"/>
                <w:color w:val="auto"/>
              </w:rPr>
            </w:pPr>
          </w:p>
        </w:tc>
        <w:tc>
          <w:tcPr>
            <w:tcW w:w="7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(1,159)</w:t>
            </w:r>
          </w:p>
        </w:tc>
        <w:tc>
          <w:tcPr>
            <w:tcW w:w="14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(10,383)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(11,542)</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w w:val="90"/>
              </w:rPr>
              <w:t>(1,015)</w:t>
            </w:r>
          </w:p>
        </w:tc>
        <w:tc>
          <w:tcPr>
            <w:tcW w:w="60" w:type="dxa"/>
            <w:vAlign w:val="bottom"/>
          </w:tcPr>
          <w:p>
            <w:pPr>
              <w:spacing w:after="0"/>
              <w:rPr>
                <w:sz w:val="13"/>
                <w:szCs w:val="13"/>
                <w:color w:val="auto"/>
              </w:rPr>
            </w:pP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(11,219)</w:t>
            </w:r>
          </w:p>
        </w:tc>
        <w:tc>
          <w:tcPr>
            <w:tcW w:w="80" w:type="dxa"/>
            <w:vAlign w:val="bottom"/>
          </w:tcPr>
          <w:p>
            <w:pPr>
              <w:spacing w:after="0"/>
              <w:rPr>
                <w:sz w:val="13"/>
                <w:szCs w:val="13"/>
                <w:color w:val="auto"/>
              </w:rPr>
            </w:pP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(12,234)</w:t>
            </w:r>
          </w:p>
        </w:tc>
      </w:tr>
      <w:tr>
        <w:trPr>
          <w:trHeight w:val="129"/>
        </w:trPr>
        <w:tc>
          <w:tcPr>
            <w:tcW w:w="1280" w:type="dxa"/>
            <w:vAlign w:val="bottom"/>
            <w:shd w:val="clear" w:color="auto" w:fill="CCEEFF"/>
          </w:tcPr>
          <w:p>
            <w:pPr>
              <w:ind w:left="80"/>
              <w:spacing w:after="0" w:line="129" w:lineRule="exact"/>
              <w:rPr>
                <w:sz w:val="20"/>
                <w:szCs w:val="20"/>
                <w:color w:val="auto"/>
              </w:rPr>
            </w:pPr>
            <w:r>
              <w:rPr>
                <w:rFonts w:ascii="Arial" w:cs="Arial" w:eastAsia="Arial" w:hAnsi="Arial"/>
                <w:sz w:val="14"/>
                <w:szCs w:val="14"/>
                <w:b w:val="1"/>
                <w:bCs w:val="1"/>
                <w:color w:val="auto"/>
              </w:rPr>
              <w:t>Profit from</w:t>
            </w:r>
          </w:p>
        </w:tc>
        <w:tc>
          <w:tcPr>
            <w:tcW w:w="3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680" w:type="dxa"/>
            <w:vAlign w:val="bottom"/>
            <w:tcBorders>
              <w:top w:val="single" w:sz="8" w:color="auto"/>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1"/>
        </w:trPr>
        <w:tc>
          <w:tcPr>
            <w:tcW w:w="12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operations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7"/>
              </w:rPr>
              <w:t>64,662</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34,945</w:t>
            </w:r>
          </w:p>
        </w:tc>
        <w:tc>
          <w:tcPr>
            <w:tcW w:w="8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99,607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25,145</w:t>
            </w:r>
          </w:p>
        </w:tc>
        <w:tc>
          <w:tcPr>
            <w:tcW w:w="140" w:type="dxa"/>
            <w:vAlign w:val="bottom"/>
            <w:tcBorders>
              <w:left w:val="single" w:sz="8" w:color="CCEEFF"/>
            </w:tcBorders>
            <w:shd w:val="clear" w:color="auto" w:fill="CCEEFF"/>
          </w:tcPr>
          <w:p>
            <w:pPr>
              <w:spacing w:after="0"/>
              <w:rPr>
                <w:sz w:val="14"/>
                <w:szCs w:val="14"/>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86,805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111,950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3"/>
              </w:rPr>
              <w:t>30,925</w:t>
            </w:r>
          </w:p>
        </w:tc>
        <w:tc>
          <w:tcPr>
            <w:tcW w:w="6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103,655</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134,580</w:t>
            </w:r>
          </w:p>
        </w:tc>
        <w:tc>
          <w:tcPr>
            <w:tcW w:w="140" w:type="dxa"/>
            <w:vAlign w:val="bottom"/>
            <w:shd w:val="clear" w:color="auto" w:fill="CCEEFF"/>
          </w:tcPr>
          <w:p>
            <w:pPr>
              <w:spacing w:after="0"/>
              <w:rPr>
                <w:sz w:val="14"/>
                <w:szCs w:val="14"/>
                <w:color w:val="auto"/>
              </w:rPr>
            </w:pPr>
          </w:p>
        </w:tc>
      </w:tr>
      <w:tr>
        <w:trPr>
          <w:trHeight w:val="142"/>
        </w:trPr>
        <w:tc>
          <w:tcPr>
            <w:tcW w:w="1280" w:type="dxa"/>
            <w:vAlign w:val="bottom"/>
          </w:tcPr>
          <w:p>
            <w:pPr>
              <w:ind w:left="80"/>
              <w:spacing w:after="0" w:line="142" w:lineRule="exact"/>
              <w:rPr>
                <w:sz w:val="20"/>
                <w:szCs w:val="20"/>
                <w:color w:val="auto"/>
              </w:rPr>
            </w:pPr>
            <w:r>
              <w:rPr>
                <w:rFonts w:ascii="Arial" w:cs="Arial" w:eastAsia="Arial" w:hAnsi="Arial"/>
                <w:sz w:val="14"/>
                <w:szCs w:val="14"/>
                <w:color w:val="auto"/>
              </w:rPr>
              <w:t>Financial costs</w:t>
            </w: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0"/>
              </w:rPr>
              <w:t>(22,519)</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(15,206)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(37,725)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(9,423)</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(21,789)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(31,212)</w:t>
            </w:r>
          </w:p>
        </w:tc>
        <w:tc>
          <w:tcPr>
            <w:tcW w:w="80" w:type="dxa"/>
            <w:vAlign w:val="bottom"/>
          </w:tcPr>
          <w:p>
            <w:pPr>
              <w:spacing w:after="0"/>
              <w:rPr>
                <w:sz w:val="12"/>
                <w:szCs w:val="12"/>
                <w:color w:val="auto"/>
              </w:rPr>
            </w:pPr>
          </w:p>
        </w:tc>
        <w:tc>
          <w:tcPr>
            <w:tcW w:w="7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rPr>
              <w:t>(11,609)</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(30,187)</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(41,796)</w:t>
            </w:r>
          </w:p>
        </w:tc>
        <w:tc>
          <w:tcPr>
            <w:tcW w:w="140" w:type="dxa"/>
            <w:vAlign w:val="bottom"/>
          </w:tcPr>
          <w:p>
            <w:pPr>
              <w:spacing w:after="0"/>
              <w:rPr>
                <w:sz w:val="12"/>
                <w:szCs w:val="12"/>
                <w:color w:val="auto"/>
              </w:rPr>
            </w:pPr>
          </w:p>
        </w:tc>
      </w:tr>
      <w:tr>
        <w:trPr>
          <w:trHeight w:val="149"/>
        </w:trPr>
        <w:tc>
          <w:tcPr>
            <w:tcW w:w="1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Financial income</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w:t>
            </w:r>
          </w:p>
        </w:tc>
        <w:tc>
          <w:tcPr>
            <w:tcW w:w="14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191</w:t>
            </w:r>
          </w:p>
        </w:tc>
        <w:tc>
          <w:tcPr>
            <w:tcW w:w="140" w:type="dxa"/>
            <w:vAlign w:val="bottom"/>
            <w:shd w:val="clear" w:color="auto" w:fill="CCEEFF"/>
          </w:tcPr>
          <w:p>
            <w:pPr>
              <w:spacing w:after="0"/>
              <w:rPr>
                <w:sz w:val="12"/>
                <w:szCs w:val="12"/>
                <w:color w:val="auto"/>
              </w:rPr>
            </w:pPr>
          </w:p>
        </w:tc>
      </w:tr>
      <w:tr>
        <w:trPr>
          <w:trHeight w:val="138"/>
        </w:trPr>
        <w:tc>
          <w:tcPr>
            <w:tcW w:w="1280" w:type="dxa"/>
            <w:vAlign w:val="bottom"/>
          </w:tcPr>
          <w:p>
            <w:pPr>
              <w:ind w:left="80"/>
              <w:spacing w:after="0" w:line="138" w:lineRule="exact"/>
              <w:rPr>
                <w:sz w:val="20"/>
                <w:szCs w:val="20"/>
                <w:color w:val="auto"/>
              </w:rPr>
            </w:pPr>
            <w:r>
              <w:rPr>
                <w:rFonts w:ascii="Arial" w:cs="Arial" w:eastAsia="Arial" w:hAnsi="Arial"/>
                <w:sz w:val="14"/>
                <w:szCs w:val="14"/>
                <w:color w:val="auto"/>
              </w:rPr>
              <w:t>(Loss)/gain on</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interest rate</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1280" w:type="dxa"/>
            <w:vAlign w:val="bottom"/>
          </w:tcPr>
          <w:p>
            <w:pPr>
              <w:ind w:left="200"/>
              <w:spacing w:after="0" w:line="159" w:lineRule="exact"/>
              <w:rPr>
                <w:sz w:val="20"/>
                <w:szCs w:val="20"/>
                <w:color w:val="auto"/>
              </w:rPr>
            </w:pPr>
            <w:r>
              <w:rPr>
                <w:rFonts w:ascii="Arial" w:cs="Arial" w:eastAsia="Arial" w:hAnsi="Arial"/>
                <w:sz w:val="14"/>
                <w:szCs w:val="14"/>
                <w:color w:val="auto"/>
              </w:rPr>
              <w:t>swaps</w:t>
            </w:r>
          </w:p>
        </w:tc>
        <w:tc>
          <w:tcPr>
            <w:tcW w:w="300" w:type="dxa"/>
            <w:vAlign w:val="bottom"/>
          </w:tcPr>
          <w:p>
            <w:pPr>
              <w:spacing w:after="0"/>
              <w:rPr>
                <w:sz w:val="13"/>
                <w:szCs w:val="13"/>
                <w:color w:val="auto"/>
              </w:rPr>
            </w:pP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(7,685)</w:t>
            </w:r>
          </w:p>
        </w:tc>
        <w:tc>
          <w:tcPr>
            <w:tcW w:w="1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(5,218)</w:t>
            </w:r>
          </w:p>
        </w:tc>
        <w:tc>
          <w:tcPr>
            <w:tcW w:w="80" w:type="dxa"/>
            <w:vAlign w:val="bottom"/>
          </w:tcPr>
          <w:p>
            <w:pPr>
              <w:spacing w:after="0"/>
              <w:rPr>
                <w:sz w:val="13"/>
                <w:szCs w:val="13"/>
                <w:color w:val="auto"/>
              </w:rPr>
            </w:pPr>
          </w:p>
        </w:tc>
        <w:tc>
          <w:tcPr>
            <w:tcW w:w="7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(12,903)</w:t>
            </w:r>
          </w:p>
        </w:tc>
        <w:tc>
          <w:tcPr>
            <w:tcW w:w="60" w:type="dxa"/>
            <w:vAlign w:val="bottom"/>
          </w:tcPr>
          <w:p>
            <w:pPr>
              <w:spacing w:after="0"/>
              <w:rPr>
                <w:sz w:val="13"/>
                <w:szCs w:val="13"/>
                <w:color w:val="auto"/>
              </w:rPr>
            </w:pPr>
          </w:p>
        </w:tc>
        <w:tc>
          <w:tcPr>
            <w:tcW w:w="7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(3,144)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(3,144)</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w w:val="90"/>
              </w:rPr>
              <w:t>(6,136)</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gridSpan w:val="3"/>
          </w:tcPr>
          <w:p>
            <w:pPr>
              <w:jc w:val="right"/>
              <w:ind w:right="12"/>
              <w:spacing w:after="0" w:line="159" w:lineRule="exact"/>
              <w:rPr>
                <w:sz w:val="20"/>
                <w:szCs w:val="20"/>
                <w:color w:val="auto"/>
              </w:rPr>
            </w:pPr>
            <w:r>
              <w:rPr>
                <w:rFonts w:ascii="Arial" w:cs="Arial" w:eastAsia="Arial" w:hAnsi="Arial"/>
                <w:sz w:val="14"/>
                <w:szCs w:val="14"/>
                <w:color w:val="auto"/>
                <w:w w:val="96"/>
              </w:rPr>
              <w:t>3,623</w:t>
            </w:r>
          </w:p>
        </w:tc>
        <w:tc>
          <w:tcPr>
            <w:tcW w:w="80" w:type="dxa"/>
            <w:vAlign w:val="bottom"/>
          </w:tcPr>
          <w:p>
            <w:pPr>
              <w:spacing w:after="0"/>
              <w:rPr>
                <w:sz w:val="13"/>
                <w:szCs w:val="13"/>
                <w:color w:val="auto"/>
              </w:rPr>
            </w:pP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(2,513)</w:t>
            </w:r>
          </w:p>
        </w:tc>
      </w:tr>
      <w:tr>
        <w:trPr>
          <w:trHeight w:val="129"/>
        </w:trPr>
        <w:tc>
          <w:tcPr>
            <w:tcW w:w="1280" w:type="dxa"/>
            <w:vAlign w:val="bottom"/>
            <w:shd w:val="clear" w:color="auto" w:fill="CCEEFF"/>
          </w:tcPr>
          <w:p>
            <w:pPr>
              <w:ind w:left="80"/>
              <w:spacing w:after="0" w:line="129" w:lineRule="exact"/>
              <w:rPr>
                <w:sz w:val="20"/>
                <w:szCs w:val="20"/>
                <w:color w:val="auto"/>
              </w:rPr>
            </w:pPr>
            <w:r>
              <w:rPr>
                <w:rFonts w:ascii="Arial" w:cs="Arial" w:eastAsia="Arial" w:hAnsi="Arial"/>
                <w:sz w:val="14"/>
                <w:szCs w:val="14"/>
                <w:b w:val="1"/>
                <w:bCs w:val="1"/>
                <w:color w:val="auto"/>
              </w:rPr>
              <w:t>Total other</w:t>
            </w:r>
          </w:p>
        </w:tc>
        <w:tc>
          <w:tcPr>
            <w:tcW w:w="3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680" w:type="dxa"/>
            <w:vAlign w:val="bottom"/>
            <w:tcBorders>
              <w:top w:val="single" w:sz="8" w:color="auto"/>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1"/>
        </w:trPr>
        <w:tc>
          <w:tcPr>
            <w:tcW w:w="12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expenses, net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88"/>
              </w:rPr>
              <w:t>(30,178)</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(20,401)</w:t>
            </w:r>
          </w:p>
        </w:tc>
        <w:tc>
          <w:tcPr>
            <w:tcW w:w="80" w:type="dxa"/>
            <w:vAlign w:val="bottom"/>
            <w:tcBorders>
              <w:right w:val="single" w:sz="8" w:color="CCEEFF"/>
            </w:tcBorders>
            <w:shd w:val="clear" w:color="auto" w:fill="CCEEFF"/>
          </w:tcPr>
          <w:p>
            <w:pPr>
              <w:spacing w:after="0"/>
              <w:rPr>
                <w:sz w:val="14"/>
                <w:szCs w:val="14"/>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(50,579)</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(12,562)</w:t>
            </w:r>
          </w:p>
        </w:tc>
        <w:tc>
          <w:tcPr>
            <w:tcW w:w="140" w:type="dxa"/>
            <w:vAlign w:val="bottom"/>
            <w:tcBorders>
              <w:left w:val="single" w:sz="8" w:color="CCEEFF"/>
            </w:tcBorders>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(21,765)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(34,327)</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(17,733)</w:t>
            </w:r>
          </w:p>
        </w:tc>
        <w:tc>
          <w:tcPr>
            <w:tcW w:w="6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(26,385)</w:t>
            </w: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(44,118)</w:t>
            </w:r>
          </w:p>
        </w:tc>
      </w:tr>
      <w:tr>
        <w:trPr>
          <w:trHeight w:val="142"/>
        </w:trPr>
        <w:tc>
          <w:tcPr>
            <w:tcW w:w="12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Profit for the year</w:t>
            </w:r>
          </w:p>
        </w:tc>
        <w:tc>
          <w:tcPr>
            <w:tcW w:w="30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34,484</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14,544</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49,028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12,583</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65,040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77,623</w:t>
            </w: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13,192</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77,270</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90,462</w:t>
            </w:r>
          </w:p>
        </w:tc>
        <w:tc>
          <w:tcPr>
            <w:tcW w:w="14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65"/>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w w:val="85"/>
              </w:rPr>
              <w:t>For the three months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9"/>
          </w:tcPr>
          <w:p>
            <w:pPr>
              <w:jc w:val="right"/>
              <w:ind w:right="72"/>
              <w:spacing w:after="0"/>
              <w:rPr>
                <w:sz w:val="20"/>
                <w:szCs w:val="20"/>
                <w:color w:val="auto"/>
              </w:rPr>
            </w:pPr>
            <w:r>
              <w:rPr>
                <w:rFonts w:ascii="Arial" w:cs="Arial" w:eastAsia="Arial" w:hAnsi="Arial"/>
                <w:sz w:val="14"/>
                <w:szCs w:val="14"/>
                <w:b w:val="1"/>
                <w:bCs w:val="1"/>
                <w:color w:val="auto"/>
                <w:w w:val="87"/>
              </w:rPr>
              <w:t>For the three months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1"/>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Borders>
              <w:bottom w:val="single" w:sz="8" w:color="auto"/>
            </w:tcBorders>
            <w:gridSpan w:val="11"/>
          </w:tcPr>
          <w:p>
            <w:pPr>
              <w:jc w:val="right"/>
              <w:ind w:right="340"/>
              <w:spacing w:after="0"/>
              <w:rPr>
                <w:sz w:val="20"/>
                <w:szCs w:val="20"/>
                <w:color w:val="auto"/>
              </w:rPr>
            </w:pPr>
            <w:r>
              <w:rPr>
                <w:rFonts w:ascii="Arial" w:cs="Arial" w:eastAsia="Arial" w:hAnsi="Arial"/>
                <w:sz w:val="14"/>
                <w:szCs w:val="14"/>
                <w:b w:val="1"/>
                <w:bCs w:val="1"/>
                <w:color w:val="auto"/>
              </w:rPr>
              <w:t>ended September 30, 2016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10"/>
          </w:tcPr>
          <w:p>
            <w:pPr>
              <w:ind w:left="180"/>
              <w:spacing w:after="0"/>
              <w:rPr>
                <w:sz w:val="20"/>
                <w:szCs w:val="20"/>
                <w:color w:val="auto"/>
              </w:rPr>
            </w:pPr>
            <w:r>
              <w:rPr>
                <w:rFonts w:ascii="Arial" w:cs="Arial" w:eastAsia="Arial" w:hAnsi="Arial"/>
                <w:sz w:val="14"/>
                <w:szCs w:val="14"/>
                <w:b w:val="1"/>
                <w:bCs w:val="1"/>
                <w:color w:val="auto"/>
                <w:w w:val="84"/>
              </w:rPr>
              <w:t>ended September 30, 2017</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91"/>
              </w:rPr>
              <w:t>IFRS Common</w:t>
            </w:r>
          </w:p>
        </w:tc>
        <w:tc>
          <w:tcPr>
            <w:tcW w:w="16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1"/>
              </w:rPr>
              <w:t>IFRS Common</w:t>
            </w:r>
          </w:p>
        </w:tc>
        <w:tc>
          <w:tcPr>
            <w:tcW w:w="300" w:type="dxa"/>
            <w:vAlign w:val="bottom"/>
            <w:gridSpan w:val="2"/>
          </w:tcPr>
          <w:p>
            <w:pPr>
              <w:spacing w:after="0"/>
              <w:rPr>
                <w:sz w:val="11"/>
                <w:szCs w:val="11"/>
                <w:color w:val="auto"/>
              </w:rPr>
            </w:pPr>
          </w:p>
        </w:tc>
      </w:tr>
      <w:tr>
        <w:trPr>
          <w:trHeight w:val="149"/>
        </w:trPr>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52"/>
              <w:spacing w:after="0" w:line="149" w:lineRule="exact"/>
              <w:rPr>
                <w:sz w:val="20"/>
                <w:szCs w:val="20"/>
                <w:color w:val="auto"/>
              </w:rPr>
            </w:pPr>
            <w:r>
              <w:rPr>
                <w:rFonts w:ascii="Arial" w:cs="Arial" w:eastAsia="Arial" w:hAnsi="Arial"/>
                <w:sz w:val="14"/>
                <w:szCs w:val="14"/>
                <w:b w:val="1"/>
                <w:bCs w:val="1"/>
                <w:color w:val="auto"/>
                <w:w w:val="82"/>
              </w:rPr>
              <w:t>Results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21"/>
              <w:spacing w:after="0" w:line="149" w:lineRule="exact"/>
              <w:rPr>
                <w:sz w:val="20"/>
                <w:szCs w:val="20"/>
                <w:color w:val="auto"/>
              </w:rPr>
            </w:pPr>
            <w:r>
              <w:rPr>
                <w:rFonts w:ascii="Arial" w:cs="Arial" w:eastAsia="Arial" w:hAnsi="Arial"/>
                <w:sz w:val="14"/>
                <w:szCs w:val="14"/>
                <w:b w:val="1"/>
                <w:bCs w:val="1"/>
                <w:color w:val="auto"/>
                <w:w w:val="89"/>
              </w:rPr>
              <w:t>Partnership</w:t>
            </w:r>
          </w:p>
        </w:tc>
        <w:tc>
          <w:tcPr>
            <w:tcW w:w="80" w:type="dxa"/>
            <w:vAlign w:val="bottom"/>
          </w:tcPr>
          <w:p>
            <w:pPr>
              <w:spacing w:after="0"/>
              <w:rPr>
                <w:sz w:val="12"/>
                <w:szCs w:val="12"/>
                <w:color w:val="auto"/>
              </w:rPr>
            </w:pPr>
          </w:p>
        </w:tc>
        <w:tc>
          <w:tcPr>
            <w:tcW w:w="720" w:type="dxa"/>
            <w:vAlign w:val="bottom"/>
            <w:gridSpan w:val="4"/>
          </w:tcPr>
          <w:p>
            <w:pPr>
              <w:jc w:val="center"/>
              <w:ind w:left="93"/>
              <w:spacing w:after="0" w:line="149" w:lineRule="exact"/>
              <w:rPr>
                <w:sz w:val="20"/>
                <w:szCs w:val="20"/>
                <w:color w:val="auto"/>
              </w:rPr>
            </w:pPr>
            <w:r>
              <w:rPr>
                <w:rFonts w:ascii="Arial" w:cs="Arial" w:eastAsia="Arial" w:hAnsi="Arial"/>
                <w:sz w:val="14"/>
                <w:szCs w:val="14"/>
                <w:b w:val="1"/>
                <w:bCs w:val="1"/>
                <w:color w:val="auto"/>
                <w:w w:val="88"/>
              </w:rPr>
              <w:t>Control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2"/>
              </w:rPr>
              <w:t>Results</w:t>
            </w:r>
          </w:p>
        </w:tc>
        <w:tc>
          <w:tcPr>
            <w:tcW w:w="10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Partnership</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attributable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Performance</w:t>
            </w:r>
          </w:p>
        </w:tc>
        <w:tc>
          <w:tcPr>
            <w:tcW w:w="80" w:type="dxa"/>
            <w:vAlign w:val="bottom"/>
          </w:tcPr>
          <w:p>
            <w:pPr>
              <w:spacing w:after="0"/>
              <w:rPr>
                <w:sz w:val="12"/>
                <w:szCs w:val="12"/>
                <w:color w:val="auto"/>
              </w:rPr>
            </w:pPr>
          </w:p>
        </w:tc>
        <w:tc>
          <w:tcPr>
            <w:tcW w:w="720" w:type="dxa"/>
            <w:vAlign w:val="bottom"/>
            <w:gridSpan w:val="4"/>
          </w:tcPr>
          <w:p>
            <w:pPr>
              <w:jc w:val="center"/>
              <w:ind w:left="73"/>
              <w:spacing w:after="0" w:line="149" w:lineRule="exact"/>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10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60" w:type="dxa"/>
            <w:vAlign w:val="bottom"/>
          </w:tcPr>
          <w:p>
            <w:pPr>
              <w:spacing w:after="0"/>
              <w:rPr>
                <w:sz w:val="12"/>
                <w:szCs w:val="12"/>
                <w:color w:val="auto"/>
              </w:rPr>
            </w:pPr>
          </w:p>
        </w:tc>
        <w:tc>
          <w:tcPr>
            <w:tcW w:w="118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6"/>
              </w:rPr>
              <w:t>to GasLog</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Results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center"/>
              <w:ind w:left="73"/>
              <w:spacing w:after="0"/>
              <w:rPr>
                <w:sz w:val="20"/>
                <w:szCs w:val="20"/>
                <w:color w:val="auto"/>
              </w:rPr>
            </w:pPr>
            <w:r>
              <w:rPr>
                <w:rFonts w:ascii="Arial" w:cs="Arial" w:eastAsia="Arial" w:hAnsi="Arial"/>
                <w:sz w:val="14"/>
                <w:szCs w:val="14"/>
                <w:b w:val="1"/>
                <w:bCs w:val="1"/>
                <w:color w:val="auto"/>
                <w:w w:val="82"/>
              </w:rPr>
              <w:t>Results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to GasLog</w:t>
            </w:r>
          </w:p>
        </w:tc>
        <w:tc>
          <w:tcPr>
            <w:tcW w:w="10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2"/>
              </w:rPr>
              <w:t>Results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2"/>
              </w:rPr>
              <w:t>Results</w:t>
            </w:r>
          </w:p>
        </w:tc>
      </w:tr>
      <w:tr>
        <w:trPr>
          <w:trHeight w:val="156"/>
        </w:trPr>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gridSpan w:val="5"/>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420" w:type="dxa"/>
            <w:vAlign w:val="bottom"/>
            <w:tcBorders>
              <w:top w:val="single" w:sz="8" w:color="auto"/>
            </w:tcBorders>
            <w:gridSpan w:val="2"/>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1"/>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10"/>
          </w:tcPr>
          <w:p>
            <w:pPr>
              <w:jc w:val="right"/>
              <w:spacing w:after="0"/>
              <w:rPr>
                <w:sz w:val="20"/>
                <w:szCs w:val="20"/>
                <w:color w:val="auto"/>
              </w:rPr>
            </w:pPr>
            <w:r>
              <w:rPr>
                <w:rFonts w:ascii="Arial" w:cs="Arial" w:eastAsia="Arial" w:hAnsi="Arial"/>
                <w:sz w:val="14"/>
                <w:szCs w:val="14"/>
                <w:b w:val="1"/>
                <w:bCs w:val="1"/>
                <w:color w:val="auto"/>
                <w:w w:val="91"/>
              </w:rPr>
              <w:t>(in thousands of U.S. dollars)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960" w:type="dxa"/>
            <w:vAlign w:val="bottom"/>
            <w:gridSpan w:val="7"/>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STATEMENT OF PROFIT OR LOSS</w:t>
            </w:r>
          </w:p>
        </w:tc>
        <w:tc>
          <w:tcPr>
            <w:tcW w:w="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1280" w:type="dxa"/>
            <w:vAlign w:val="bottom"/>
          </w:tcPr>
          <w:p>
            <w:pPr>
              <w:ind w:left="260"/>
              <w:spacing w:after="0" w:line="149" w:lineRule="exact"/>
              <w:rPr>
                <w:sz w:val="20"/>
                <w:szCs w:val="20"/>
                <w:color w:val="auto"/>
              </w:rPr>
            </w:pPr>
            <w:r>
              <w:rPr>
                <w:rFonts w:ascii="Arial" w:cs="Arial" w:eastAsia="Arial" w:hAnsi="Arial"/>
                <w:sz w:val="14"/>
                <w:szCs w:val="14"/>
                <w:color w:val="auto"/>
              </w:rPr>
              <w:t>Revenues</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14,581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tcPr>
          <w:p>
            <w:pPr>
              <w:jc w:val="right"/>
              <w:ind w:right="21"/>
              <w:spacing w:after="0" w:line="149" w:lineRule="exact"/>
              <w:rPr>
                <w:sz w:val="20"/>
                <w:szCs w:val="20"/>
                <w:color w:val="auto"/>
              </w:rPr>
            </w:pPr>
            <w:r>
              <w:rPr>
                <w:rFonts w:ascii="Arial" w:cs="Arial" w:eastAsia="Arial" w:hAnsi="Arial"/>
                <w:sz w:val="14"/>
                <w:szCs w:val="14"/>
                <w:color w:val="auto"/>
              </w:rPr>
              <w:t>51,452</w:t>
            </w:r>
          </w:p>
        </w:tc>
        <w:tc>
          <w:tcPr>
            <w:tcW w:w="1120" w:type="dxa"/>
            <w:vAlign w:val="bottom"/>
            <w:gridSpan w:val="7"/>
          </w:tcPr>
          <w:p>
            <w:pPr>
              <w:jc w:val="right"/>
              <w:ind w:right="160"/>
              <w:spacing w:after="0" w:line="149" w:lineRule="exact"/>
              <w:rPr>
                <w:sz w:val="20"/>
                <w:szCs w:val="20"/>
                <w:color w:val="auto"/>
              </w:rPr>
            </w:pPr>
            <w:r>
              <w:rPr>
                <w:rFonts w:ascii="Arial" w:cs="Arial" w:eastAsia="Arial" w:hAnsi="Arial"/>
                <w:sz w:val="14"/>
                <w:szCs w:val="14"/>
                <w:color w:val="auto"/>
              </w:rPr>
              <w:t>66,033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w w:val="93"/>
              </w:rPr>
              <w:t>73,277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73,439</w:t>
            </w:r>
          </w:p>
        </w:tc>
        <w:tc>
          <w:tcPr>
            <w:tcW w:w="140" w:type="dxa"/>
            <w:vAlign w:val="bottom"/>
          </w:tcPr>
          <w:p>
            <w:pPr>
              <w:spacing w:after="0"/>
              <w:rPr>
                <w:sz w:val="12"/>
                <w:szCs w:val="12"/>
                <w:color w:val="auto"/>
              </w:rPr>
            </w:pPr>
          </w:p>
        </w:tc>
      </w:tr>
      <w:tr>
        <w:trPr>
          <w:trHeight w:val="149"/>
        </w:trPr>
        <w:tc>
          <w:tcPr>
            <w:tcW w:w="1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92"/>
              </w:rPr>
              <w:t>Vessel operating costs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(2,714)</w:t>
            </w:r>
          </w:p>
        </w:tc>
        <w:tc>
          <w:tcPr>
            <w:tcW w:w="6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(10,822)</w:t>
            </w:r>
          </w:p>
        </w:tc>
        <w:tc>
          <w:tcPr>
            <w:tcW w:w="1120" w:type="dxa"/>
            <w:vAlign w:val="bottom"/>
            <w:gridSpan w:val="7"/>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(13,536)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84"/>
              </w:rPr>
              <w:t>(15,046)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(15,066)</w:t>
            </w:r>
          </w:p>
        </w:tc>
        <w:tc>
          <w:tcPr>
            <w:tcW w:w="140" w:type="dxa"/>
            <w:vAlign w:val="bottom"/>
          </w:tcPr>
          <w:p>
            <w:pPr>
              <w:spacing w:after="0"/>
              <w:rPr>
                <w:sz w:val="12"/>
                <w:szCs w:val="12"/>
                <w:color w:val="auto"/>
              </w:rPr>
            </w:pPr>
          </w:p>
        </w:tc>
      </w:tr>
      <w:tr>
        <w:trPr>
          <w:trHeight w:val="149"/>
        </w:trPr>
        <w:tc>
          <w:tcPr>
            <w:tcW w:w="2260" w:type="dxa"/>
            <w:vAlign w:val="bottom"/>
            <w:gridSpan w:val="5"/>
          </w:tcPr>
          <w:p>
            <w:pPr>
              <w:ind w:left="260"/>
              <w:spacing w:after="0" w:line="149" w:lineRule="exact"/>
              <w:rPr>
                <w:sz w:val="20"/>
                <w:szCs w:val="20"/>
                <w:color w:val="auto"/>
              </w:rPr>
            </w:pPr>
            <w:r>
              <w:rPr>
                <w:rFonts w:ascii="Arial" w:cs="Arial" w:eastAsia="Arial" w:hAnsi="Arial"/>
                <w:sz w:val="14"/>
                <w:szCs w:val="14"/>
                <w:color w:val="auto"/>
                <w:w w:val="88"/>
              </w:rPr>
              <w:t>Voyage expenses and commissions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(205)</w:t>
            </w:r>
          </w:p>
        </w:tc>
        <w:tc>
          <w:tcPr>
            <w:tcW w:w="60" w:type="dxa"/>
            <w:vAlign w:val="bottom"/>
          </w:tcPr>
          <w:p>
            <w:pPr>
              <w:spacing w:after="0"/>
              <w:rPr>
                <w:sz w:val="12"/>
                <w:szCs w:val="12"/>
                <w:color w:val="auto"/>
              </w:rPr>
            </w:pP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(644)</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w w:val="85"/>
              </w:rPr>
              <w:t>(849)</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(919)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(921)</w:t>
            </w:r>
          </w:p>
        </w:tc>
        <w:tc>
          <w:tcPr>
            <w:tcW w:w="140" w:type="dxa"/>
            <w:vAlign w:val="bottom"/>
          </w:tcPr>
          <w:p>
            <w:pPr>
              <w:spacing w:after="0"/>
              <w:rPr>
                <w:sz w:val="12"/>
                <w:szCs w:val="12"/>
                <w:color w:val="auto"/>
              </w:rPr>
            </w:pPr>
          </w:p>
        </w:tc>
      </w:tr>
      <w:tr>
        <w:trPr>
          <w:trHeight w:val="149"/>
        </w:trPr>
        <w:tc>
          <w:tcPr>
            <w:tcW w:w="12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Depreciation</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(2,960)</w:t>
            </w:r>
          </w:p>
        </w:tc>
        <w:tc>
          <w:tcPr>
            <w:tcW w:w="6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(11,116)</w:t>
            </w:r>
          </w:p>
        </w:tc>
        <w:tc>
          <w:tcPr>
            <w:tcW w:w="1120" w:type="dxa"/>
            <w:vAlign w:val="bottom"/>
            <w:gridSpan w:val="7"/>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(14,076)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84"/>
              </w:rPr>
              <w:t>(15,580)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(15,611)</w:t>
            </w:r>
          </w:p>
        </w:tc>
        <w:tc>
          <w:tcPr>
            <w:tcW w:w="140" w:type="dxa"/>
            <w:vAlign w:val="bottom"/>
          </w:tcPr>
          <w:p>
            <w:pPr>
              <w:spacing w:after="0"/>
              <w:rPr>
                <w:sz w:val="12"/>
                <w:szCs w:val="12"/>
                <w:color w:val="auto"/>
              </w:rPr>
            </w:pPr>
          </w:p>
        </w:tc>
      </w:tr>
      <w:tr>
        <w:trPr>
          <w:trHeight w:val="149"/>
        </w:trPr>
        <w:tc>
          <w:tcPr>
            <w:tcW w:w="2260" w:type="dxa"/>
            <w:vAlign w:val="bottom"/>
            <w:gridSpan w:val="5"/>
          </w:tcPr>
          <w:p>
            <w:pPr>
              <w:ind w:left="260"/>
              <w:spacing w:after="0" w:line="149" w:lineRule="exact"/>
              <w:rPr>
                <w:sz w:val="20"/>
                <w:szCs w:val="20"/>
                <w:color w:val="auto"/>
              </w:rPr>
            </w:pPr>
            <w:r>
              <w:rPr>
                <w:rFonts w:ascii="Arial" w:cs="Arial" w:eastAsia="Arial" w:hAnsi="Arial"/>
                <w:sz w:val="14"/>
                <w:szCs w:val="14"/>
                <w:color w:val="auto"/>
                <w:w w:val="85"/>
              </w:rPr>
              <w:t>General and administrative expenses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(378)</w:t>
            </w:r>
          </w:p>
        </w:tc>
        <w:tc>
          <w:tcPr>
            <w:tcW w:w="60" w:type="dxa"/>
            <w:vAlign w:val="bottom"/>
          </w:tcPr>
          <w:p>
            <w:pPr>
              <w:spacing w:after="0"/>
              <w:rPr>
                <w:sz w:val="12"/>
                <w:szCs w:val="12"/>
                <w:color w:val="auto"/>
              </w:rPr>
            </w:pP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(2,752)</w:t>
            </w:r>
          </w:p>
        </w:tc>
        <w:tc>
          <w:tcPr>
            <w:tcW w:w="1120" w:type="dxa"/>
            <w:vAlign w:val="bottom"/>
            <w:gridSpan w:val="7"/>
          </w:tcPr>
          <w:p>
            <w:pPr>
              <w:jc w:val="right"/>
              <w:ind w:right="120"/>
              <w:spacing w:after="0" w:line="149" w:lineRule="exact"/>
              <w:rPr>
                <w:sz w:val="20"/>
                <w:szCs w:val="20"/>
                <w:color w:val="auto"/>
              </w:rPr>
            </w:pPr>
            <w:r>
              <w:rPr>
                <w:rFonts w:ascii="Arial" w:cs="Arial" w:eastAsia="Arial" w:hAnsi="Arial"/>
                <w:sz w:val="14"/>
                <w:szCs w:val="14"/>
                <w:color w:val="auto"/>
              </w:rPr>
              <w:t>(3,130)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w w:val="85"/>
              </w:rPr>
              <w:t>(3,783)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(3,787)</w:t>
            </w:r>
          </w:p>
        </w:tc>
        <w:tc>
          <w:tcPr>
            <w:tcW w:w="14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58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w w:val="88"/>
              </w:rPr>
              <w:t>Profit from operations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8,324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26,118</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34,442</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37,949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38,054</w:t>
            </w:r>
          </w:p>
        </w:tc>
        <w:tc>
          <w:tcPr>
            <w:tcW w:w="140" w:type="dxa"/>
            <w:vAlign w:val="bottom"/>
          </w:tcPr>
          <w:p>
            <w:pPr>
              <w:spacing w:after="0"/>
              <w:rPr>
                <w:sz w:val="12"/>
                <w:szCs w:val="12"/>
                <w:color w:val="auto"/>
              </w:rPr>
            </w:pPr>
          </w:p>
        </w:tc>
      </w:tr>
      <w:tr>
        <w:trPr>
          <w:trHeight w:val="142"/>
        </w:trPr>
        <w:tc>
          <w:tcPr>
            <w:tcW w:w="1280" w:type="dxa"/>
            <w:vAlign w:val="bottom"/>
          </w:tcPr>
          <w:p>
            <w:pPr>
              <w:ind w:left="260"/>
              <w:spacing w:after="0" w:line="142" w:lineRule="exact"/>
              <w:rPr>
                <w:sz w:val="20"/>
                <w:szCs w:val="20"/>
                <w:color w:val="auto"/>
              </w:rPr>
            </w:pPr>
            <w:r>
              <w:rPr>
                <w:rFonts w:ascii="Arial" w:cs="Arial" w:eastAsia="Arial" w:hAnsi="Arial"/>
                <w:sz w:val="14"/>
                <w:szCs w:val="14"/>
                <w:color w:val="auto"/>
              </w:rPr>
              <w:t>Financial costs</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(7,333)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color w:val="auto"/>
              </w:rPr>
              <w:t>(12,249)</w:t>
            </w: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(12,289)</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(12,319)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12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5"/>
              </w:rPr>
              <w:t>Financial income</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89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311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311</w:t>
            </w:r>
          </w:p>
        </w:tc>
        <w:tc>
          <w:tcPr>
            <w:tcW w:w="140" w:type="dxa"/>
            <w:vAlign w:val="bottom"/>
          </w:tcPr>
          <w:p>
            <w:pPr>
              <w:spacing w:after="0"/>
              <w:rPr>
                <w:sz w:val="12"/>
                <w:szCs w:val="12"/>
                <w:color w:val="auto"/>
              </w:rPr>
            </w:pPr>
          </w:p>
        </w:tc>
      </w:tr>
      <w:tr>
        <w:trPr>
          <w:trHeight w:val="149"/>
        </w:trPr>
        <w:tc>
          <w:tcPr>
            <w:tcW w:w="2100" w:type="dxa"/>
            <w:vAlign w:val="bottom"/>
            <w:gridSpan w:val="4"/>
          </w:tcPr>
          <w:p>
            <w:pPr>
              <w:ind w:left="260"/>
              <w:spacing w:after="0" w:line="149" w:lineRule="exact"/>
              <w:rPr>
                <w:sz w:val="20"/>
                <w:szCs w:val="20"/>
                <w:color w:val="auto"/>
              </w:rPr>
            </w:pPr>
            <w:r>
              <w:rPr>
                <w:rFonts w:ascii="Arial" w:cs="Arial" w:eastAsia="Arial" w:hAnsi="Arial"/>
                <w:sz w:val="14"/>
                <w:szCs w:val="14"/>
                <w:color w:val="auto"/>
              </w:rPr>
              <w:t>Loss on interest rate swaps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(2,244)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gridSpan w:val="7"/>
          </w:tcPr>
          <w:p>
            <w:pPr>
              <w:jc w:val="right"/>
              <w:ind w:right="120"/>
              <w:spacing w:after="0" w:line="149" w:lineRule="exact"/>
              <w:rPr>
                <w:sz w:val="20"/>
                <w:szCs w:val="20"/>
                <w:color w:val="auto"/>
              </w:rPr>
            </w:pPr>
            <w:r>
              <w:rPr>
                <w:rFonts w:ascii="Arial" w:cs="Arial" w:eastAsia="Arial" w:hAnsi="Arial"/>
                <w:sz w:val="14"/>
                <w:szCs w:val="14"/>
                <w:color w:val="auto"/>
              </w:rPr>
              <w:t>(2,244)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(672)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(672)</w:t>
            </w:r>
          </w:p>
        </w:tc>
        <w:tc>
          <w:tcPr>
            <w:tcW w:w="14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2100" w:type="dxa"/>
            <w:vAlign w:val="bottom"/>
            <w:gridSpan w:val="4"/>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(7,155)</w:t>
            </w:r>
          </w:p>
        </w:tc>
        <w:tc>
          <w:tcPr>
            <w:tcW w:w="6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(7,249)</w:t>
            </w:r>
          </w:p>
        </w:tc>
        <w:tc>
          <w:tcPr>
            <w:tcW w:w="1120" w:type="dxa"/>
            <w:vAlign w:val="bottom"/>
            <w:gridSpan w:val="7"/>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(14,404)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w w:val="84"/>
              </w:rPr>
              <w:t>(12,650)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(12,680)</w:t>
            </w:r>
          </w:p>
        </w:tc>
        <w:tc>
          <w:tcPr>
            <w:tcW w:w="140" w:type="dxa"/>
            <w:vAlign w:val="bottom"/>
          </w:tcPr>
          <w:p>
            <w:pPr>
              <w:spacing w:after="0"/>
              <w:rPr>
                <w:sz w:val="12"/>
                <w:szCs w:val="12"/>
                <w:color w:val="auto"/>
              </w:rPr>
            </w:pPr>
          </w:p>
        </w:tc>
      </w:tr>
      <w:tr>
        <w:trPr>
          <w:trHeight w:val="142"/>
        </w:trPr>
        <w:tc>
          <w:tcPr>
            <w:tcW w:w="158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w w:val="99"/>
              </w:rPr>
              <w:t>Profit for the period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1,169</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18,869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20,038</w:t>
            </w:r>
          </w:p>
        </w:tc>
        <w:tc>
          <w:tcPr>
            <w:tcW w:w="1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w w:val="74"/>
              </w:rPr>
              <w:t>75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25,299</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25,374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589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695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86"/>
              </w:rPr>
              <w:t>For the nine months</w:t>
            </w:r>
          </w:p>
        </w:tc>
        <w:tc>
          <w:tcPr>
            <w:tcW w:w="720" w:type="dxa"/>
            <w:vAlign w:val="bottom"/>
          </w:tcPr>
          <w:p>
            <w:pPr>
              <w:spacing w:after="0"/>
              <w:rPr>
                <w:sz w:val="14"/>
                <w:szCs w:val="14"/>
                <w:color w:val="auto"/>
              </w:rPr>
            </w:pPr>
          </w:p>
        </w:tc>
        <w:tc>
          <w:tcPr>
            <w:tcW w:w="21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89"/>
              </w:rPr>
              <w:t>For the nine months</w:t>
            </w:r>
          </w:p>
        </w:tc>
      </w:tr>
      <w:tr>
        <w:trPr>
          <w:trHeight w:val="161"/>
        </w:trPr>
        <w:tc>
          <w:tcPr>
            <w:tcW w:w="2980" w:type="dxa"/>
            <w:vAlign w:val="bottom"/>
          </w:tcPr>
          <w:p>
            <w:pPr>
              <w:spacing w:after="0"/>
              <w:rPr>
                <w:sz w:val="14"/>
                <w:szCs w:val="14"/>
                <w:color w:val="auto"/>
              </w:rPr>
            </w:pPr>
          </w:p>
        </w:tc>
        <w:tc>
          <w:tcPr>
            <w:tcW w:w="28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ended September 30, 2016</w:t>
            </w:r>
          </w:p>
        </w:tc>
        <w:tc>
          <w:tcPr>
            <w:tcW w:w="28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ended September 30, 2017</w:t>
            </w:r>
          </w:p>
        </w:tc>
      </w:tr>
      <w:tr>
        <w:trPr>
          <w:trHeight w:val="129"/>
        </w:trPr>
        <w:tc>
          <w:tcPr>
            <w:tcW w:w="29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IFRS Common</w:t>
            </w: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IFRS Common</w:t>
            </w:r>
          </w:p>
        </w:tc>
        <w:tc>
          <w:tcPr>
            <w:tcW w:w="160" w:type="dxa"/>
            <w:vAlign w:val="bottom"/>
          </w:tcPr>
          <w:p>
            <w:pPr>
              <w:spacing w:after="0"/>
              <w:rPr>
                <w:sz w:val="11"/>
                <w:szCs w:val="11"/>
                <w:color w:val="auto"/>
              </w:rPr>
            </w:pPr>
          </w:p>
        </w:tc>
      </w:tr>
      <w:tr>
        <w:trPr>
          <w:trHeight w:val="149"/>
        </w:trPr>
        <w:tc>
          <w:tcPr>
            <w:tcW w:w="2980" w:type="dxa"/>
            <w:vAlign w:val="bottom"/>
          </w:tcPr>
          <w:p>
            <w:pPr>
              <w:spacing w:after="0"/>
              <w:rPr>
                <w:sz w:val="12"/>
                <w:szCs w:val="12"/>
                <w:color w:val="auto"/>
              </w:rPr>
            </w:pPr>
          </w:p>
        </w:tc>
        <w:tc>
          <w:tcPr>
            <w:tcW w:w="900" w:type="dxa"/>
            <w:vAlign w:val="bottom"/>
            <w:gridSpan w:val="3"/>
          </w:tcPr>
          <w:p>
            <w:pPr>
              <w:jc w:val="center"/>
              <w:ind w:right="92"/>
              <w:spacing w:after="0" w:line="149" w:lineRule="exact"/>
              <w:rPr>
                <w:sz w:val="20"/>
                <w:szCs w:val="20"/>
                <w:color w:val="auto"/>
              </w:rPr>
            </w:pPr>
            <w:r>
              <w:rPr>
                <w:rFonts w:ascii="Arial" w:cs="Arial" w:eastAsia="Arial" w:hAnsi="Arial"/>
                <w:sz w:val="14"/>
                <w:szCs w:val="14"/>
                <w:b w:val="1"/>
                <w:bCs w:val="1"/>
                <w:color w:val="auto"/>
                <w:w w:val="82"/>
              </w:rPr>
              <w:t>Results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Control</w:t>
            </w:r>
          </w:p>
        </w:tc>
        <w:tc>
          <w:tcPr>
            <w:tcW w:w="88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2"/>
              </w:rPr>
              <w:t>Results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2980" w:type="dxa"/>
            <w:vAlign w:val="bottom"/>
          </w:tcPr>
          <w:p>
            <w:pPr>
              <w:spacing w:after="0"/>
              <w:rPr>
                <w:sz w:val="12"/>
                <w:szCs w:val="12"/>
                <w:color w:val="auto"/>
              </w:rPr>
            </w:pPr>
          </w:p>
        </w:tc>
        <w:tc>
          <w:tcPr>
            <w:tcW w:w="900" w:type="dxa"/>
            <w:vAlign w:val="bottom"/>
            <w:gridSpan w:val="3"/>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Reported</w:t>
            </w:r>
          </w:p>
        </w:tc>
        <w:tc>
          <w:tcPr>
            <w:tcW w:w="88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2980" w:type="dxa"/>
            <w:vAlign w:val="bottom"/>
          </w:tcPr>
          <w:p>
            <w:pPr>
              <w:spacing w:after="0"/>
              <w:rPr>
                <w:sz w:val="14"/>
                <w:szCs w:val="14"/>
                <w:color w:val="auto"/>
              </w:rPr>
            </w:pPr>
          </w:p>
        </w:tc>
        <w:tc>
          <w:tcPr>
            <w:tcW w:w="900" w:type="dxa"/>
            <w:vAlign w:val="bottom"/>
            <w:gridSpan w:val="3"/>
          </w:tcPr>
          <w:p>
            <w:pPr>
              <w:jc w:val="center"/>
              <w:ind w:right="72"/>
              <w:spacing w:after="0"/>
              <w:rPr>
                <w:sz w:val="20"/>
                <w:szCs w:val="20"/>
                <w:color w:val="auto"/>
              </w:rPr>
            </w:pPr>
            <w:r>
              <w:rPr>
                <w:rFonts w:ascii="Arial" w:cs="Arial" w:eastAsia="Arial" w:hAnsi="Arial"/>
                <w:sz w:val="14"/>
                <w:szCs w:val="14"/>
                <w:b w:val="1"/>
                <w:bCs w:val="1"/>
                <w:color w:val="auto"/>
                <w:w w:val="86"/>
              </w:rPr>
              <w:t>to GasLog</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Results</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Results</w:t>
            </w:r>
          </w:p>
        </w:tc>
        <w:tc>
          <w:tcPr>
            <w:tcW w:w="88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6"/>
              </w:rPr>
              <w:t>to GasLog</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Results</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Results</w:t>
            </w:r>
          </w:p>
        </w:tc>
      </w:tr>
      <w:tr>
        <w:trPr>
          <w:trHeight w:val="156"/>
        </w:trPr>
        <w:tc>
          <w:tcPr>
            <w:tcW w:w="2980" w:type="dxa"/>
            <w:vAlign w:val="bottom"/>
          </w:tcPr>
          <w:p>
            <w:pPr>
              <w:spacing w:after="0"/>
              <w:rPr>
                <w:sz w:val="13"/>
                <w:szCs w:val="13"/>
                <w:color w:val="auto"/>
              </w:rPr>
            </w:pPr>
          </w:p>
        </w:tc>
        <w:tc>
          <w:tcPr>
            <w:tcW w:w="7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1"/>
              </w:rPr>
              <w:t>(in thousands of U.S. dollars)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STATEMENT OF PROFIT OR LOSS</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980" w:type="dxa"/>
            <w:vAlign w:val="bottom"/>
          </w:tcPr>
          <w:p>
            <w:pPr>
              <w:ind w:left="260"/>
              <w:spacing w:after="0" w:line="149" w:lineRule="exact"/>
              <w:rPr>
                <w:sz w:val="20"/>
                <w:szCs w:val="20"/>
                <w:color w:val="auto"/>
              </w:rPr>
            </w:pPr>
            <w:r>
              <w:rPr>
                <w:rFonts w:ascii="Arial" w:cs="Arial" w:eastAsia="Arial" w:hAnsi="Arial"/>
                <w:sz w:val="14"/>
                <w:szCs w:val="14"/>
                <w:color w:val="auto"/>
              </w:rPr>
              <w:t>Revenues</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35,941</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150,446</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186,387</w:t>
            </w:r>
          </w:p>
        </w:tc>
        <w:tc>
          <w:tcPr>
            <w:tcW w:w="88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25,071</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192,852</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217,923</w:t>
            </w:r>
          </w:p>
        </w:tc>
      </w:tr>
      <w:tr>
        <w:trPr>
          <w:trHeight w:val="149"/>
        </w:trPr>
        <w:tc>
          <w:tcPr>
            <w:tcW w:w="2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Vessel operating costs</w:t>
            </w:r>
          </w:p>
        </w:tc>
        <w:tc>
          <w:tcPr>
            <w:tcW w:w="90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(6,791)</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(32,634)</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(39,425)</w:t>
            </w:r>
          </w:p>
        </w:tc>
        <w:tc>
          <w:tcPr>
            <w:tcW w:w="88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(4,045)</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(39,523)</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(43,568)</w:t>
            </w:r>
          </w:p>
        </w:tc>
      </w:tr>
      <w:tr>
        <w:trPr>
          <w:trHeight w:val="149"/>
        </w:trPr>
        <w:tc>
          <w:tcPr>
            <w:tcW w:w="2980" w:type="dxa"/>
            <w:vAlign w:val="bottom"/>
          </w:tcPr>
          <w:p>
            <w:pPr>
              <w:ind w:left="260"/>
              <w:spacing w:after="0" w:line="149" w:lineRule="exact"/>
              <w:rPr>
                <w:sz w:val="20"/>
                <w:szCs w:val="20"/>
                <w:color w:val="auto"/>
              </w:rPr>
            </w:pPr>
            <w:r>
              <w:rPr>
                <w:rFonts w:ascii="Arial" w:cs="Arial" w:eastAsia="Arial" w:hAnsi="Arial"/>
                <w:sz w:val="14"/>
                <w:szCs w:val="14"/>
                <w:color w:val="auto"/>
              </w:rPr>
              <w:t>Voyage expenses and commissions</w:t>
            </w:r>
          </w:p>
        </w:tc>
        <w:tc>
          <w:tcPr>
            <w:tcW w:w="90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(495)</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(2,135)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(2,630)</w:t>
            </w:r>
          </w:p>
        </w:tc>
        <w:tc>
          <w:tcPr>
            <w:tcW w:w="8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(313)</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(2,420)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(2,733)</w:t>
            </w:r>
          </w:p>
        </w:tc>
      </w:tr>
      <w:tr>
        <w:trPr>
          <w:trHeight w:val="149"/>
        </w:trPr>
        <w:tc>
          <w:tcPr>
            <w:tcW w:w="2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Depreciation</w:t>
            </w:r>
          </w:p>
        </w:tc>
        <w:tc>
          <w:tcPr>
            <w:tcW w:w="90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(7,348)</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(33,168)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(40,516)</w:t>
            </w:r>
          </w:p>
        </w:tc>
        <w:tc>
          <w:tcPr>
            <w:tcW w:w="88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(4,919)</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(41,408)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(46,327)</w:t>
            </w:r>
          </w:p>
        </w:tc>
      </w:tr>
      <w:tr>
        <w:trPr>
          <w:trHeight w:val="149"/>
        </w:trPr>
        <w:tc>
          <w:tcPr>
            <w:tcW w:w="2980" w:type="dxa"/>
            <w:vAlign w:val="bottom"/>
          </w:tcPr>
          <w:p>
            <w:pPr>
              <w:ind w:left="260"/>
              <w:spacing w:after="0" w:line="149" w:lineRule="exact"/>
              <w:rPr>
                <w:sz w:val="20"/>
                <w:szCs w:val="20"/>
                <w:color w:val="auto"/>
              </w:rPr>
            </w:pPr>
            <w:r>
              <w:rPr>
                <w:rFonts w:ascii="Arial" w:cs="Arial" w:eastAsia="Arial" w:hAnsi="Arial"/>
                <w:sz w:val="14"/>
                <w:szCs w:val="14"/>
                <w:color w:val="auto"/>
              </w:rPr>
              <w:t>General and administrative expenses</w:t>
            </w:r>
          </w:p>
        </w:tc>
        <w:tc>
          <w:tcPr>
            <w:tcW w:w="90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(801)</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(8,426)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(9,227)</w:t>
            </w:r>
          </w:p>
        </w:tc>
        <w:tc>
          <w:tcPr>
            <w:tcW w:w="8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(336)</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(10,134)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(10,470)</w:t>
            </w:r>
          </w:p>
        </w:tc>
      </w:tr>
      <w:tr>
        <w:trPr>
          <w:trHeight w:val="20"/>
        </w:trPr>
        <w:tc>
          <w:tcPr>
            <w:tcW w:w="2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98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20,506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74,083</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94,589</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15,458</w:t>
            </w:r>
          </w:p>
        </w:tc>
        <w:tc>
          <w:tcPr>
            <w:tcW w:w="9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99,367</w:t>
            </w:r>
          </w:p>
        </w:tc>
        <w:tc>
          <w:tcPr>
            <w:tcW w:w="10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114,825</w:t>
            </w:r>
          </w:p>
        </w:tc>
      </w:tr>
      <w:tr>
        <w:trPr>
          <w:trHeight w:val="142"/>
        </w:trPr>
        <w:tc>
          <w:tcPr>
            <w:tcW w:w="2980" w:type="dxa"/>
            <w:vAlign w:val="bottom"/>
          </w:tcPr>
          <w:p>
            <w:pPr>
              <w:ind w:left="260"/>
              <w:spacing w:after="0" w:line="142" w:lineRule="exact"/>
              <w:rPr>
                <w:sz w:val="20"/>
                <w:szCs w:val="20"/>
                <w:color w:val="auto"/>
              </w:rPr>
            </w:pPr>
            <w:r>
              <w:rPr>
                <w:rFonts w:ascii="Arial" w:cs="Arial" w:eastAsia="Arial" w:hAnsi="Arial"/>
                <w:sz w:val="14"/>
                <w:szCs w:val="14"/>
                <w:color w:val="auto"/>
              </w:rPr>
              <w:t>Financial costs</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(8,396)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(21,766)</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(30,162)</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(4,739)</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(31,359)</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(36,098)</w:t>
            </w:r>
          </w:p>
        </w:tc>
        <w:tc>
          <w:tcPr>
            <w:tcW w:w="160" w:type="dxa"/>
            <w:vAlign w:val="bottom"/>
          </w:tcPr>
          <w:p>
            <w:pPr>
              <w:spacing w:after="0"/>
              <w:rPr>
                <w:sz w:val="12"/>
                <w:szCs w:val="12"/>
                <w:color w:val="auto"/>
              </w:rPr>
            </w:pPr>
          </w:p>
        </w:tc>
      </w:tr>
      <w:tr>
        <w:trPr>
          <w:trHeight w:val="149"/>
        </w:trPr>
        <w:tc>
          <w:tcPr>
            <w:tcW w:w="2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Financial income</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131</w:t>
            </w:r>
          </w:p>
        </w:tc>
        <w:tc>
          <w:tcPr>
            <w:tcW w:w="88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656</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669</w:t>
            </w:r>
          </w:p>
        </w:tc>
      </w:tr>
      <w:tr>
        <w:trPr>
          <w:trHeight w:val="149"/>
        </w:trPr>
        <w:tc>
          <w:tcPr>
            <w:tcW w:w="2980" w:type="dxa"/>
            <w:vAlign w:val="bottom"/>
          </w:tcPr>
          <w:p>
            <w:pPr>
              <w:ind w:left="260"/>
              <w:spacing w:after="0" w:line="149" w:lineRule="exact"/>
              <w:rPr>
                <w:sz w:val="20"/>
                <w:szCs w:val="20"/>
                <w:color w:val="auto"/>
              </w:rPr>
            </w:pPr>
            <w:r>
              <w:rPr>
                <w:rFonts w:ascii="Arial" w:cs="Arial" w:eastAsia="Arial" w:hAnsi="Arial"/>
                <w:sz w:val="14"/>
                <w:szCs w:val="14"/>
                <w:color w:val="auto"/>
              </w:rPr>
              <w:t>Loss on interest rate swaps</w:t>
            </w:r>
          </w:p>
        </w:tc>
        <w:tc>
          <w:tcPr>
            <w:tcW w:w="90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(6,136)</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(6,136)</w:t>
            </w:r>
          </w:p>
        </w:tc>
        <w:tc>
          <w:tcPr>
            <w:tcW w:w="88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(2,985)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(2,985)</w:t>
            </w:r>
          </w:p>
        </w:tc>
      </w:tr>
      <w:tr>
        <w:trPr>
          <w:trHeight w:val="20"/>
        </w:trPr>
        <w:tc>
          <w:tcPr>
            <w:tcW w:w="2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98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900" w:type="dxa"/>
            <w:vAlign w:val="bottom"/>
            <w:gridSpan w:val="3"/>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(14,527)</w:t>
            </w:r>
          </w:p>
        </w:tc>
        <w:tc>
          <w:tcPr>
            <w:tcW w:w="9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(21,640)</w:t>
            </w: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(36,167)</w:t>
            </w:r>
          </w:p>
        </w:tc>
        <w:tc>
          <w:tcPr>
            <w:tcW w:w="88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(4,726)</w:t>
            </w:r>
          </w:p>
        </w:tc>
        <w:tc>
          <w:tcPr>
            <w:tcW w:w="9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(33,688)</w:t>
            </w: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(38,414)</w:t>
            </w:r>
          </w:p>
        </w:tc>
      </w:tr>
      <w:tr>
        <w:trPr>
          <w:trHeight w:val="142"/>
        </w:trPr>
        <w:tc>
          <w:tcPr>
            <w:tcW w:w="298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Profit for the period</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5,979</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52,443</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58,422</w:t>
            </w: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10,732</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65,679</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76,411</w:t>
            </w:r>
          </w:p>
        </w:tc>
        <w:tc>
          <w:tcPr>
            <w:tcW w:w="160" w:type="dxa"/>
            <w:vAlign w:val="bottom"/>
          </w:tcPr>
          <w:p>
            <w:pPr>
              <w:spacing w:after="0"/>
              <w:rPr>
                <w:sz w:val="12"/>
                <w:szCs w:val="12"/>
                <w:color w:val="auto"/>
              </w:rPr>
            </w:pPr>
          </w:p>
        </w:tc>
      </w:tr>
      <w:tr>
        <w:trPr>
          <w:trHeight w:val="20"/>
        </w:trPr>
        <w:tc>
          <w:tcPr>
            <w:tcW w:w="2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EBITDA</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2"/>
          <w:szCs w:val="12"/>
          <w:color w:val="auto"/>
        </w:rPr>
        <w:t>EBITDA is defined as earnings before interest income and expense, gain/loss on interest rate swaps, taxes, depreciation and amortization. EBITDA, which is a non-GAAP financial measure, is</w:t>
      </w:r>
    </w:p>
    <w:p>
      <w:pPr>
        <w:spacing w:after="0" w:line="38" w:lineRule="exact"/>
        <w:rPr>
          <w:sz w:val="20"/>
          <w:szCs w:val="20"/>
          <w:color w:val="auto"/>
        </w:rPr>
      </w:pPr>
    </w:p>
    <w:p>
      <w:pPr>
        <w:ind w:left="240"/>
        <w:spacing w:after="0" w:line="265" w:lineRule="auto"/>
        <w:rPr>
          <w:sz w:val="20"/>
          <w:szCs w:val="20"/>
          <w:color w:val="auto"/>
        </w:rPr>
      </w:pPr>
      <w:r>
        <w:rPr>
          <w:rFonts w:ascii="Arial" w:cs="Arial" w:eastAsia="Arial" w:hAnsi="Arial"/>
          <w:sz w:val="12"/>
          <w:szCs w:val="12"/>
          <w:color w:val="auto"/>
        </w:rPr>
        <w:t>used as a supplemental financial measure by management and external users of financial statements, such as investors, to assess our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w:t>
      </w:r>
    </w:p>
    <w:p>
      <w:pPr>
        <w:spacing w:after="0" w:line="1" w:lineRule="exact"/>
        <w:rPr>
          <w:sz w:val="20"/>
          <w:szCs w:val="20"/>
          <w:color w:val="auto"/>
        </w:rPr>
      </w:pPr>
    </w:p>
    <w:p>
      <w:pPr>
        <w:ind w:left="240" w:right="80" w:firstLine="2"/>
        <w:spacing w:after="0" w:line="277" w:lineRule="auto"/>
        <w:tabs>
          <w:tab w:leader="none" w:pos="476" w:val="left"/>
        </w:tabs>
        <w:numPr>
          <w:ilvl w:val="0"/>
          <w:numId w:val="13"/>
        </w:numPr>
        <w:rPr>
          <w:rFonts w:ascii="Arial" w:cs="Arial" w:eastAsia="Arial" w:hAnsi="Arial"/>
          <w:sz w:val="12"/>
          <w:szCs w:val="12"/>
          <w:color w:val="auto"/>
        </w:rPr>
      </w:pPr>
      <w:r>
        <w:rPr>
          <w:rFonts w:ascii="Arial" w:cs="Arial" w:eastAsia="Arial" w:hAnsi="Arial"/>
          <w:sz w:val="12"/>
          <w:szCs w:val="12"/>
          <w:color w:val="auto"/>
        </w:rPr>
        <w:t>monitoring our ongoing financial and operational strength in assessing whether to purchase and/or to continue to hold our common units. This increased comparability is achieved by excluding the potentially disparate effects between periods of financial costs, gain/losses on interest rate swaps,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EBITDA has limitations as an analytical tool and should not be considered as an alternative to, or as a substitute for, or superior to profit, profit from operations, earnings per unit or any other</w:t>
      </w:r>
    </w:p>
    <w:p>
      <w:pPr>
        <w:spacing w:after="0" w:line="38" w:lineRule="exact"/>
        <w:rPr>
          <w:sz w:val="20"/>
          <w:szCs w:val="20"/>
          <w:color w:val="auto"/>
        </w:rPr>
      </w:pPr>
    </w:p>
    <w:p>
      <w:pPr>
        <w:jc w:val="both"/>
        <w:ind w:left="240" w:right="280"/>
        <w:spacing w:after="0" w:line="230" w:lineRule="auto"/>
        <w:rPr>
          <w:sz w:val="20"/>
          <w:szCs w:val="20"/>
          <w:color w:val="auto"/>
        </w:rPr>
      </w:pPr>
      <w:r>
        <w:rPr>
          <w:rFonts w:ascii="Arial" w:cs="Arial" w:eastAsia="Arial" w:hAnsi="Arial"/>
          <w:sz w:val="14"/>
          <w:szCs w:val="14"/>
          <w:color w:val="auto"/>
        </w:rPr>
        <w:t>measure of operating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w:t>
      </w:r>
    </w:p>
    <w:p>
      <w:pPr>
        <w:spacing w:after="0" w:line="234" w:lineRule="exact"/>
        <w:rPr>
          <w:sz w:val="20"/>
          <w:szCs w:val="20"/>
          <w:color w:val="auto"/>
        </w:rPr>
      </w:pPr>
    </w:p>
    <w:p>
      <w:pPr>
        <w:ind w:left="240" w:right="400" w:firstLine="351"/>
        <w:spacing w:after="0" w:line="365" w:lineRule="auto"/>
        <w:rPr>
          <w:sz w:val="20"/>
          <w:szCs w:val="20"/>
          <w:color w:val="auto"/>
        </w:rPr>
      </w:pPr>
      <w:r>
        <w:rPr>
          <w:rFonts w:ascii="Arial" w:cs="Arial" w:eastAsia="Arial" w:hAnsi="Arial"/>
          <w:sz w:val="12"/>
          <w:szCs w:val="12"/>
          <w:color w:val="auto"/>
        </w:rPr>
        <w:t>EBITDA excludes some, but not all, items that affect profit/(loss)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61" w:lineRule="exact"/>
        <w:rPr>
          <w:sz w:val="20"/>
          <w:szCs w:val="20"/>
          <w:color w:val="auto"/>
        </w:rPr>
      </w:pPr>
    </w:p>
    <w:p>
      <w:pPr>
        <w:ind w:left="240" w:right="180" w:firstLine="351"/>
        <w:spacing w:after="0" w:line="365" w:lineRule="auto"/>
        <w:rPr>
          <w:sz w:val="20"/>
          <w:szCs w:val="20"/>
          <w:color w:val="auto"/>
        </w:rPr>
      </w:pPr>
      <w:r>
        <w:rPr>
          <w:rFonts w:ascii="Arial" w:cs="Arial" w:eastAsia="Arial" w:hAnsi="Arial"/>
          <w:sz w:val="12"/>
          <w:szCs w:val="12"/>
          <w:color w:val="auto"/>
        </w:rPr>
        <w:t>EBITDA is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 below.</w:t>
      </w:r>
    </w:p>
    <w:p>
      <w:pPr>
        <w:spacing w:after="0" w:line="118"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Reconciliation of Profit to EBITDA:</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65"/>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IFRS Common Control Reported Results: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9"/>
        </w:trPr>
        <w:tc>
          <w:tcPr>
            <w:tcW w:w="1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24"/>
                <w:szCs w:val="2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1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left="393"/>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left="373"/>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7"/>
          </w:tcPr>
          <w:p>
            <w:pPr>
              <w:jc w:val="center"/>
              <w:ind w:left="312"/>
              <w:spacing w:after="0"/>
              <w:rPr>
                <w:sz w:val="20"/>
                <w:szCs w:val="20"/>
                <w:color w:val="auto"/>
              </w:rPr>
            </w:pPr>
            <w:r>
              <w:rPr>
                <w:rFonts w:ascii="Arial" w:cs="Arial" w:eastAsia="Arial" w:hAnsi="Arial"/>
                <w:sz w:val="14"/>
                <w:szCs w:val="14"/>
                <w:b w:val="1"/>
                <w:bCs w:val="1"/>
                <w:color w:val="auto"/>
                <w:w w:val="87"/>
              </w:rPr>
              <w:t>Year Ended December 31,</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September 30,</w:t>
            </w:r>
          </w:p>
        </w:tc>
        <w:tc>
          <w:tcPr>
            <w:tcW w:w="60" w:type="dxa"/>
            <w:vAlign w:val="bottom"/>
          </w:tcPr>
          <w:p>
            <w:pPr>
              <w:spacing w:after="0"/>
              <w:rPr>
                <w:sz w:val="14"/>
                <w:szCs w:val="1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56"/>
        </w:trPr>
        <w:tc>
          <w:tcPr>
            <w:tcW w:w="1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76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76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1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6"/>
          </w:tcPr>
          <w:p>
            <w:pPr>
              <w:jc w:val="right"/>
              <w:spacing w:after="0"/>
              <w:rPr>
                <w:sz w:val="20"/>
                <w:szCs w:val="20"/>
                <w:color w:val="auto"/>
              </w:rPr>
            </w:pPr>
            <w:r>
              <w:rPr>
                <w:rFonts w:ascii="Arial" w:cs="Arial" w:eastAsia="Arial" w:hAnsi="Arial"/>
                <w:sz w:val="14"/>
                <w:szCs w:val="14"/>
                <w:b w:val="1"/>
                <w:bCs w:val="1"/>
                <w:color w:val="auto"/>
                <w:w w:val="88"/>
              </w:rPr>
              <w:t>(in thousands of U.S. dollars)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1100" w:type="dxa"/>
            <w:vAlign w:val="bottom"/>
          </w:tcPr>
          <w:p>
            <w:pPr>
              <w:spacing w:after="0"/>
              <w:rPr>
                <w:sz w:val="12"/>
                <w:szCs w:val="12"/>
                <w:color w:val="auto"/>
              </w:rPr>
            </w:pPr>
          </w:p>
        </w:tc>
        <w:tc>
          <w:tcPr>
            <w:tcW w:w="26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Profit</w:t>
            </w:r>
          </w:p>
        </w:tc>
        <w:tc>
          <w:tcPr>
            <w:tcW w:w="160" w:type="dxa"/>
            <w:vAlign w:val="bottom"/>
            <w:shd w:val="clear" w:color="auto" w:fill="CCEEFF"/>
          </w:tcPr>
          <w:p>
            <w:pPr>
              <w:jc w:val="right"/>
              <w:ind w:right="16"/>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49,028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6"/>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77,623</w:t>
            </w:r>
          </w:p>
        </w:tc>
        <w:tc>
          <w:tcPr>
            <w:tcW w:w="240" w:type="dxa"/>
            <w:vAlign w:val="bottom"/>
            <w:shd w:val="clear" w:color="auto" w:fill="CCEEFF"/>
          </w:tcPr>
          <w:p>
            <w:pPr>
              <w:jc w:val="right"/>
              <w:ind w:right="96"/>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90,462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20,038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25,374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58,422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76,411</w:t>
            </w:r>
          </w:p>
        </w:tc>
      </w:tr>
      <w:tr>
        <w:trPr>
          <w:trHeight w:val="149"/>
        </w:trPr>
        <w:tc>
          <w:tcPr>
            <w:tcW w:w="1100" w:type="dxa"/>
            <w:vAlign w:val="bottom"/>
          </w:tcPr>
          <w:p>
            <w:pPr>
              <w:spacing w:after="0"/>
              <w:rPr>
                <w:sz w:val="12"/>
                <w:szCs w:val="12"/>
                <w:color w:val="auto"/>
              </w:rPr>
            </w:pPr>
          </w:p>
        </w:tc>
        <w:tc>
          <w:tcPr>
            <w:tcW w:w="2620" w:type="dxa"/>
            <w:vAlign w:val="bottom"/>
          </w:tcPr>
          <w:p>
            <w:pPr>
              <w:ind w:left="260"/>
              <w:spacing w:after="0" w:line="149" w:lineRule="exact"/>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39,569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49,971</w:t>
            </w:r>
          </w:p>
        </w:tc>
        <w:tc>
          <w:tcPr>
            <w:tcW w:w="2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56,023</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14,076</w:t>
            </w:r>
          </w:p>
        </w:tc>
        <w:tc>
          <w:tcPr>
            <w:tcW w:w="12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15,611</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40,516</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46,327</w:t>
            </w:r>
          </w:p>
        </w:tc>
      </w:tr>
      <w:tr>
        <w:trPr>
          <w:trHeight w:val="149"/>
        </w:trPr>
        <w:tc>
          <w:tcPr>
            <w:tcW w:w="1100" w:type="dxa"/>
            <w:vAlign w:val="bottom"/>
          </w:tcPr>
          <w:p>
            <w:pPr>
              <w:spacing w:after="0"/>
              <w:rPr>
                <w:sz w:val="12"/>
                <w:szCs w:val="12"/>
                <w:color w:val="auto"/>
              </w:rPr>
            </w:pPr>
          </w:p>
        </w:tc>
        <w:tc>
          <w:tcPr>
            <w:tcW w:w="26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Financial costs</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37,725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31,212</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41,796</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12,249</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12,319</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30,162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36,098</w:t>
            </w:r>
          </w:p>
        </w:tc>
      </w:tr>
      <w:tr>
        <w:trPr>
          <w:trHeight w:val="149"/>
        </w:trPr>
        <w:tc>
          <w:tcPr>
            <w:tcW w:w="1100" w:type="dxa"/>
            <w:vAlign w:val="bottom"/>
          </w:tcPr>
          <w:p>
            <w:pPr>
              <w:spacing w:after="0"/>
              <w:rPr>
                <w:sz w:val="12"/>
                <w:szCs w:val="12"/>
                <w:color w:val="auto"/>
              </w:rPr>
            </w:pPr>
          </w:p>
        </w:tc>
        <w:tc>
          <w:tcPr>
            <w:tcW w:w="2620" w:type="dxa"/>
            <w:vAlign w:val="bottom"/>
          </w:tcPr>
          <w:p>
            <w:pPr>
              <w:ind w:left="260"/>
              <w:spacing w:after="0" w:line="149" w:lineRule="exact"/>
              <w:rPr>
                <w:sz w:val="20"/>
                <w:szCs w:val="20"/>
                <w:color w:val="auto"/>
              </w:rPr>
            </w:pPr>
            <w:r>
              <w:rPr>
                <w:rFonts w:ascii="Arial" w:cs="Arial" w:eastAsia="Arial" w:hAnsi="Arial"/>
                <w:sz w:val="14"/>
                <w:szCs w:val="14"/>
                <w:color w:val="auto"/>
              </w:rPr>
              <w:t>Financial income</w:t>
            </w:r>
          </w:p>
        </w:tc>
        <w:tc>
          <w:tcPr>
            <w:tcW w:w="16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(311)</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(669)</w:t>
            </w:r>
          </w:p>
        </w:tc>
      </w:tr>
      <w:tr>
        <w:trPr>
          <w:trHeight w:val="149"/>
        </w:trPr>
        <w:tc>
          <w:tcPr>
            <w:tcW w:w="1100" w:type="dxa"/>
            <w:vAlign w:val="bottom"/>
          </w:tcPr>
          <w:p>
            <w:pPr>
              <w:spacing w:after="0"/>
              <w:rPr>
                <w:sz w:val="12"/>
                <w:szCs w:val="12"/>
                <w:color w:val="auto"/>
              </w:rPr>
            </w:pPr>
          </w:p>
        </w:tc>
        <w:tc>
          <w:tcPr>
            <w:tcW w:w="26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Loss on interest rate swaps</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12,903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3,144</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2,513</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2,244</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672</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6,136</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2,985</w:t>
            </w:r>
          </w:p>
        </w:tc>
      </w:tr>
      <w:tr>
        <w:trPr>
          <w:trHeight w:val="142"/>
        </w:trPr>
        <w:tc>
          <w:tcPr>
            <w:tcW w:w="1100" w:type="dxa"/>
            <w:vAlign w:val="bottom"/>
          </w:tcPr>
          <w:p>
            <w:pPr>
              <w:spacing w:after="0"/>
              <w:rPr>
                <w:sz w:val="12"/>
                <w:szCs w:val="12"/>
                <w:color w:val="auto"/>
              </w:rPr>
            </w:pPr>
          </w:p>
        </w:tc>
        <w:tc>
          <w:tcPr>
            <w:tcW w:w="262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EBITDA</w:t>
            </w:r>
          </w:p>
        </w:tc>
        <w:tc>
          <w:tcPr>
            <w:tcW w:w="1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139,176</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161,921</w:t>
            </w:r>
          </w:p>
        </w:tc>
        <w:tc>
          <w:tcPr>
            <w:tcW w:w="1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190,603</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48,518</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53,665</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135,105</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161,152</w:t>
            </w:r>
          </w:p>
        </w:tc>
        <w:tc>
          <w:tcPr>
            <w:tcW w:w="16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156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7156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Partnership Performance Results: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39"/>
        </w:trPr>
        <w:tc>
          <w:tcPr>
            <w:tcW w:w="1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24"/>
                <w:szCs w:val="2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1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252"/>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left="312"/>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Pr>
          <w:p>
            <w:pPr>
              <w:spacing w:after="0"/>
              <w:rPr>
                <w:sz w:val="14"/>
                <w:szCs w:val="14"/>
                <w:color w:val="auto"/>
              </w:rPr>
            </w:pPr>
          </w:p>
        </w:tc>
        <w:tc>
          <w:tcPr>
            <w:tcW w:w="1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1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8"/>
          </w:tcPr>
          <w:p>
            <w:pPr>
              <w:jc w:val="right"/>
              <w:ind w:right="300"/>
              <w:spacing w:after="0" w:line="142" w:lineRule="exact"/>
              <w:rPr>
                <w:sz w:val="20"/>
                <w:szCs w:val="20"/>
                <w:color w:val="auto"/>
              </w:rPr>
            </w:pPr>
            <w:r>
              <w:rPr>
                <w:rFonts w:ascii="Arial" w:cs="Arial" w:eastAsia="Arial" w:hAnsi="Arial"/>
                <w:sz w:val="14"/>
                <w:szCs w:val="14"/>
                <w:b w:val="1"/>
                <w:bCs w:val="1"/>
                <w:color w:val="auto"/>
                <w:w w:val="90"/>
              </w:rPr>
              <w:t>(in thousands of U.S. dollars)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1100" w:type="dxa"/>
            <w:vAlign w:val="bottom"/>
          </w:tcPr>
          <w:p>
            <w:pPr>
              <w:spacing w:after="0"/>
              <w:rPr>
                <w:sz w:val="12"/>
                <w:szCs w:val="12"/>
                <w:color w:val="auto"/>
              </w:rPr>
            </w:pPr>
          </w:p>
        </w:tc>
        <w:tc>
          <w:tcPr>
            <w:tcW w:w="35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Profit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14,544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65,040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77,270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18,869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25,299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52,443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65,679</w:t>
            </w:r>
          </w:p>
        </w:tc>
      </w:tr>
      <w:tr>
        <w:trPr>
          <w:trHeight w:val="149"/>
        </w:trPr>
        <w:tc>
          <w:tcPr>
            <w:tcW w:w="1100" w:type="dxa"/>
            <w:vAlign w:val="bottom"/>
          </w:tcPr>
          <w:p>
            <w:pPr>
              <w:spacing w:after="0"/>
              <w:rPr>
                <w:sz w:val="12"/>
                <w:szCs w:val="12"/>
                <w:color w:val="auto"/>
              </w:rPr>
            </w:pPr>
          </w:p>
        </w:tc>
        <w:tc>
          <w:tcPr>
            <w:tcW w:w="3540" w:type="dxa"/>
            <w:vAlign w:val="bottom"/>
          </w:tcPr>
          <w:p>
            <w:pPr>
              <w:ind w:left="260"/>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13,352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35,981</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45,230</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11,116</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15,580</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33,168</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41,408</w:t>
            </w:r>
          </w:p>
        </w:tc>
      </w:tr>
      <w:tr>
        <w:trPr>
          <w:trHeight w:val="149"/>
        </w:trPr>
        <w:tc>
          <w:tcPr>
            <w:tcW w:w="1100" w:type="dxa"/>
            <w:vAlign w:val="bottom"/>
          </w:tcPr>
          <w:p>
            <w:pPr>
              <w:spacing w:after="0"/>
              <w:rPr>
                <w:sz w:val="12"/>
                <w:szCs w:val="12"/>
                <w:color w:val="auto"/>
              </w:rPr>
            </w:pPr>
          </w:p>
        </w:tc>
        <w:tc>
          <w:tcPr>
            <w:tcW w:w="35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Financial costs</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15,206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21,789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30,187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7,333</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12,289</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21,766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31,359</w:t>
            </w:r>
          </w:p>
        </w:tc>
      </w:tr>
      <w:tr>
        <w:trPr>
          <w:trHeight w:val="149"/>
        </w:trPr>
        <w:tc>
          <w:tcPr>
            <w:tcW w:w="1100" w:type="dxa"/>
            <w:vAlign w:val="bottom"/>
          </w:tcPr>
          <w:p>
            <w:pPr>
              <w:spacing w:after="0"/>
              <w:rPr>
                <w:sz w:val="12"/>
                <w:szCs w:val="12"/>
                <w:color w:val="auto"/>
              </w:rPr>
            </w:pPr>
          </w:p>
        </w:tc>
        <w:tc>
          <w:tcPr>
            <w:tcW w:w="3540" w:type="dxa"/>
            <w:vAlign w:val="bottom"/>
          </w:tcPr>
          <w:p>
            <w:pPr>
              <w:ind w:left="260"/>
              <w:spacing w:after="0" w:line="149" w:lineRule="exact"/>
              <w:rPr>
                <w:sz w:val="20"/>
                <w:szCs w:val="20"/>
                <w:color w:val="auto"/>
              </w:rPr>
            </w:pPr>
            <w:r>
              <w:rPr>
                <w:rFonts w:ascii="Arial" w:cs="Arial" w:eastAsia="Arial" w:hAnsi="Arial"/>
                <w:sz w:val="14"/>
                <w:szCs w:val="14"/>
                <w:color w:val="auto"/>
              </w:rPr>
              <w:t>Financial income</w:t>
            </w:r>
          </w:p>
        </w:tc>
        <w:tc>
          <w:tcPr>
            <w:tcW w:w="100" w:type="dxa"/>
            <w:vAlign w:val="bottom"/>
          </w:tcPr>
          <w:p>
            <w:pPr>
              <w:spacing w:after="0"/>
              <w:rPr>
                <w:sz w:val="12"/>
                <w:szCs w:val="12"/>
                <w:color w:val="auto"/>
              </w:rPr>
            </w:pPr>
          </w:p>
        </w:tc>
        <w:tc>
          <w:tcPr>
            <w:tcW w:w="6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(179)</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w:t>
            </w: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(311)</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(656)</w:t>
            </w:r>
          </w:p>
        </w:tc>
      </w:tr>
      <w:tr>
        <w:trPr>
          <w:trHeight w:val="149"/>
        </w:trPr>
        <w:tc>
          <w:tcPr>
            <w:tcW w:w="1100" w:type="dxa"/>
            <w:vAlign w:val="bottom"/>
          </w:tcPr>
          <w:p>
            <w:pPr>
              <w:spacing w:after="0"/>
              <w:rPr>
                <w:sz w:val="12"/>
                <w:szCs w:val="12"/>
                <w:color w:val="auto"/>
              </w:rPr>
            </w:pPr>
          </w:p>
        </w:tc>
        <w:tc>
          <w:tcPr>
            <w:tcW w:w="35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Loss/(gain) on interest rate swaps</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5,218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(3,623)</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2,985</w:t>
            </w:r>
          </w:p>
        </w:tc>
      </w:tr>
      <w:tr>
        <w:trPr>
          <w:trHeight w:val="142"/>
        </w:trPr>
        <w:tc>
          <w:tcPr>
            <w:tcW w:w="1100" w:type="dxa"/>
            <w:vAlign w:val="bottom"/>
          </w:tcPr>
          <w:p>
            <w:pPr>
              <w:spacing w:after="0"/>
              <w:rPr>
                <w:sz w:val="12"/>
                <w:szCs w:val="12"/>
                <w:color w:val="auto"/>
              </w:rPr>
            </w:pPr>
          </w:p>
        </w:tc>
        <w:tc>
          <w:tcPr>
            <w:tcW w:w="354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EBITDA</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48,297</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122,786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2"/>
              </w:rPr>
              <w:t>148,885</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37,234</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53,529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107,251</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140,775</w:t>
            </w:r>
          </w:p>
        </w:tc>
        <w:tc>
          <w:tcPr>
            <w:tcW w:w="16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Distributable Cash Flow</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2"/>
          <w:szCs w:val="12"/>
          <w:color w:val="auto"/>
        </w:rPr>
        <w:t>Distributable cash flow means EBITDA, on the basis of the Partnership Performance Results, after considering financial costs for the period, including realized loss on interest rate swaps and</w:t>
      </w:r>
    </w:p>
    <w:p>
      <w:pPr>
        <w:spacing w:after="0" w:line="38" w:lineRule="exact"/>
        <w:rPr>
          <w:sz w:val="20"/>
          <w:szCs w:val="20"/>
          <w:color w:val="auto"/>
        </w:rPr>
      </w:pPr>
    </w:p>
    <w:p>
      <w:pPr>
        <w:ind w:left="240"/>
        <w:spacing w:after="0" w:line="278" w:lineRule="auto"/>
        <w:rPr>
          <w:sz w:val="20"/>
          <w:szCs w:val="20"/>
          <w:color w:val="auto"/>
        </w:rPr>
      </w:pPr>
      <w:r>
        <w:rPr>
          <w:rFonts w:ascii="Arial" w:cs="Arial" w:eastAsia="Arial" w:hAnsi="Arial"/>
          <w:sz w:val="12"/>
          <w:szCs w:val="12"/>
          <w:color w:val="auto"/>
        </w:rPr>
        <w:t>excluding amortization of loan fees, estimated dry-docking and replacement capital reserves established by the Partnership and accrued dividends on preference units, whether or not declared. Estimated dry-docking and replacement capital reserves represent capital expenditures required to renew and maintain over the long-term the operating capacity of, or the revenue generated by, our capital assets. Distributable cash flow, which is a non-GAAP financial measure, is a quantitative standard used by investors in publicly-traded partnerships to assess their ability to make quarterly cash distributions. Our calculation of Distributable cash flow may not be comparable to that reported by other companies.</w:t>
      </w:r>
    </w:p>
    <w:p>
      <w:pPr>
        <w:spacing w:after="0" w:line="211" w:lineRule="exact"/>
        <w:rPr>
          <w:sz w:val="20"/>
          <w:szCs w:val="20"/>
          <w:color w:val="auto"/>
        </w:rPr>
      </w:pPr>
    </w:p>
    <w:p>
      <w:pPr>
        <w:ind w:left="240" w:right="80" w:firstLine="351"/>
        <w:spacing w:after="0" w:line="278" w:lineRule="auto"/>
        <w:rPr>
          <w:sz w:val="20"/>
          <w:szCs w:val="20"/>
          <w:color w:val="auto"/>
        </w:rPr>
      </w:pPr>
      <w:r>
        <w:rPr>
          <w:rFonts w:ascii="Arial" w:cs="Arial" w:eastAsia="Arial" w:hAnsi="Arial"/>
          <w:sz w:val="14"/>
          <w:szCs w:val="14"/>
          <w:color w:val="auto"/>
        </w:rPr>
        <w:t>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table below reconciles Distributable cash flow and Cash distributions declared to EBITDA (Partnership Performance Results).</w:t>
      </w:r>
    </w:p>
    <w:p>
      <w:pPr>
        <w:spacing w:after="0" w:line="229"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Reconciliation of EBITDA to Distributable Cash Flow*:</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52"/>
        </w:trPr>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w w:val="88"/>
              </w:rPr>
              <w:t>Partnership Performance Results</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0" w:type="dxa"/>
            <w:vAlign w:val="bottom"/>
          </w:tcPr>
          <w:p>
            <w:pPr>
              <w:spacing w:after="0"/>
              <w:rPr>
                <w:sz w:val="11"/>
                <w:szCs w:val="11"/>
                <w:color w:val="auto"/>
              </w:rPr>
            </w:pPr>
          </w:p>
        </w:tc>
        <w:tc>
          <w:tcPr>
            <w:tcW w:w="1200" w:type="dxa"/>
            <w:vAlign w:val="bottom"/>
            <w:gridSpan w:val="4"/>
          </w:tcPr>
          <w:p>
            <w:pPr>
              <w:jc w:val="center"/>
              <w:ind w:right="12"/>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60" w:type="dxa"/>
            <w:vAlign w:val="bottom"/>
          </w:tcPr>
          <w:p>
            <w:pPr>
              <w:spacing w:after="0"/>
              <w:rPr>
                <w:sz w:val="11"/>
                <w:szCs w:val="11"/>
                <w:color w:val="auto"/>
              </w:rPr>
            </w:pPr>
          </w:p>
        </w:tc>
      </w:tr>
      <w:tr>
        <w:trPr>
          <w:trHeight w:val="149"/>
        </w:trPr>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left="352"/>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84"/>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2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9"/>
              </w:rPr>
              <w:t>Year Ended December 31,</w:t>
            </w:r>
          </w:p>
        </w:tc>
        <w:tc>
          <w:tcPr>
            <w:tcW w:w="13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1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2017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142"/>
        </w:trPr>
        <w:tc>
          <w:tcPr>
            <w:tcW w:w="1100" w:type="dxa"/>
            <w:vAlign w:val="bottom"/>
          </w:tcPr>
          <w:p>
            <w:pPr>
              <w:spacing w:after="0"/>
              <w:rPr>
                <w:sz w:val="12"/>
                <w:szCs w:val="12"/>
                <w:color w:val="auto"/>
              </w:rPr>
            </w:pPr>
          </w:p>
        </w:tc>
        <w:tc>
          <w:tcPr>
            <w:tcW w:w="3820" w:type="dxa"/>
            <w:vAlign w:val="bottom"/>
            <w:gridSpan w:val="3"/>
            <w:shd w:val="clear" w:color="auto" w:fill="CCEEFF"/>
          </w:tcPr>
          <w:p>
            <w:pPr>
              <w:ind w:left="260"/>
              <w:spacing w:after="0" w:line="142" w:lineRule="exact"/>
              <w:rPr>
                <w:sz w:val="20"/>
                <w:szCs w:val="20"/>
                <w:color w:val="auto"/>
              </w:rPr>
            </w:pPr>
            <w:r>
              <w:rPr>
                <w:rFonts w:ascii="Arial" w:cs="Arial" w:eastAsia="Arial" w:hAnsi="Arial"/>
                <w:sz w:val="14"/>
                <w:szCs w:val="14"/>
                <w:color w:val="auto"/>
              </w:rPr>
              <w:t>EBITDA (Partnership Performance Results)*</w:t>
            </w: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$ 48,297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6"/>
              </w:rPr>
              <w:t>122,786</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0"/>
              </w:rPr>
              <w:t>148,885</w:t>
            </w:r>
          </w:p>
        </w:tc>
        <w:tc>
          <w:tcPr>
            <w:tcW w:w="6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1"/>
              </w:rPr>
              <w:t>$ 37,234</w:t>
            </w:r>
          </w:p>
        </w:tc>
        <w:tc>
          <w:tcPr>
            <w:tcW w:w="1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8"/>
              </w:rPr>
              <w:t>53,529</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0"/>
              </w:rPr>
              <w:t>107,251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2"/>
              </w:rPr>
              <w:t>140,775</w:t>
            </w:r>
          </w:p>
        </w:tc>
      </w:tr>
      <w:tr>
        <w:trPr>
          <w:trHeight w:val="138"/>
        </w:trPr>
        <w:tc>
          <w:tcPr>
            <w:tcW w:w="1100" w:type="dxa"/>
            <w:vAlign w:val="bottom"/>
          </w:tcPr>
          <w:p>
            <w:pPr>
              <w:spacing w:after="0"/>
              <w:rPr>
                <w:sz w:val="11"/>
                <w:szCs w:val="11"/>
                <w:color w:val="auto"/>
              </w:rPr>
            </w:pPr>
          </w:p>
        </w:tc>
        <w:tc>
          <w:tcPr>
            <w:tcW w:w="3820" w:type="dxa"/>
            <w:vAlign w:val="bottom"/>
            <w:gridSpan w:val="3"/>
          </w:tcPr>
          <w:p>
            <w:pPr>
              <w:ind w:left="260"/>
              <w:spacing w:after="0" w:line="138" w:lineRule="exact"/>
              <w:rPr>
                <w:sz w:val="20"/>
                <w:szCs w:val="20"/>
                <w:color w:val="auto"/>
              </w:rPr>
            </w:pPr>
            <w:r>
              <w:rPr>
                <w:rFonts w:ascii="Arial" w:cs="Arial" w:eastAsia="Arial" w:hAnsi="Arial"/>
                <w:sz w:val="14"/>
                <w:szCs w:val="14"/>
                <w:color w:val="auto"/>
              </w:rPr>
              <w:t>Financial costs (excluding amortization of loan fees) and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1100" w:type="dxa"/>
            <w:vAlign w:val="bottom"/>
          </w:tcPr>
          <w:p>
            <w:pPr>
              <w:spacing w:after="0"/>
              <w:rPr>
                <w:sz w:val="13"/>
                <w:szCs w:val="13"/>
                <w:color w:val="auto"/>
              </w:rPr>
            </w:pPr>
          </w:p>
        </w:tc>
        <w:tc>
          <w:tcPr>
            <w:tcW w:w="382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realized loss on interest rate swaps</w:t>
            </w:r>
          </w:p>
        </w:tc>
        <w:tc>
          <w:tcPr>
            <w:tcW w:w="6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(9,912)</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1"/>
              </w:rPr>
              <w:t>(19,484)</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5"/>
              </w:rPr>
              <w:t>(26,929)</w:t>
            </w: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(6,425)</w:t>
            </w:r>
          </w:p>
        </w:tc>
        <w:tc>
          <w:tcPr>
            <w:tcW w:w="160" w:type="dxa"/>
            <w:vAlign w:val="bottom"/>
          </w:tcPr>
          <w:p>
            <w:pPr>
              <w:spacing w:after="0"/>
              <w:rPr>
                <w:sz w:val="13"/>
                <w:szCs w:val="13"/>
                <w:color w:val="auto"/>
              </w:rPr>
            </w:pP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4"/>
              </w:rPr>
              <w:t>(11,380)</w:t>
            </w: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5"/>
              </w:rPr>
              <w:t>(18,938)</w:t>
            </w:r>
          </w:p>
        </w:tc>
        <w:tc>
          <w:tcPr>
            <w:tcW w:w="120" w:type="dxa"/>
            <w:vAlign w:val="bottom"/>
          </w:tcPr>
          <w:p>
            <w:pPr>
              <w:spacing w:after="0"/>
              <w:rPr>
                <w:sz w:val="13"/>
                <w:szCs w:val="13"/>
                <w:color w:val="auto"/>
              </w:rPr>
            </w:pP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1"/>
              </w:rPr>
              <w:t>(29,390)</w:t>
            </w:r>
          </w:p>
        </w:tc>
      </w:tr>
      <w:tr>
        <w:trPr>
          <w:trHeight w:val="149"/>
        </w:trPr>
        <w:tc>
          <w:tcPr>
            <w:tcW w:w="1100" w:type="dxa"/>
            <w:vAlign w:val="bottom"/>
          </w:tcPr>
          <w:p>
            <w:pPr>
              <w:spacing w:after="0"/>
              <w:rPr>
                <w:sz w:val="12"/>
                <w:szCs w:val="12"/>
                <w:color w:val="auto"/>
              </w:rPr>
            </w:pPr>
          </w:p>
        </w:tc>
        <w:tc>
          <w:tcPr>
            <w:tcW w:w="382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Dry-docking capital reserve</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(2,621)</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(8,338)</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(8,829)</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(2,168)</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(3,240)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(6,504)</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(8,793)</w:t>
            </w:r>
          </w:p>
        </w:tc>
      </w:tr>
      <w:tr>
        <w:trPr>
          <w:trHeight w:val="149"/>
        </w:trPr>
        <w:tc>
          <w:tcPr>
            <w:tcW w:w="1100" w:type="dxa"/>
            <w:vAlign w:val="bottom"/>
          </w:tcPr>
          <w:p>
            <w:pPr>
              <w:spacing w:after="0"/>
              <w:rPr>
                <w:sz w:val="12"/>
                <w:szCs w:val="12"/>
                <w:color w:val="auto"/>
              </w:rPr>
            </w:pPr>
          </w:p>
        </w:tc>
        <w:tc>
          <w:tcPr>
            <w:tcW w:w="382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Replacement capital reserve</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(8,505)</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(22,710)</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(29,467)</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(7,228)</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(8,942)</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(21,691)</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(24,326)</w:t>
            </w:r>
          </w:p>
        </w:tc>
      </w:tr>
      <w:tr>
        <w:trPr>
          <w:trHeight w:val="149"/>
        </w:trPr>
        <w:tc>
          <w:tcPr>
            <w:tcW w:w="1100" w:type="dxa"/>
            <w:vAlign w:val="bottom"/>
          </w:tcPr>
          <w:p>
            <w:pPr>
              <w:spacing w:after="0"/>
              <w:rPr>
                <w:sz w:val="12"/>
                <w:szCs w:val="12"/>
                <w:color w:val="auto"/>
              </w:rPr>
            </w:pPr>
          </w:p>
        </w:tc>
        <w:tc>
          <w:tcPr>
            <w:tcW w:w="382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Accrued preferred equity distribution</w:t>
            </w:r>
          </w:p>
        </w:tc>
        <w:tc>
          <w:tcPr>
            <w:tcW w:w="6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(3,100)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(4,649)</w:t>
            </w:r>
          </w:p>
        </w:tc>
      </w:tr>
      <w:tr>
        <w:trPr>
          <w:trHeight w:val="142"/>
        </w:trPr>
        <w:tc>
          <w:tcPr>
            <w:tcW w:w="1100" w:type="dxa"/>
            <w:vAlign w:val="bottom"/>
          </w:tcPr>
          <w:p>
            <w:pPr>
              <w:spacing w:after="0"/>
              <w:rPr>
                <w:sz w:val="12"/>
                <w:szCs w:val="12"/>
                <w:color w:val="auto"/>
              </w:rPr>
            </w:pPr>
          </w:p>
        </w:tc>
        <w:tc>
          <w:tcPr>
            <w:tcW w:w="382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Distributable cash flow</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27,259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72,254</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83,660</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21,413</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26,867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60,118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73,617</w:t>
            </w:r>
          </w:p>
        </w:tc>
        <w:tc>
          <w:tcPr>
            <w:tcW w:w="160" w:type="dxa"/>
            <w:vAlign w:val="bottom"/>
          </w:tcPr>
          <w:p>
            <w:pPr>
              <w:spacing w:after="0"/>
              <w:rPr>
                <w:sz w:val="12"/>
                <w:szCs w:val="12"/>
                <w:color w:val="auto"/>
              </w:rPr>
            </w:pPr>
          </w:p>
        </w:tc>
      </w:tr>
      <w:tr>
        <w:trPr>
          <w:trHeight w:val="142"/>
        </w:trPr>
        <w:tc>
          <w:tcPr>
            <w:tcW w:w="1100" w:type="dxa"/>
            <w:vAlign w:val="bottom"/>
          </w:tcPr>
          <w:p>
            <w:pPr>
              <w:spacing w:after="0"/>
              <w:rPr>
                <w:sz w:val="12"/>
                <w:szCs w:val="12"/>
                <w:color w:val="auto"/>
              </w:rPr>
            </w:pPr>
          </w:p>
        </w:tc>
        <w:tc>
          <w:tcPr>
            <w:tcW w:w="3820" w:type="dxa"/>
            <w:vAlign w:val="bottom"/>
            <w:gridSpan w:val="3"/>
            <w:shd w:val="clear" w:color="auto" w:fill="CCEEFF"/>
          </w:tcPr>
          <w:p>
            <w:pPr>
              <w:ind w:left="260"/>
              <w:spacing w:after="0" w:line="142" w:lineRule="exact"/>
              <w:rPr>
                <w:sz w:val="20"/>
                <w:szCs w:val="20"/>
                <w:color w:val="auto"/>
              </w:rPr>
            </w:pPr>
            <w:r>
              <w:rPr>
                <w:rFonts w:ascii="Arial" w:cs="Arial" w:eastAsia="Arial" w:hAnsi="Arial"/>
                <w:sz w:val="14"/>
                <w:szCs w:val="14"/>
                <w:color w:val="auto"/>
              </w:rPr>
              <w:t>Other reserves**</w:t>
            </w:r>
          </w:p>
        </w:tc>
        <w:tc>
          <w:tcPr>
            <w:tcW w:w="66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(3,173)</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1"/>
              </w:rPr>
              <w:t>(16,067)</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5"/>
              </w:rPr>
              <w:t>(14,244)</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(4,336)</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9"/>
              </w:rPr>
              <w:t>(4,490)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5"/>
              </w:rPr>
              <w:t>(10,252)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1"/>
              </w:rPr>
              <w:t>(10,119)</w:t>
            </w:r>
          </w:p>
        </w:tc>
      </w:tr>
      <w:tr>
        <w:trPr>
          <w:trHeight w:val="142"/>
        </w:trPr>
        <w:tc>
          <w:tcPr>
            <w:tcW w:w="1100" w:type="dxa"/>
            <w:vAlign w:val="bottom"/>
          </w:tcPr>
          <w:p>
            <w:pPr>
              <w:spacing w:after="0"/>
              <w:rPr>
                <w:sz w:val="12"/>
                <w:szCs w:val="12"/>
                <w:color w:val="auto"/>
              </w:rPr>
            </w:pPr>
          </w:p>
        </w:tc>
        <w:tc>
          <w:tcPr>
            <w:tcW w:w="382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Cash distributions</w:t>
            </w: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$ 24,086</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56,187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69,416</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$ 17,077</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22,377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49,866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63,498</w:t>
            </w:r>
          </w:p>
        </w:tc>
        <w:tc>
          <w:tcPr>
            <w:tcW w:w="16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192" w:lineRule="exact"/>
        <w:rPr>
          <w:sz w:val="20"/>
          <w:szCs w:val="20"/>
          <w:color w:val="auto"/>
        </w:rPr>
      </w:pPr>
    </w:p>
    <w:p>
      <w:pPr>
        <w:ind w:left="2420" w:hanging="543"/>
        <w:spacing w:after="0"/>
        <w:tabs>
          <w:tab w:leader="none" w:pos="2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reconciliation of profit to EBITDA on the basis of Partnership Performance Results is presented in Note 5 above.</w:t>
      </w:r>
    </w:p>
    <w:p>
      <w:pPr>
        <w:spacing w:after="0" w:line="123" w:lineRule="exact"/>
        <w:rPr>
          <w:sz w:val="20"/>
          <w:szCs w:val="20"/>
          <w:color w:val="auto"/>
        </w:rPr>
      </w:pPr>
    </w:p>
    <w:p>
      <w:pPr>
        <w:ind w:left="2420" w:right="100" w:hanging="543"/>
        <w:spacing w:after="0" w:line="318" w:lineRule="auto"/>
        <w:tabs>
          <w:tab w:leader="none" w:pos="24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Refers to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66" w:lineRule="exact"/>
        <w:rPr>
          <w:rFonts w:ascii="Arial" w:cs="Arial" w:eastAsia="Arial" w:hAnsi="Arial"/>
          <w:sz w:val="12"/>
          <w:szCs w:val="12"/>
          <w:color w:val="auto"/>
        </w:rPr>
      </w:pPr>
    </w:p>
    <w:p>
      <w:pPr>
        <w:ind w:left="2420" w:hanging="543"/>
        <w:spacing w:after="0"/>
        <w:tabs>
          <w:tab w:leader="none" w:pos="242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Refers to cash distributions made since the Partnership's IPO. It excludes payments of dividends due to GasLog before vessels were acquired by the Partnership.</w:t>
      </w:r>
    </w:p>
    <w:p>
      <w:pPr>
        <w:spacing w:after="0" w:line="213" w:lineRule="exact"/>
        <w:rPr>
          <w:rFonts w:ascii="Arial" w:cs="Arial" w:eastAsia="Arial" w:hAnsi="Arial"/>
          <w:sz w:val="12"/>
          <w:szCs w:val="12"/>
          <w:color w:val="auto"/>
        </w:rPr>
      </w:pPr>
    </w:p>
    <w:p>
      <w:pPr>
        <w:ind w:left="780" w:right="40" w:hanging="538"/>
        <w:spacing w:after="0" w:line="318" w:lineRule="auto"/>
        <w:tabs>
          <w:tab w:leader="none" w:pos="780" w:val="left"/>
        </w:tabs>
        <w:numPr>
          <w:ilvl w:val="0"/>
          <w:numId w:val="16"/>
        </w:numPr>
        <w:rPr>
          <w:rFonts w:ascii="Arial" w:cs="Arial" w:eastAsia="Arial" w:hAnsi="Arial"/>
          <w:sz w:val="10"/>
          <w:szCs w:val="10"/>
          <w:color w:val="auto"/>
        </w:rPr>
      </w:pPr>
      <w:r>
        <w:rPr>
          <w:rFonts w:ascii="Arial" w:cs="Arial" w:eastAsia="Arial" w:hAnsi="Arial"/>
          <w:sz w:val="12"/>
          <w:szCs w:val="12"/>
          <w:color w:val="auto"/>
        </w:rPr>
        <w:t>Does not reflect a distribution of $10.72 million declared in January 2015 in respect of the fourth quarter of 2014. Cash distribution paid includes $9.80 million dividend due to GasLog which was declared in 2013 and excludes $8.81 million dividend due to GasLog which was declared in 2014, in both cases prior to the contribution of the relevant vessels to the Partnership.</w:t>
      </w:r>
    </w:p>
    <w:p>
      <w:pPr>
        <w:spacing w:after="0" w:line="66" w:lineRule="exact"/>
        <w:rPr>
          <w:rFonts w:ascii="Arial" w:cs="Arial" w:eastAsia="Arial" w:hAnsi="Arial"/>
          <w:sz w:val="10"/>
          <w:szCs w:val="10"/>
          <w:color w:val="auto"/>
        </w:rPr>
      </w:pPr>
    </w:p>
    <w:p>
      <w:pPr>
        <w:ind w:left="780" w:right="40" w:hanging="538"/>
        <w:spacing w:after="0" w:line="318" w:lineRule="auto"/>
        <w:tabs>
          <w:tab w:leader="none" w:pos="780" w:val="left"/>
        </w:tabs>
        <w:numPr>
          <w:ilvl w:val="0"/>
          <w:numId w:val="16"/>
        </w:numPr>
        <w:rPr>
          <w:rFonts w:ascii="Arial" w:cs="Arial" w:eastAsia="Arial" w:hAnsi="Arial"/>
          <w:sz w:val="10"/>
          <w:szCs w:val="10"/>
          <w:color w:val="auto"/>
        </w:rPr>
      </w:pPr>
      <w:r>
        <w:rPr>
          <w:rFonts w:ascii="Arial" w:cs="Arial" w:eastAsia="Arial" w:hAnsi="Arial"/>
          <w:sz w:val="12"/>
          <w:szCs w:val="12"/>
          <w:color w:val="auto"/>
        </w:rPr>
        <w:t>Does not reflect a distribution of $15.71 million declared in January 2016 in respect of the fourth quarter of 2015. Cash distribution paid includes $8.81 million dividend due to GasLog which was declared in 2014 and excludes $7.80 million dividend due to GasLog which was declared in 2015, in both cases prior to the contribution of the relevant vessels to the Partnership.</w:t>
      </w:r>
    </w:p>
    <w:p>
      <w:pPr>
        <w:spacing w:after="0" w:line="66" w:lineRule="exact"/>
        <w:rPr>
          <w:rFonts w:ascii="Arial" w:cs="Arial" w:eastAsia="Arial" w:hAnsi="Arial"/>
          <w:sz w:val="10"/>
          <w:szCs w:val="10"/>
          <w:color w:val="auto"/>
        </w:rPr>
      </w:pPr>
    </w:p>
    <w:p>
      <w:pPr>
        <w:ind w:left="780" w:right="40" w:hanging="538"/>
        <w:spacing w:after="0" w:line="239" w:lineRule="auto"/>
        <w:tabs>
          <w:tab w:leader="none" w:pos="780" w:val="left"/>
        </w:tabs>
        <w:numPr>
          <w:ilvl w:val="0"/>
          <w:numId w:val="16"/>
        </w:numPr>
        <w:rPr>
          <w:rFonts w:ascii="Arial" w:cs="Arial" w:eastAsia="Arial" w:hAnsi="Arial"/>
          <w:sz w:val="11"/>
          <w:szCs w:val="11"/>
          <w:color w:val="auto"/>
        </w:rPr>
      </w:pPr>
      <w:r>
        <w:rPr>
          <w:rFonts w:ascii="Arial" w:cs="Arial" w:eastAsia="Arial" w:hAnsi="Arial"/>
          <w:sz w:val="14"/>
          <w:szCs w:val="14"/>
          <w:color w:val="auto"/>
        </w:rPr>
        <w:t xml:space="preserve">Does not reflect a distribution of $19.55 million declared in January 2017 in respect of the fourth quarter of 2016. Cash distribution paid includes $7.80 million dividend due to GasLog which was declared in 2015 prior to the contribution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to the Partnership.</w:t>
      </w:r>
    </w:p>
    <w:p>
      <w:pPr>
        <w:spacing w:after="0" w:line="111" w:lineRule="exact"/>
        <w:rPr>
          <w:rFonts w:ascii="Arial" w:cs="Arial" w:eastAsia="Arial" w:hAnsi="Arial"/>
          <w:sz w:val="11"/>
          <w:szCs w:val="11"/>
          <w:color w:val="auto"/>
        </w:rPr>
      </w:pPr>
    </w:p>
    <w:p>
      <w:pPr>
        <w:ind w:left="780" w:right="100" w:hanging="538"/>
        <w:spacing w:after="0" w:line="239" w:lineRule="auto"/>
        <w:tabs>
          <w:tab w:leader="none" w:pos="780" w:val="left"/>
        </w:tabs>
        <w:numPr>
          <w:ilvl w:val="0"/>
          <w:numId w:val="16"/>
        </w:numPr>
        <w:rPr>
          <w:rFonts w:ascii="Arial" w:cs="Arial" w:eastAsia="Arial" w:hAnsi="Arial"/>
          <w:sz w:val="11"/>
          <w:szCs w:val="11"/>
          <w:color w:val="auto"/>
        </w:rPr>
      </w:pPr>
      <w:r>
        <w:rPr>
          <w:rFonts w:ascii="Arial" w:cs="Arial" w:eastAsia="Arial" w:hAnsi="Arial"/>
          <w:sz w:val="14"/>
          <w:szCs w:val="14"/>
          <w:color w:val="auto"/>
        </w:rPr>
        <w:t xml:space="preserve">Does not reflect a distribution of $17.08 million declared in October 2016 in respect of the third quarter of 2016. Cash distribution paid includes $7.80 million dividend due to GasLog which was declared in 2015 prior to the contribution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to the Partnership.</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3849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138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0" w:hanging="538"/>
        <w:spacing w:after="0"/>
        <w:tabs>
          <w:tab w:leader="none" w:pos="780" w:val="left"/>
        </w:tabs>
        <w:numPr>
          <w:ilvl w:val="0"/>
          <w:numId w:val="17"/>
        </w:numPr>
        <w:rPr>
          <w:rFonts w:ascii="Arial" w:cs="Arial" w:eastAsia="Arial" w:hAnsi="Arial"/>
          <w:sz w:val="10"/>
          <w:szCs w:val="10"/>
          <w:color w:val="auto"/>
        </w:rPr>
      </w:pPr>
      <w:r>
        <w:rPr>
          <w:rFonts w:ascii="Arial" w:cs="Arial" w:eastAsia="Arial" w:hAnsi="Arial"/>
          <w:sz w:val="12"/>
          <w:szCs w:val="12"/>
          <w:color w:val="auto"/>
        </w:rPr>
        <w:t>Does not reflect a distribution of $22.38 million declared in October 2017 and paid in November 2017, in respect of the third quarter of 2017.</w:t>
      </w:r>
    </w:p>
    <w:p>
      <w:pPr>
        <w:spacing w:after="0" w:line="145" w:lineRule="exact"/>
        <w:rPr>
          <w:rFonts w:ascii="Arial" w:cs="Arial" w:eastAsia="Arial" w:hAnsi="Arial"/>
          <w:sz w:val="10"/>
          <w:szCs w:val="10"/>
          <w:color w:val="auto"/>
        </w:rPr>
      </w:pPr>
    </w:p>
    <w:p>
      <w:pPr>
        <w:ind w:left="780" w:hanging="538"/>
        <w:spacing w:after="0"/>
        <w:tabs>
          <w:tab w:leader="none" w:pos="780" w:val="left"/>
        </w:tabs>
        <w:numPr>
          <w:ilvl w:val="0"/>
          <w:numId w:val="17"/>
        </w:numPr>
        <w:rPr>
          <w:rFonts w:ascii="Arial" w:cs="Arial" w:eastAsia="Arial" w:hAnsi="Arial"/>
          <w:sz w:val="10"/>
          <w:szCs w:val="10"/>
          <w:color w:val="auto"/>
        </w:rPr>
      </w:pPr>
      <w:r>
        <w:rPr>
          <w:rFonts w:ascii="Arial" w:cs="Arial" w:eastAsia="Arial" w:hAnsi="Arial"/>
          <w:sz w:val="12"/>
          <w:szCs w:val="12"/>
          <w:color w:val="auto"/>
        </w:rPr>
        <w:t>Does not reflect a distribution of $10.72 million declared in January 2015 and paid in February 2015, in respect of the fourth quarter of 2014.</w:t>
      </w:r>
    </w:p>
    <w:p>
      <w:pPr>
        <w:spacing w:after="0" w:line="145" w:lineRule="exact"/>
        <w:rPr>
          <w:rFonts w:ascii="Arial" w:cs="Arial" w:eastAsia="Arial" w:hAnsi="Arial"/>
          <w:sz w:val="10"/>
          <w:szCs w:val="10"/>
          <w:color w:val="auto"/>
        </w:rPr>
      </w:pPr>
    </w:p>
    <w:p>
      <w:pPr>
        <w:ind w:left="780" w:hanging="538"/>
        <w:spacing w:after="0"/>
        <w:tabs>
          <w:tab w:leader="none" w:pos="780" w:val="left"/>
        </w:tabs>
        <w:numPr>
          <w:ilvl w:val="0"/>
          <w:numId w:val="17"/>
        </w:numPr>
        <w:rPr>
          <w:rFonts w:ascii="Arial" w:cs="Arial" w:eastAsia="Arial" w:hAnsi="Arial"/>
          <w:sz w:val="10"/>
          <w:szCs w:val="10"/>
          <w:color w:val="auto"/>
        </w:rPr>
      </w:pPr>
      <w:r>
        <w:rPr>
          <w:rFonts w:ascii="Arial" w:cs="Arial" w:eastAsia="Arial" w:hAnsi="Arial"/>
          <w:sz w:val="12"/>
          <w:szCs w:val="12"/>
          <w:color w:val="auto"/>
        </w:rPr>
        <w:t>Does not reflect a distribution of $15.71 million declared in January 2016 and paid in February 2016, in respect of the fourth quarter of 2015.</w:t>
      </w:r>
    </w:p>
    <w:p>
      <w:pPr>
        <w:spacing w:after="0" w:line="145" w:lineRule="exact"/>
        <w:rPr>
          <w:rFonts w:ascii="Arial" w:cs="Arial" w:eastAsia="Arial" w:hAnsi="Arial"/>
          <w:sz w:val="10"/>
          <w:szCs w:val="10"/>
          <w:color w:val="auto"/>
        </w:rPr>
      </w:pPr>
    </w:p>
    <w:p>
      <w:pPr>
        <w:ind w:left="780" w:hanging="538"/>
        <w:spacing w:after="0"/>
        <w:tabs>
          <w:tab w:leader="none" w:pos="780" w:val="left"/>
        </w:tabs>
        <w:numPr>
          <w:ilvl w:val="0"/>
          <w:numId w:val="17"/>
        </w:numPr>
        <w:rPr>
          <w:rFonts w:ascii="Arial" w:cs="Arial" w:eastAsia="Arial" w:hAnsi="Arial"/>
          <w:sz w:val="10"/>
          <w:szCs w:val="10"/>
          <w:color w:val="auto"/>
        </w:rPr>
      </w:pPr>
      <w:r>
        <w:rPr>
          <w:rFonts w:ascii="Arial" w:cs="Arial" w:eastAsia="Arial" w:hAnsi="Arial"/>
          <w:sz w:val="12"/>
          <w:szCs w:val="12"/>
          <w:color w:val="auto"/>
        </w:rPr>
        <w:t>Does not reflect a distribution of $19.55 million declared in January 2017 and paid in February 2017, in respect of the fourth quarter of 2016.</w:t>
      </w:r>
    </w:p>
    <w:p>
      <w:pPr>
        <w:spacing w:after="0" w:line="145" w:lineRule="exact"/>
        <w:rPr>
          <w:rFonts w:ascii="Arial" w:cs="Arial" w:eastAsia="Arial" w:hAnsi="Arial"/>
          <w:sz w:val="10"/>
          <w:szCs w:val="10"/>
          <w:color w:val="auto"/>
        </w:rPr>
      </w:pPr>
    </w:p>
    <w:p>
      <w:pPr>
        <w:ind w:left="780" w:hanging="538"/>
        <w:spacing w:after="0"/>
        <w:tabs>
          <w:tab w:leader="none" w:pos="780" w:val="left"/>
        </w:tabs>
        <w:numPr>
          <w:ilvl w:val="0"/>
          <w:numId w:val="17"/>
        </w:numPr>
        <w:rPr>
          <w:rFonts w:ascii="Arial" w:cs="Arial" w:eastAsia="Arial" w:hAnsi="Arial"/>
          <w:sz w:val="10"/>
          <w:szCs w:val="10"/>
          <w:color w:val="auto"/>
        </w:rPr>
      </w:pPr>
      <w:r>
        <w:rPr>
          <w:rFonts w:ascii="Arial" w:cs="Arial" w:eastAsia="Arial" w:hAnsi="Arial"/>
          <w:sz w:val="12"/>
          <w:szCs w:val="12"/>
          <w:color w:val="auto"/>
        </w:rPr>
        <w:t>Does not reflect a distribution of $17.08 million declared in October 2016 and paid in November 2016, in respect of the third quarter of 2016.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Any investment in our Series B Preference Units involves a high degree of risk. Before investing in our Series B Preference Units, you should carefully consider the risk factors set forth below and the important factors set forth under the heading "Risk Factors" starting on page 8 of our Annual Report on Form 20-F, which was filed with the SEC on February 13, 2017 and incorporated herein by reference. For further details, see the sections entitled "Where You Can Find Additional Information" and "Incorporation of Certain Information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Series B Preference Units</w:t>
      </w:r>
    </w:p>
    <w:p>
      <w:pPr>
        <w:spacing w:after="0" w:line="231"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b w:val="1"/>
          <w:bCs w:val="1"/>
          <w:i w:val="1"/>
          <w:iCs w:val="1"/>
          <w:color w:val="auto"/>
        </w:rPr>
        <w:t>We may not have sufficient cash from operations following the establishment of cash reserves and payment of fees and expenses to pay distributions on or to redeem our Series B Preference Units.</w:t>
      </w:r>
    </w:p>
    <w:p>
      <w:pPr>
        <w:spacing w:after="0" w:line="186"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Our board of directors makes determinations regarding the payment of distributions in its sole discretion and in accordance with our Partnership Agreement and applicable law, and there is no guarantee that we make distributions to our unitholders in the future. Although distributions on the Series B Preference Units are cumulative, our board of directors must declare the actual payment of those distributions. We may not have sufficient cash available each quarter to pay distributions, and our board of directors can elect at any time or from time to time, for an indefinite duration, not to pay any or all accumulated distributions. In addition, while we have no obligation to redeem our Series B Preference Units, we may have insufficient cash available to redeem our Series B Preference Units at a time when it would otherwise be beneficial for us to do so. The amount of cash we can distribute on our units principally depends upon the amount of cash we generate from our operations, which may fluctuate from quarter to quarter based on the risks described in this section, including, among other things:</w:t>
      </w:r>
    </w:p>
    <w:p>
      <w:pPr>
        <w:spacing w:after="0" w:line="17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rates we obtain from our charters;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expiration of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charterers' options to terminate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off-hire days for our fleet and the timing of, and number of days required for, dry-docking of vessels;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our operating costs, such as the cost of crews, vessel maintenance and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of LNG carriers;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 and</w:t>
      </w:r>
    </w:p>
    <w:p>
      <w:pPr>
        <w:spacing w:after="0" w:line="252" w:lineRule="exact"/>
        <w:rPr>
          <w:rFonts w:ascii="Arial" w:cs="Arial" w:eastAsia="Arial" w:hAnsi="Arial"/>
          <w:sz w:val="18"/>
          <w:szCs w:val="18"/>
          <w:color w:val="auto"/>
        </w:rPr>
      </w:pPr>
    </w:p>
    <w:p>
      <w:pPr>
        <w:ind w:left="360" w:right="1640" w:firstLine="188"/>
        <w:spacing w:after="0" w:line="563" w:lineRule="auto"/>
        <w:tabs>
          <w:tab w:leader="none" w:pos="108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 of governmental regulations and maritime self-regulatory organization standards on the conduct of our business. In addition, the actual amount of cash available for distribution will depend on other factors, including:</w:t>
      </w:r>
    </w:p>
    <w:p>
      <w:pPr>
        <w:spacing w:after="0" w:line="14"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capital expenditures we make, including for maintaining or replacing vessels and complying with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debt service requirements, including fluctuations in interest rates, and restrictions on distributions contained in our debt instruments;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level of debt we will incur to fund future acquisitions, including if we exercise our options to purchase any additional vessels from GasLog;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make, and the level of, working capital borrowings; and</w:t>
      </w:r>
    </w:p>
    <w:p>
      <w:pPr>
        <w:spacing w:after="0" w:line="252"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 of any cash reserves, including reserves for future maintenance and replacement capital expenditures, working capital and other matters, established by our board of directors, which cash reserves are not subject to any specified maximum dollar amount.</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a specified period, which will be affected by non-cash items. As a result of this and the other factors mentioned above, we may make cash distributions during periods in which we record losses and may not make cash distributions during periods when we record a profit.</w:t>
      </w:r>
    </w:p>
    <w:p>
      <w:pPr>
        <w:spacing w:after="0" w:line="194" w:lineRule="exact"/>
        <w:rPr>
          <w:sz w:val="20"/>
          <w:szCs w:val="20"/>
          <w:color w:val="auto"/>
        </w:rPr>
      </w:pPr>
    </w:p>
    <w:p>
      <w:pPr>
        <w:ind w:right="40" w:firstLine="395"/>
        <w:spacing w:after="0" w:line="332" w:lineRule="auto"/>
        <w:rPr>
          <w:sz w:val="20"/>
          <w:szCs w:val="20"/>
          <w:color w:val="auto"/>
        </w:rPr>
      </w:pPr>
      <w:r>
        <w:rPr>
          <w:rFonts w:ascii="Arial" w:cs="Arial" w:eastAsia="Arial" w:hAnsi="Arial"/>
          <w:sz w:val="16"/>
          <w:szCs w:val="16"/>
          <w:b w:val="1"/>
          <w:bCs w:val="1"/>
          <w:i w:val="1"/>
          <w:iCs w:val="1"/>
          <w:color w:val="auto"/>
        </w:rPr>
        <w:t>We distribute all of our available cash to our limited partners and are not required to accumulate cash for the purpose of meeting our future obligations to holders of the Series B Preference Units, which may limit the cash available to make distributions on the Series B Preference Units.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Subject to the limitations in our Partnership Agreement, we distribute all of our available cash each quarter to our limited partners. "Available cash" is defined in our Partnership Agreement, and it generally means, for each fiscal quarter, all cash on hand at the end of the quarter (including our proportionate share of cash on hand of certain subsidiaries we do not wholly own):</w:t>
      </w:r>
    </w:p>
    <w:p>
      <w:pPr>
        <w:spacing w:after="0" w:line="208" w:lineRule="exact"/>
        <w:rPr>
          <w:sz w:val="20"/>
          <w:szCs w:val="20"/>
          <w:color w:val="auto"/>
        </w:rPr>
      </w:pPr>
    </w:p>
    <w:p>
      <w:pPr>
        <w:ind w:left="1080" w:right="1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the amount of cash reserves (including our proportionate share of cash reserves of certain subsidiaries we do not wholly own) established by the board of directors to:</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comply with applicable law, any debt instruments, or other agreements;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provide funds for payments to holders of Series A Preference Units and Series B Preference Units;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provide funds for distributions to our limited partners and to our general partner for any one or more of the next four quarters;</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plus all cash on hand (including our proportionate share of cash on hand of certain subsidiaries we do not wholly own)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w:t>
      </w:r>
    </w:p>
    <w:p>
      <w:pPr>
        <w:spacing w:after="0" w:line="197"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As a result, we do not expect to accumulate significant amounts of cash. Depending on the timing and amount of our cash distributions, these distributions could significantly reduce the cash available to us in subsequent periods to make payments on the Series B Preference Units.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Series B Preference Units represent perpetual equity interests.</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 xml:space="preserve">The Series B Preference Units represent perpetual equity interests in us and, unlike our indebtedness, will not give rise to a claim for payment of a principal amount at a particular date. As a result, holders of the Series B Preference Units may be required to bear the financial risks of an investment in the Series B Preference Units for an indefinite period of time. In addition, the Series B Preference Units will rank junior to all our indebtedness and other liabilities, and any other senior securities we may issue in the future with respect to assets available to satisfy claims against us. The Series B Preference Units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to our existing Series A Preference Units.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firstLine="395"/>
        <w:spacing w:after="0" w:line="259" w:lineRule="auto"/>
        <w:rPr>
          <w:sz w:val="20"/>
          <w:szCs w:val="20"/>
          <w:color w:val="auto"/>
        </w:rPr>
      </w:pPr>
      <w:r>
        <w:rPr>
          <w:rFonts w:ascii="Arial" w:cs="Arial" w:eastAsia="Arial" w:hAnsi="Arial"/>
          <w:sz w:val="18"/>
          <w:szCs w:val="18"/>
          <w:b w:val="1"/>
          <w:bCs w:val="1"/>
          <w:i w:val="1"/>
          <w:iCs w:val="1"/>
          <w:color w:val="auto"/>
        </w:rPr>
        <w:t>The Series B Preference Units are a new issuance and do not have an established trading market, which may negatively affect their market value and your ability to transfer or sell your units. In addition, the lack of a fixed redemption date for the Series B Preference Units will increase your reliance on the secondary market for liquidity purposes.</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Series B Preference Units are a new issue of securities with no established trading market. In addition, since the securities have no stated maturity date, investors seeking liquidity will be limited to selling their units in the secondary market absent redemption by us. We intend to apply to list the Series B Preference Units on the NYSE, but there can be no assurance that the NYSE will accept the Series B Preference Units for listing. Even if the Series B Preference Units are approved for listing by the NYSE, an active trading market on the NYSE for the units may not develop or, even if it develops, may not last, in which case the trading price of the Series B Preference Units could be adversely affected and your ability to transfer your units will be limited. Furthermore, trading in the securities may be negatively affected by the fact that only a small number of Series B Preference Units will be issued. If an active trading market does develop on the NYSE, our Series B Preference Units may trade at prices lower than the offering price. The trading price of our Series B Preference Units will depend on many factors, including:</w:t>
      </w:r>
    </w:p>
    <w:p>
      <w:pPr>
        <w:spacing w:after="0" w:line="186"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subsequent issuance of debt or preferred equity securities;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prospects.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have been advised by the underwriters that they intend to make a market in our Series B Preference Units pending any listing of the units on the NYSE, but they are not obligated to do so and may discontinue market-making at any time without notice.</w:t>
      </w:r>
    </w:p>
    <w:p>
      <w:pPr>
        <w:spacing w:after="0" w:line="186" w:lineRule="exact"/>
        <w:rPr>
          <w:sz w:val="20"/>
          <w:szCs w:val="20"/>
          <w:color w:val="auto"/>
        </w:rPr>
      </w:pPr>
    </w:p>
    <w:p>
      <w:pPr>
        <w:ind w:right="320" w:firstLine="395"/>
        <w:spacing w:after="0" w:line="268" w:lineRule="auto"/>
        <w:rPr>
          <w:sz w:val="20"/>
          <w:szCs w:val="20"/>
          <w:color w:val="auto"/>
        </w:rPr>
      </w:pPr>
      <w:r>
        <w:rPr>
          <w:rFonts w:ascii="Arial" w:cs="Arial" w:eastAsia="Arial" w:hAnsi="Arial"/>
          <w:sz w:val="18"/>
          <w:szCs w:val="18"/>
          <w:b w:val="1"/>
          <w:bCs w:val="1"/>
          <w:i w:val="1"/>
          <w:iCs w:val="1"/>
          <w:color w:val="auto"/>
        </w:rPr>
        <w:t>The Series B Preference Units have not been rated, and ratings of any other of our securities may affect the trading price of the Series B Preference Units.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not sought to obtain a rating for the Series B Preference Units, and the units may never be rated. It is possible, however, that one or more rating agencies might independently determine to assign a rating to the Series B Preference Units or that we may elect to obtain a rating of our Series B Preference Units in the future. In addition, we may elect to issue other securities for which we may seek to obtain a rating. If any ratings are assigned to the Series B Preference Units in the future or if we issue other securities with a rating, such ratings, if they are lower than market expectations or are subsequently lowered or withdrawn, or if ratings for such other securities would imply a lower relative value for the Series B Preference Units, could adversely affect the market for, or the market value of, the Series B Preference Units.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Series B Preference Units. Ratings do not reflect market prices or suitability of a security for a particular investor and any future rating of the Series B Preference Units may not reflect all risks related to us and our business, or the structure or market value of the Series B Preference Units.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95"/>
        <w:spacing w:after="0" w:line="370" w:lineRule="auto"/>
        <w:rPr>
          <w:sz w:val="20"/>
          <w:szCs w:val="20"/>
          <w:color w:val="auto"/>
        </w:rPr>
      </w:pPr>
      <w:r>
        <w:rPr>
          <w:rFonts w:ascii="Arial" w:cs="Arial" w:eastAsia="Arial" w:hAnsi="Arial"/>
          <w:sz w:val="15"/>
          <w:szCs w:val="15"/>
          <w:b w:val="1"/>
          <w:bCs w:val="1"/>
          <w:i w:val="1"/>
          <w:iCs w:val="1"/>
          <w:color w:val="auto"/>
        </w:rPr>
        <w:t>Our Series B Preference Units are subordinated to our debt obligations and pari passu with our Series A Preference Units, and your interests could be diluted by the issuance of additional limited partnership interests, including additional Series A and Series B Preference Units, and by other transactions.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Series B Preference Units are subordinated to all of our existing and future indebtedness. As of September 30, 2017, we had an aggregate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$1,049.1 million of indebtedness outstanding and we had unused availability under our revolving credit facilities of $42.9 million. The payment of principal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on our debt reduces cash available for distribution on our limited partner interests, including our Series B Preference Units. Our existing indebtedness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restricts, and our future indebtedness may include restrictions on, our ability to pay distributions to unitholders.</w:t>
      </w:r>
    </w:p>
    <w:p>
      <w:pPr>
        <w:spacing w:after="0" w:line="219"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issuance of additional limited partnership interests on a parity with or senior to our Series B Preference Units would dilute the interests of the holders of our Series B Preference Units, and any issuance of limited partnership interests senior to or on a parity with our Series B Preference Units or of additional indebtedness could affect our ability to pay distributions on, redeem or pay the liquidation preference on our Series B Preference Units. No provisions relating to our Series B Preference Units protect the holders of our Series B Preference Units in the event of a highly leveraged or other transaction, including a merger or the sale, lease or conveyance of all or substantially all our assets or business, which might adversely affect the holders of our Series B Preference Units.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Series B Preference Units will rank junior to any Senior Securities and pari passu with any Parity Securities.</w:t>
      </w:r>
    </w:p>
    <w:p>
      <w:pPr>
        <w:spacing w:after="0" w:line="225" w:lineRule="exact"/>
        <w:rPr>
          <w:sz w:val="20"/>
          <w:szCs w:val="20"/>
          <w:color w:val="auto"/>
        </w:rPr>
      </w:pPr>
    </w:p>
    <w:p>
      <w:pPr>
        <w:ind w:right="280" w:firstLine="351"/>
        <w:spacing w:after="0" w:line="291" w:lineRule="auto"/>
        <w:rPr>
          <w:sz w:val="20"/>
          <w:szCs w:val="20"/>
          <w:color w:val="auto"/>
        </w:rPr>
      </w:pPr>
      <w:r>
        <w:rPr>
          <w:rFonts w:ascii="Arial" w:cs="Arial" w:eastAsia="Arial" w:hAnsi="Arial"/>
          <w:sz w:val="16"/>
          <w:szCs w:val="16"/>
          <w:color w:val="auto"/>
        </w:rPr>
        <w:t xml:space="preserve">Our Series B Preference Units will rank junior to any Senior Securities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Parity Securities, which includes our existing Series A Preference Units and any other class or series of limited partner interests or other equity securities established after the original issue date of the Series B Preference Units that is not expressly subordinated or senior to the Series B Preference Units as to the payment of distributions and amounts payable upon liquidation, dissolution or winding up, whether voluntary or involuntary. If less than all distributions payable with respect to the Series B Preference Units and any Parity Securities are paid, any partial payment shall be made pro rata with respect to Series B Preference Units and any Parity Securities entitled to a distribution payment at such time in proportion to the aggregate amounts remaining due in respect of such units at such time.</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Substantial future sales of our Series B Preference Units in the public market could cause the price of our Series B Preference Units to fall.</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Blenheim Holdings Ltd., which is GasLog Ltd.'s largest shareholder and is controlled by GasLog Ltd.'s chairman, Peter G. Livanos, has indicated an intention to purchase up to an aggregate of approximately $5 million of our Series B Preference Units in this offering at the public offering price. In addition, certain other directors and officers may also purchase Series B Preference Units in the offering at the public offering price. Assuming Blenheim Holdings Ltd. and directors and officers purchase Series B Preference Units in the offering, these Series B Preference Units will be held by persons who have contractually agreed not to sell such units for 30 days following the date of this prospectus. However, following the expiration of the 30 day lockup period, sales of a large number of these units could cause the price of our Series B Preference Units to decline.</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Market interest rates may adversely affect the value of our Series B Preference Units.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One of the factors that will influence the price of our Series B Preference Units will be the distribution yield on the Series B Preference Units (as a percentage of the price of our Series B Preference Units) relative to market interest rates. An increase in market interest rates may lead prospective purchasers of our Series B Preference Units to expect a higher distribution yield, and higher interest rates would likely increase our borrowing costs and potentially decrease funds available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distribution. Accordingly, higher market interest rates could cause the market price of our Series B Preference Units to decrease.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As a holder of Series B Preference Units you have extremely limited voting rights.</w:t>
      </w:r>
    </w:p>
    <w:p>
      <w:pPr>
        <w:spacing w:after="0" w:line="225" w:lineRule="exact"/>
        <w:rPr>
          <w:sz w:val="20"/>
          <w:szCs w:val="20"/>
          <w:color w:val="auto"/>
        </w:rPr>
      </w:pPr>
    </w:p>
    <w:p>
      <w:pPr>
        <w:ind w:firstLine="345"/>
        <w:spacing w:after="0" w:line="288" w:lineRule="auto"/>
        <w:rPr>
          <w:sz w:val="20"/>
          <w:szCs w:val="20"/>
          <w:color w:val="auto"/>
        </w:rPr>
      </w:pPr>
      <w:r>
        <w:rPr>
          <w:rFonts w:ascii="Arial" w:cs="Arial" w:eastAsia="Arial" w:hAnsi="Arial"/>
          <w:sz w:val="16"/>
          <w:szCs w:val="16"/>
          <w:color w:val="auto"/>
        </w:rPr>
        <w:t>Your voting rights as a holder of Series B Preference Units will be extremely limited. Holders of the Series B Preference Units generally have no voting rights. However, if and whenever distributions payable on the Series B Preference Units are in arrears for six or more quarterly periods, whether or not consecutive, holders of Series B Preference Units (voting together as a class with all other classes or series of Parity Securities upon which like voting rights have been conferred and are exercisable, including holders of our Series A Preference Units)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Series B Preference Units voted as a class for the election of such director). The right of such holders of Series B Preference Units to elect a member of our board of directors will continue until such time as all accumulated and unpaid distributions on the Series B Preference Units have been paid in full. Certain other limited protective voting rights are described in this prospectus under "Description of Series B Preference Units—Voting Rights".</w:t>
      </w:r>
    </w:p>
    <w:p>
      <w:pPr>
        <w:spacing w:after="0" w:line="174" w:lineRule="exact"/>
        <w:rPr>
          <w:sz w:val="20"/>
          <w:szCs w:val="20"/>
          <w:color w:val="auto"/>
        </w:rPr>
      </w:pPr>
    </w:p>
    <w:p>
      <w:pPr>
        <w:ind w:right="180" w:firstLine="395"/>
        <w:spacing w:after="0" w:line="268" w:lineRule="auto"/>
        <w:rPr>
          <w:sz w:val="20"/>
          <w:szCs w:val="20"/>
          <w:color w:val="auto"/>
        </w:rPr>
      </w:pPr>
      <w:r>
        <w:rPr>
          <w:rFonts w:ascii="Arial" w:cs="Arial" w:eastAsia="Arial" w:hAnsi="Arial"/>
          <w:sz w:val="18"/>
          <w:szCs w:val="18"/>
          <w:b w:val="1"/>
          <w:bCs w:val="1"/>
          <w:i w:val="1"/>
          <w:iCs w:val="1"/>
          <w:color w:val="auto"/>
        </w:rPr>
        <w:t>We are a holding company and we depend on the ability of our subsidiaries to distribute funds to us in order to satisfy our financial obligations and to make distributions to unitholders.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unitholders depends entirely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unitholders.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The amount of your liquidation preference is fixed and you will have no right to receive any greater payment regardless of the circumstances.</w:t>
      </w:r>
    </w:p>
    <w:p>
      <w:pPr>
        <w:spacing w:after="0" w:line="248"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payment due upon a liquidation is fixed at the redemption preference of $25.00 per unit plus accumulated and unpaid distributions to the date of liquidation. If, in the case of our liquidation, there are remaining assets to be distributed after payment of this amount, you will have no right to receive or to participate in these amounts. Furthermore, if the market price for your Series B Preference Units is greater than the liquidation preference, you will have no right to receive the market price from us upon our liquidation.</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Series B Preference Units are redeemable at our option.</w:t>
      </w:r>
    </w:p>
    <w:p>
      <w:pPr>
        <w:spacing w:after="0" w:line="225" w:lineRule="exact"/>
        <w:rPr>
          <w:sz w:val="20"/>
          <w:szCs w:val="20"/>
          <w:color w:val="auto"/>
        </w:rPr>
      </w:pPr>
    </w:p>
    <w:p>
      <w:pPr>
        <w:ind w:right="100" w:firstLine="348"/>
        <w:spacing w:after="0" w:line="318" w:lineRule="auto"/>
        <w:rPr>
          <w:sz w:val="20"/>
          <w:szCs w:val="20"/>
          <w:color w:val="auto"/>
        </w:rPr>
      </w:pPr>
      <w:r>
        <w:rPr>
          <w:rFonts w:ascii="Arial" w:cs="Arial" w:eastAsia="Arial" w:hAnsi="Arial"/>
          <w:sz w:val="15"/>
          <w:szCs w:val="15"/>
          <w:color w:val="auto"/>
        </w:rPr>
        <w:t>We may, at our option, redeem all or, from time to time, part of the Series B Preference Units on or after March 15, 2023. If we redeem your Series B Preference Units, you will be entitled to receive a redemption price equal to $25.00 per unit plus accumulated and unpaid distributions to the date of redemption. It is likely that we would choose to exercise our optional redemption right only when prevailing interest rates have declined, which would adversely affect your ability to reinvest your proceeds from the redemption in a comparable investment with an equal or greater yield to the yield on the Series B Preference Units had the units of the Series B Preference Units not been redeemed. We may elect to exercise our partial redemption right on multiple occasions.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historical levels of three-month LIBOR are not an indication of the future levels of three-month LIBOR.</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From and including March 15, 2023, the distribution rate for the Series B Preference Units will be determined based on three-month LIBOR. In the past, the level of three-month LIBOR has experienced significant fluctuations. Historical levels, fluctuations and trends of three-month LIBOR are not necessarily indicative of future levels. Any historical upward or downward trend in three-month LIBOR is not an indication that three-month LIBOR is more or less likely to increase or decrease at any time during the Floating Rate Period, and you should not take the historical levels of three-month LIBOR as an indication of its future performance. Although the actual three-month LIBOR on a Distribution Payment Date or at other times during a Distribution Period (as defined herein) may be higher than the three-month LIBOR on the applicable Distribution Determination Date (as defined herein), you will not benefit from the three-month LIBOR at any time other than on the Distribution Determination Date for such Distribution Period. As a result, changes in the three-month LIBOR may not result in a comparable change in the market value of the Series B Preference Units on or after March 15, 2023.</w:t>
      </w:r>
    </w:p>
    <w:p>
      <w:pPr>
        <w:spacing w:after="0" w:line="172" w:lineRule="exact"/>
        <w:rPr>
          <w:sz w:val="20"/>
          <w:szCs w:val="20"/>
          <w:color w:val="auto"/>
        </w:rPr>
      </w:pPr>
    </w:p>
    <w:p>
      <w:pPr>
        <w:ind w:right="40" w:firstLine="395"/>
        <w:spacing w:after="0" w:line="259" w:lineRule="auto"/>
        <w:rPr>
          <w:sz w:val="20"/>
          <w:szCs w:val="20"/>
          <w:color w:val="auto"/>
        </w:rPr>
      </w:pPr>
      <w:r>
        <w:rPr>
          <w:rFonts w:ascii="Arial" w:cs="Arial" w:eastAsia="Arial" w:hAnsi="Arial"/>
          <w:sz w:val="18"/>
          <w:szCs w:val="18"/>
          <w:b w:val="1"/>
          <w:bCs w:val="1"/>
          <w:i w:val="1"/>
          <w:iCs w:val="1"/>
          <w:color w:val="auto"/>
        </w:rPr>
        <w:t>Increased regulatory oversight, uncertainty relating to the LIBOR calculation process and potential phasing out of LIBOR after 2021 may adversely affect the value of and return on the Series B Preference Units. If LIBOR is discontinued, distributions on the Series B Preference Units during the Floating Rate Period may be calculated using another base rate.</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Regulators and law enforcement agencies in the United Kingdom and elsewhere are conducting civil and criminal investigations into whether the banks that contribute to the British Bankers' Association (the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July 27, 2017, the United Kingdom Financial Conduct Authority ("FCA"), which regulates LIBOR, announced that it intends to stop persuading or compelling banks to submit rates for the calculation of LIBOR to the administrator of LIBOR after 2021 ("FCA Announcement"). The FCA Announcement indicates that the continuation of LIBOR on the current basis is not guaranteed after 2021. It is not possible to predict the effect of the FCA Announcement, any changes in the methods pursuant to which LIBOR rates are determined and any other reforms to LIBOR that will be enacted in the United Kingdom and elsewhere, which may adversely affect the trading market for LIBOR based securities, including the Series B Preference Units, or result in the phasing out of LIBOR as a reference rate for securities. In addition, any changes announced by the FCA, including the FCA Announcement, the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 reported LIBOR rates. If that were to occur, the level of distribution payments during the Floating Rate Period would be affected and the value of the Series B Preference Units may be materially affected.</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Further, if a LIBOR rate is not available on a Distribution Determination Date during the Floating Rate Period, the terms of the Series B Preference Units will require alternative determination procedures which may result in distribution payments differing from expectations and could materially affect the value of the Series B Preference Units. If a published LIBOR rate is unavailable, the rate on the Series B Preference Units will be determined as set forth under "Description of Series B Preference Units—Distributions—Distribution Rate".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addition to the following risk factors, you should read "Material U.S. Federal Income Tax Considerations" and "Non-United States Tax Considerations" for a more complete discussion of the expected material U.S. federal and non-U.S. income tax considerations relating to us and the ownership and disposition of our Series B Preference Units.</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will be subject to taxes, which will reduce our cash available for distribution to the holders of our Series B Preference Units.</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 Please see "Material United States Federal Income Tax Considerations" and "Non-United States Tax Considerations".</w:t>
      </w:r>
    </w:p>
    <w:p>
      <w:pPr>
        <w:spacing w:after="0" w:line="172" w:lineRule="exact"/>
        <w:rPr>
          <w:sz w:val="20"/>
          <w:szCs w:val="20"/>
          <w:color w:val="auto"/>
        </w:rPr>
      </w:pPr>
    </w:p>
    <w:p>
      <w:pPr>
        <w:ind w:right="400" w:firstLine="395"/>
        <w:spacing w:after="0" w:line="268" w:lineRule="auto"/>
        <w:rPr>
          <w:sz w:val="20"/>
          <w:szCs w:val="20"/>
          <w:color w:val="auto"/>
        </w:rPr>
      </w:pPr>
      <w:r>
        <w:rPr>
          <w:rFonts w:ascii="Arial" w:cs="Arial" w:eastAsia="Arial" w:hAnsi="Arial"/>
          <w:sz w:val="18"/>
          <w:szCs w:val="18"/>
          <w:b w:val="1"/>
          <w:bCs w:val="1"/>
          <w:i w:val="1"/>
          <w:iCs w:val="1"/>
          <w:color w:val="auto"/>
        </w:rPr>
        <w:t>U.S. tax authorities could treat us as a "passive foreign investment company" under certain circumstances, which would have adverse U.S. federal income tax consequences to U.S. holders of our Series B Preference Units.</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 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Based on our past, current and projected methods of operation, and an opinion of our U.S. counsel, Cravath, Swaine &amp; Moore LLP, we believe that we were not a PFIC for any of our previous tax years and that we will not be a PFIC for our current tax year, and we expect that we will not be treated as a PFIC for any future tax year. We have received opinions of our U.S. counsel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years arose and that we expect that more than 25.0% of our gross income for our current and each future year will arise from such time-chartering activities, and more than 50.0% of the average value of our assets for each such year was or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any of our previous tax years or for our current tax year or any future year. This opinion is based and its accuracy is conditioned on representations, valuations and projections provided by us regarding our assets, income and charters to our U.S. counsel. While we believe these representations, valuations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projections to be accurate, the shipping market is volatile and no assurance can be given that they will continue to be accurate at any time in the future.</w:t>
      </w:r>
    </w:p>
    <w:p>
      <w:pPr>
        <w:spacing w:after="0" w:line="248"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Moreover, there are legal uncertainties involved in determining whether the income derived from time-chartering activities constitutes rental income or income derived from the performance of services. In Tidewater Inc. v. United States, 565 F.3d 299 (5th Cir. 2009), the United States Court of Appeals for the Fifth Circuit, or the "Fifth Circuit", held that income derived from certain time-chartering activities should be treated as rental income rather than services income for purposes of a provision of the U.S. Internal Revenue Code of 1986, as amended, or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Tidewater, and specified that time charters similar to those at issue in the case should be treated as 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will not be a PFIC in the future. If the IRS were to find that we are or have been a PFIC for any tax year (and regardless of whether we remain a PFIC for any subsequent tax year), our U.S. holders would face adverse U.S. federal income tax consequences. See "Material U.S. Federal Income Tax Considerations—U.S. Federal Income Taxation of U.S. Holders—PFIC Status and Significant Tax Consequences" for a more detailed discussion of the U.S. federal income tax consequences to U.S. holders of our Series B Preference Units if we are treated as a PFIC.</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have to pay tax on U.S.-source income, which will reduce our cash flow.</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6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do not expect to qualify for an exemption from such U.S. federal income tax under a tax treaty nor do we expect to qualify for the exemption under Section 883 of the Code during the 2018 tax year, unless our general partner exercises the "GasLog option" described below. Even if we do not qualify for such an exemption, we do not currently expect any resulting U.S. federal income tax liability to be material or materially reduce the earnings available for distribution to our holders. For 2016, the U.S. source gross transportation tax was $0.06 million, and for the first nine months of 2017, the gross U.S. source gross transportation tax was $0.19 million. For a more detailed discussion, see the section entitled "Material United States Federal Income Tax Considerations—U.S. Federal Income Taxation of Our Company".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95"/>
        <w:spacing w:after="0" w:line="259" w:lineRule="auto"/>
        <w:rPr>
          <w:sz w:val="20"/>
          <w:szCs w:val="20"/>
          <w:color w:val="auto"/>
        </w:rPr>
      </w:pPr>
      <w:r>
        <w:rPr>
          <w:rFonts w:ascii="Arial" w:cs="Arial" w:eastAsia="Arial" w:hAnsi="Arial"/>
          <w:sz w:val="18"/>
          <w:szCs w:val="18"/>
          <w:b w:val="1"/>
          <w:bCs w:val="1"/>
          <w:i w:val="1"/>
          <w:iCs w:val="1"/>
          <w:color w:val="auto"/>
        </w:rPr>
        <w:t>You may be subject to income tax in one or more non-U.S. jurisdictions as a result of owning our Series B Preference Units if, under the laws of any such jurisdiction, we are considered to be carrying on business there. Such laws may require you to file a tax return with, and pay taxes to, those jurisdictions.</w:t>
      </w:r>
    </w:p>
    <w:p>
      <w:pPr>
        <w:spacing w:after="0" w:line="19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holders may be treated as having a permanent establishment or tax presence in a jurisdiction where we or our subsidiaries conduct activities simply by virtue of their ownership of our Series B Preference Units. However, because we are organized as a partnership, there is a risk in some jurisdictions that our activities or the activities of our subsidiaries may rise to the level of a tax presence that is attributed to our holders for tax purposes. If you are attributed such a tax presence in a jurisdiction, you may be required to file a tax return with, and to pay tax in, that jurisdiction based 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and Fiduciary Duties</w:t>
      </w:r>
    </w:p>
    <w:p>
      <w:pPr>
        <w:spacing w:after="0" w:line="231" w:lineRule="exact"/>
        <w:rPr>
          <w:sz w:val="20"/>
          <w:szCs w:val="20"/>
          <w:color w:val="auto"/>
        </w:rPr>
      </w:pPr>
    </w:p>
    <w:p>
      <w:pPr>
        <w:ind w:right="80" w:firstLine="395"/>
        <w:spacing w:after="0" w:line="370" w:lineRule="auto"/>
        <w:rPr>
          <w:sz w:val="20"/>
          <w:szCs w:val="20"/>
          <w:color w:val="auto"/>
        </w:rPr>
      </w:pPr>
      <w:r>
        <w:rPr>
          <w:rFonts w:ascii="Arial" w:cs="Arial" w:eastAsia="Arial" w:hAnsi="Arial"/>
          <w:sz w:val="15"/>
          <w:szCs w:val="15"/>
          <w:b w:val="1"/>
          <w:bCs w:val="1"/>
          <w:i w:val="1"/>
          <w:iCs w:val="1"/>
          <w:color w:val="auto"/>
        </w:rPr>
        <w:t>GasLog and our general partner own a controlling interest in us and have conflicts of interest and limited fiduciary and contractual duties to us, to our common unitholders and to holders of our Series B Preference Units, which may permit them to favor their own interests to your detriment.</w:t>
      </w:r>
    </w:p>
    <w:p>
      <w:pPr>
        <w:spacing w:after="0" w:line="11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GasLog currently holds a 25.9% interest (including the 2% interest through general partner units) in us, and owns and controls our general partner. Under the Partnership Agreement, our general partner has delegated to our board of directors the authority to oversee and direct our operations, management and policies on an exclusive basis, and such delegation will be binding on any successor general partner of the partnership. In addition, our general partner has the right to appoint four of seven, or a majority, of our directors. Certain of our directors and officers are directors and officers of GasLog or its affiliates, and, as such, they have fiduciary duties to GasLog or its affiliates that may cause them to pursue business strategies that disproportionately benefit GasLog or its affiliates or which otherwise are not in the best interests of us or our unitholders. Conflicts of interest may arise between GasLog and its affiliates (including our general partner), on the one hand, and us and our unitholders, on the other hand. As a result of these conflicts, our general partner and its affiliates may favor their own interests over the interests of our unitholders. These conflicts include, among others, the following situations:</w:t>
      </w:r>
    </w:p>
    <w:p>
      <w:pPr>
        <w:spacing w:after="0" w:line="186" w:lineRule="exact"/>
        <w:rPr>
          <w:sz w:val="20"/>
          <w:szCs w:val="20"/>
          <w:color w:val="auto"/>
        </w:rPr>
      </w:pPr>
    </w:p>
    <w:p>
      <w:pPr>
        <w:ind w:left="1080" w:right="24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our general partner or GasLog or its affiliates to pursue a business strategy that favors us or utilizes our assets, and GasLog's officers and directors have a fiduciary duty to make decisions in the best interests of the shareholders of GasLog, which may be contrary to our interests;</w:t>
      </w:r>
    </w:p>
    <w:p>
      <w:pPr>
        <w:spacing w:after="0" w:line="221"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Partnership Agreement 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fiduciary duty or obligation to give any consideration to any interest of, or factors affecting, us, our affiliates or our unitholders.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306" w:lineRule="auto"/>
        <w:rPr>
          <w:sz w:val="20"/>
          <w:szCs w:val="20"/>
          <w:color w:val="auto"/>
        </w:rPr>
      </w:pPr>
      <w:r>
        <w:rPr>
          <w:rFonts w:ascii="Arial" w:cs="Arial" w:eastAsia="Arial" w:hAnsi="Arial"/>
          <w:sz w:val="16"/>
          <w:szCs w:val="16"/>
          <w:color w:val="auto"/>
        </w:rPr>
        <w:t>of the outstanding units, voluntarily withdraws from the partnership, transfers (to the extent permitted under our Partnership Agreement) or refrains from transferring its units or general partner interest or votes upon the dissolution of the partnership. Our general partner and our directors are entitled to make other decisions in "good faith" if they reasonably believe that the decision is in our best interests;</w:t>
      </w:r>
    </w:p>
    <w:p>
      <w:pPr>
        <w:spacing w:after="0" w:line="174" w:lineRule="exact"/>
        <w:rPr>
          <w:sz w:val="20"/>
          <w:szCs w:val="20"/>
          <w:color w:val="auto"/>
        </w:rPr>
      </w:pPr>
    </w:p>
    <w:p>
      <w:pPr>
        <w:ind w:left="1080" w:hanging="532"/>
        <w:spacing w:after="0" w:line="256"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our Partnership Agreement, as permitted under Marshall Islands law, our general partner and our directors have limited fiduciary duties. The Partnership Agreement also restricts the remedies available to our unitholders; as a result of purchasing Series B Preference Units, unitholders are treated as having agreed to the modified standard of fiduciary duties and to certain actions that may be taken by our general partner and our directors, all as set forth in the Partnership Agreement;</w:t>
      </w:r>
    </w:p>
    <w:p>
      <w:pPr>
        <w:spacing w:after="0" w:line="224"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Partnership Agreement generally provides that transactions with our affiliates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w:t>
      </w:r>
    </w:p>
    <w:p>
      <w:pPr>
        <w:spacing w:after="0" w:line="183" w:lineRule="exact"/>
        <w:rPr>
          <w:rFonts w:ascii="Arial" w:cs="Arial" w:eastAsia="Arial" w:hAnsi="Arial"/>
          <w:sz w:val="16"/>
          <w:szCs w:val="16"/>
          <w:color w:val="auto"/>
        </w:rPr>
      </w:pPr>
    </w:p>
    <w:p>
      <w:pPr>
        <w:ind w:left="1080" w:right="60" w:hanging="532"/>
        <w:spacing w:after="0" w:line="335" w:lineRule="auto"/>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Partnership Agreement provides that neither our general partner nor our officers or directors will be liable for monetary damages to us, our limited partners or assignees for any acts or omissions, unless there has been a final and non-appealable judgment entered by a court of competent jurisdiction determining that our general partner or our officers or directors or those other persons engaged in actual fraud or willful misconduct;</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Even if our general partner relinquishes the power to elect one director to the common unitholders or holders of our Series A Preference Units and Series B Preference Units gain the power to elect an additional director (as described in "The Offering—Voting Rights", above), our general partner will have substantial influence on decisions made by our board of directors. For further discussion, see "Item 7. Major Unitholders and Related Party Transactions—B. Related Party Transactions" in our Annual Report on Form 20-F. In order to become a limited partner of our partnership, a holder of our Series B Preference Units is required to agree to be bound by the provisions in the Partnership Agreement, including the provisions discussed above.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supplement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supplement,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12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dry-docking and insurance costs and bunkers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off-hire days, dry-docking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expenses;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charter commitments, including the risk that our vessels may no longer have the latest technology at such time which may impact the rate at which we can charter such vessels;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25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credit facility with GasLog entered into on April 3, 2017 and our ability to meet our restrictive covenants and other obligations under our credit facilities;</w:t>
      </w:r>
    </w:p>
    <w:p>
      <w:pPr>
        <w:spacing w:after="0" w:line="199" w:lineRule="exact"/>
        <w:rPr>
          <w:sz w:val="20"/>
          <w:szCs w:val="20"/>
          <w:color w:val="auto"/>
        </w:rPr>
      </w:pPr>
    </w:p>
    <w:p>
      <w:pPr>
        <w:ind w:left="1080" w:right="3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GasLog's ability to retain key employees and provide services to us, and the availability of skilled labor, ship crews and management;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52"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available at http://www.sec.gov.</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estimate that the net proceeds from this offering, after deducting underwriting discounts and estimated expenses payable by us, will be approximately</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million ($ million if the underwriter exercises its option to purchase additional units in full which includes an additional $ million from our general partner's related capital contribution).</w:t>
      </w:r>
    </w:p>
    <w:p>
      <w:pPr>
        <w:spacing w:after="0" w:line="192"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We plan to use the net proceeds from the sale of the preference units covered by this prospectus for general partnership purposes, which may include future acquisitions, debt repayment, capital expenditures and additions to working capital. We currently expect that this will include future acquisitions from GasLog.</w:t>
      </w:r>
    </w:p>
    <w:p>
      <w:pPr>
        <w:spacing w:after="0" w:line="11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are not obligated to purchase any of the vessels from GasLog that we have the option to purchase under the omnibus agreement and, accordingly, we may not complete the purchase of any such vessels. Furthermore, our ability to purchase any additional vessels, including under the omnibus agreement, is dependent on our ability to obtain financing to fund all or a portion of the acquisition costs of these vessels. See "Item 3. Key Information—D. Risk Factors— 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RATIO OF EARNINGS TO FIXED CHARGES AND PREFERENCE UNIT DISTRIBUTIONS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the periods indicated, computed using amounts derived from our financial statements prepared in accordance with IFRS as issued by the International Accounting Standards Board.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5"/>
            <w:vMerge w:val="restart"/>
          </w:tcPr>
          <w:p>
            <w:pPr>
              <w:jc w:val="right"/>
              <w:ind w:right="199"/>
              <w:spacing w:after="0"/>
              <w:rPr>
                <w:sz w:val="20"/>
                <w:szCs w:val="20"/>
                <w:color w:val="auto"/>
              </w:rPr>
            </w:pPr>
            <w:r>
              <w:rPr>
                <w:rFonts w:ascii="Arial" w:cs="Arial" w:eastAsia="Arial" w:hAnsi="Arial"/>
                <w:sz w:val="14"/>
                <w:szCs w:val="14"/>
                <w:b w:val="1"/>
                <w:bCs w:val="1"/>
                <w:color w:val="auto"/>
              </w:rPr>
              <w:t>Year Ended December 31,</w:t>
            </w:r>
            <w:r>
              <w:rPr>
                <w:rFonts w:ascii="Arial" w:cs="Arial" w:eastAsia="Arial" w:hAnsi="Arial"/>
                <w:sz w:val="22"/>
                <w:szCs w:val="22"/>
                <w:b w:val="1"/>
                <w:bCs w:val="1"/>
                <w:color w:val="auto"/>
                <w:vertAlign w:val="superscript"/>
              </w:rPr>
              <w:t>(1)</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gridSpan w:val="7"/>
          </w:tcPr>
          <w:p>
            <w:pPr>
              <w:jc w:val="right"/>
              <w:ind w:right="59"/>
              <w:spacing w:after="0" w:line="142" w:lineRule="exact"/>
              <w:rPr>
                <w:sz w:val="20"/>
                <w:szCs w:val="20"/>
                <w:color w:val="auto"/>
              </w:rPr>
            </w:pPr>
            <w:r>
              <w:rPr>
                <w:rFonts w:ascii="Arial" w:cs="Arial" w:eastAsia="Arial" w:hAnsi="Arial"/>
                <w:sz w:val="14"/>
                <w:szCs w:val="14"/>
                <w:b w:val="1"/>
                <w:bCs w:val="1"/>
                <w:color w:val="auto"/>
              </w:rPr>
              <w:t>(in thousands of U.S. dollars, except ratios)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Pre-tax (loss)/income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640" w:type="dxa"/>
            <w:vAlign w:val="bottom"/>
          </w:tcPr>
          <w:p>
            <w:pPr>
              <w:jc w:val="right"/>
              <w:spacing w:after="0"/>
              <w:rPr>
                <w:sz w:val="20"/>
                <w:szCs w:val="20"/>
                <w:color w:val="auto"/>
              </w:rPr>
            </w:pPr>
            <w:r>
              <w:rPr>
                <w:rFonts w:ascii="Arial" w:cs="Arial" w:eastAsia="Arial" w:hAnsi="Arial"/>
                <w:sz w:val="18"/>
                <w:szCs w:val="18"/>
                <w:color w:val="auto"/>
              </w:rPr>
              <w:t>31,002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49,028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77,623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90,462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76,411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12,389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36,206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30,974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40,848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35,473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Earnings available for fixed charges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8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Amortization of capitalized expenses relating to</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indebtedness.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12,768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7,438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Fixed Charges before preference unit</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35,473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80" w:type="dxa"/>
            <w:vAlign w:val="bottom"/>
            <w:gridSpan w:val="3"/>
          </w:tcPr>
          <w:p>
            <w:pPr>
              <w:spacing w:after="0"/>
              <w:rPr>
                <w:sz w:val="20"/>
                <w:szCs w:val="20"/>
                <w:color w:val="auto"/>
              </w:rPr>
            </w:pPr>
            <w:r>
              <w:rPr>
                <w:rFonts w:ascii="Arial" w:cs="Arial" w:eastAsia="Arial" w:hAnsi="Arial"/>
                <w:sz w:val="18"/>
                <w:szCs w:val="18"/>
                <w:color w:val="auto"/>
              </w:rPr>
              <w:t>Preference Unit Distributions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Combined Fixed Charges and preference unit</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40,122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line="277"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9"/>
                <w:szCs w:val="29"/>
                <w:b w:val="1"/>
                <w:bCs w:val="1"/>
                <w:color w:val="auto"/>
                <w:vertAlign w:val="superscript"/>
              </w:rPr>
              <w:t>(2)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gridSpan w:val="3"/>
            <w:vMerge w:val="continue"/>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n/m</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3.51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3.21</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Ratio of Earnings to Fixed Charges and</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960" w:type="dxa"/>
            <w:vAlign w:val="bottom"/>
            <w:gridSpan w:val="2"/>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rPr>
              <w:t>Preference Unit Distributions</w:t>
            </w:r>
            <w:r>
              <w:rPr>
                <w:rFonts w:ascii="Arial" w:cs="Arial" w:eastAsia="Arial" w:hAnsi="Arial"/>
                <w:sz w:val="29"/>
                <w:szCs w:val="29"/>
                <w:b w:val="1"/>
                <w:bCs w:val="1"/>
                <w:color w:val="auto"/>
                <w:vertAlign w:val="superscript"/>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n/m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Dollar Amount of the Coverage Deficiency</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1,715</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28" w:lineRule="auto"/>
        <w:tabs>
          <w:tab w:leader="none" w:pos="1680" w:val="left"/>
        </w:tabs>
        <w:numPr>
          <w:ilvl w:val="0"/>
          <w:numId w:val="26"/>
        </w:numPr>
        <w:rPr>
          <w:rFonts w:ascii="Arial" w:cs="Arial" w:eastAsia="Arial" w:hAnsi="Arial"/>
          <w:sz w:val="11"/>
          <w:szCs w:val="11"/>
          <w:color w:val="auto"/>
        </w:rPr>
      </w:pPr>
      <w:r>
        <w:rPr>
          <w:rFonts w:ascii="Arial" w:cs="Arial" w:eastAsia="Arial" w:hAnsi="Arial"/>
          <w:sz w:val="14"/>
          <w:szCs w:val="14"/>
          <w:color w:val="auto"/>
        </w:rPr>
        <w:t xml:space="preserve">Restated so as to reflect the historical results of GAS-sixteen Ltd., GAS-seventeen Ltd., GAS-nineteen Ltd., GAS-twenty Ltd., GAS-twenty one Ltd., GAS-seven Ltd., GAS-eleven Ltd. and GAS-thirteen Ltd. from their respective dates of incorporation by GasLog. See Note 1 to the audited consolidated financial statements for the year ended December 31, 2016 on our Report on Form 6-K filed on September 29, 2017, after reflecting the retroactive restatement for the transfer of the </w:t>
      </w:r>
      <w:r>
        <w:rPr>
          <w:rFonts w:ascii="Arial" w:cs="Arial" w:eastAsia="Arial" w:hAnsi="Arial"/>
          <w:sz w:val="14"/>
          <w:szCs w:val="14"/>
          <w:i w:val="1"/>
          <w:iCs w:val="1"/>
          <w:color w:val="auto"/>
        </w:rPr>
        <w:t>GasLog Geneva</w:t>
      </w:r>
      <w:r>
        <w:rPr>
          <w:rFonts w:ascii="Arial" w:cs="Arial" w:eastAsia="Arial" w:hAnsi="Arial"/>
          <w:sz w:val="14"/>
          <w:szCs w:val="14"/>
          <w:color w:val="auto"/>
        </w:rPr>
        <w:t>, on July 3, 2017, from GasLog to GasLog Partners, and Note 1 to the unaudited condensed consolidated financial statements for the three and nine months ended September 30, 2016 and 2017 on Form 6-K incorporated herein by reference.</w:t>
      </w:r>
    </w:p>
    <w:p>
      <w:pPr>
        <w:spacing w:after="0" w:line="73" w:lineRule="exact"/>
        <w:rPr>
          <w:rFonts w:ascii="Arial" w:cs="Arial" w:eastAsia="Arial" w:hAnsi="Arial"/>
          <w:sz w:val="11"/>
          <w:szCs w:val="11"/>
          <w:color w:val="auto"/>
        </w:rPr>
      </w:pPr>
    </w:p>
    <w:p>
      <w:pPr>
        <w:ind w:left="1680" w:hanging="531"/>
        <w:spacing w:after="0"/>
        <w:tabs>
          <w:tab w:leader="none" w:pos="168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For purposes of calculating the ratios above:</w:t>
      </w:r>
    </w:p>
    <w:p>
      <w:pPr>
        <w:spacing w:after="0" w:line="200" w:lineRule="exact"/>
        <w:rPr>
          <w:rFonts w:ascii="Arial" w:cs="Arial" w:eastAsia="Arial" w:hAnsi="Arial"/>
          <w:sz w:val="22"/>
          <w:szCs w:val="22"/>
          <w:color w:val="auto"/>
          <w:vertAlign w:val="superscript"/>
        </w:rPr>
      </w:pPr>
    </w:p>
    <w:p>
      <w:pPr>
        <w:spacing w:after="0" w:line="248" w:lineRule="exact"/>
        <w:rPr>
          <w:rFonts w:ascii="Arial" w:cs="Arial" w:eastAsia="Arial" w:hAnsi="Arial"/>
          <w:sz w:val="22"/>
          <w:szCs w:val="22"/>
          <w:color w:val="auto"/>
          <w:vertAlign w:val="superscript"/>
        </w:rPr>
      </w:pPr>
    </w:p>
    <w:p>
      <w:pPr>
        <w:ind w:left="2220" w:right="360" w:hanging="531"/>
        <w:spacing w:after="0" w:line="209" w:lineRule="auto"/>
        <w:tabs>
          <w:tab w:leader="none" w:pos="2220" w:val="left"/>
        </w:tabs>
        <w:numPr>
          <w:ilvl w:val="1"/>
          <w:numId w:val="26"/>
        </w:numPr>
        <w:rPr>
          <w:rFonts w:ascii="Arial" w:cs="Arial" w:eastAsia="Arial" w:hAnsi="Arial"/>
          <w:sz w:val="18"/>
          <w:szCs w:val="18"/>
          <w:color w:val="auto"/>
        </w:rPr>
      </w:pPr>
      <w:r>
        <w:rPr>
          <w:rFonts w:ascii="Arial" w:cs="Arial" w:eastAsia="Arial" w:hAnsi="Arial"/>
          <w:sz w:val="14"/>
          <w:szCs w:val="14"/>
          <w:color w:val="auto"/>
        </w:rPr>
        <w:t>"earnings" is the result of adding (a) pre-tax (loss)/income from continuing operations (which includes non-cash unrealized gains and losses on derivative financial instruments) and (b) fixed charges;</w:t>
      </w:r>
    </w:p>
    <w:p>
      <w:pPr>
        <w:spacing w:after="0" w:line="185" w:lineRule="exact"/>
        <w:rPr>
          <w:rFonts w:ascii="Arial" w:cs="Arial" w:eastAsia="Arial" w:hAnsi="Arial"/>
          <w:sz w:val="18"/>
          <w:szCs w:val="18"/>
          <w:color w:val="auto"/>
        </w:rPr>
      </w:pPr>
    </w:p>
    <w:p>
      <w:pPr>
        <w:ind w:left="2220" w:hanging="531"/>
        <w:spacing w:after="0"/>
        <w:tabs>
          <w:tab w:leader="none" w:pos="2220" w:val="left"/>
        </w:tabs>
        <w:numPr>
          <w:ilvl w:val="1"/>
          <w:numId w:val="26"/>
        </w:numPr>
        <w:rPr>
          <w:rFonts w:ascii="Arial" w:cs="Arial" w:eastAsia="Arial" w:hAnsi="Arial"/>
          <w:sz w:val="18"/>
          <w:szCs w:val="18"/>
          <w:color w:val="auto"/>
        </w:rPr>
      </w:pPr>
      <w:r>
        <w:rPr>
          <w:rFonts w:ascii="Arial" w:cs="Arial" w:eastAsia="Arial" w:hAnsi="Arial"/>
          <w:sz w:val="14"/>
          <w:szCs w:val="14"/>
          <w:color w:val="auto"/>
        </w:rPr>
        <w:t>"fixed charges" represent (i) interest incurred and (ii) amortization of capitalized expenses related to indebtedness;</w:t>
      </w:r>
    </w:p>
    <w:p>
      <w:pPr>
        <w:spacing w:after="0" w:line="205" w:lineRule="exact"/>
        <w:rPr>
          <w:rFonts w:ascii="Arial" w:cs="Arial" w:eastAsia="Arial" w:hAnsi="Arial"/>
          <w:sz w:val="18"/>
          <w:szCs w:val="18"/>
          <w:color w:val="auto"/>
        </w:rPr>
      </w:pPr>
    </w:p>
    <w:p>
      <w:pPr>
        <w:ind w:left="2220" w:hanging="531"/>
        <w:spacing w:after="0" w:line="216" w:lineRule="auto"/>
        <w:tabs>
          <w:tab w:leader="none" w:pos="2220" w:val="left"/>
        </w:tabs>
        <w:numPr>
          <w:ilvl w:val="1"/>
          <w:numId w:val="26"/>
        </w:numPr>
        <w:rPr>
          <w:rFonts w:ascii="Arial" w:cs="Arial" w:eastAsia="Arial" w:hAnsi="Arial"/>
          <w:sz w:val="18"/>
          <w:szCs w:val="18"/>
          <w:color w:val="auto"/>
        </w:rPr>
      </w:pPr>
      <w:r>
        <w:rPr>
          <w:rFonts w:ascii="Arial" w:cs="Arial" w:eastAsia="Arial" w:hAnsi="Arial"/>
          <w:sz w:val="14"/>
          <w:szCs w:val="14"/>
          <w:color w:val="auto"/>
        </w:rPr>
        <w:t>"preference unit distributions" represent the amount of pre-tax earnings that is required to pay the cash distributions on outstanding preference units and is computed as the amount of (a) the distribution divided by (b) the result of 1 minus the effective income tax rate applicable to continuing operations. We did not have any preference units outstanding during the years from 2012 to 2016, and the ratio of earnings to combined fixed charges and preference units is equivalent to the ratio of earnings to fixed charges for these years. As of September 30, 2017, we had 5,750,000 outstanding Series A Preference Units. The Series A Preference Units were issued on May 15, 2017.</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AND 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(a) cash and cash equivalents and (b) consolidated capitalization as of September 30, 2017 on an:</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adjusted basis, giving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27"/>
        </w:numPr>
        <w:rPr>
          <w:rFonts w:ascii="Arial" w:cs="Arial" w:eastAsia="Arial" w:hAnsi="Arial"/>
          <w:sz w:val="15"/>
          <w:szCs w:val="15"/>
          <w:color w:val="auto"/>
        </w:rPr>
      </w:pPr>
      <w:r>
        <w:rPr>
          <w:rFonts w:ascii="Arial" w:cs="Arial" w:eastAsia="Arial" w:hAnsi="Arial"/>
          <w:sz w:val="15"/>
          <w:szCs w:val="15"/>
          <w:color w:val="auto"/>
        </w:rPr>
        <w:t>scheduled principal payments on our bank indebtedness totaling $22.23 million during the period from October 1, 2017 to January 5, 2018;</w:t>
      </w:r>
    </w:p>
    <w:p>
      <w:pPr>
        <w:spacing w:after="0" w:line="273" w:lineRule="exact"/>
        <w:rPr>
          <w:rFonts w:ascii="Arial" w:cs="Arial" w:eastAsia="Arial" w:hAnsi="Arial"/>
          <w:sz w:val="15"/>
          <w:szCs w:val="15"/>
          <w:color w:val="auto"/>
        </w:rPr>
      </w:pPr>
    </w:p>
    <w:p>
      <w:pPr>
        <w:ind w:left="1620" w:hanging="532"/>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prepayment of $29.75 million under the junior tranche of the credit agreement entered into on February 18, 2016;</w:t>
      </w:r>
    </w:p>
    <w:p>
      <w:pPr>
        <w:spacing w:after="0" w:line="252" w:lineRule="exact"/>
        <w:rPr>
          <w:rFonts w:ascii="Arial" w:cs="Arial" w:eastAsia="Arial" w:hAnsi="Arial"/>
          <w:sz w:val="18"/>
          <w:szCs w:val="18"/>
          <w:color w:val="auto"/>
        </w:rPr>
      </w:pPr>
    </w:p>
    <w:p>
      <w:pPr>
        <w:ind w:left="1620" w:right="380" w:hanging="532"/>
        <w:spacing w:after="0" w:line="268"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the acquisition of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from GasLog on October 20, 2017 for a net consideration of $70.61 million ($185.90 million acquisition price less assumed debt of $116.52 million plus working capital adjustment of $1.23 million);</w:t>
      </w:r>
    </w:p>
    <w:p>
      <w:pPr>
        <w:spacing w:after="0" w:line="199" w:lineRule="exact"/>
        <w:rPr>
          <w:rFonts w:ascii="Arial" w:cs="Arial" w:eastAsia="Arial" w:hAnsi="Arial"/>
          <w:sz w:val="18"/>
          <w:szCs w:val="18"/>
          <w:color w:val="auto"/>
        </w:rPr>
      </w:pPr>
    </w:p>
    <w:p>
      <w:pPr>
        <w:ind w:left="1620" w:right="280" w:hanging="532"/>
        <w:spacing w:after="0" w:line="332" w:lineRule="auto"/>
        <w:tabs>
          <w:tab w:leader="none" w:pos="16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issuance of 385,520 common units for net proceeds of $8.87 million and 7,868 general partner units for $0.18 million in connection with the Equity Distribution Agreement subsequent to September 30, 2017, and through January 5, 2018;</w:t>
      </w:r>
    </w:p>
    <w:p>
      <w:pPr>
        <w:spacing w:after="0" w:line="152" w:lineRule="exact"/>
        <w:rPr>
          <w:rFonts w:ascii="Arial" w:cs="Arial" w:eastAsia="Arial" w:hAnsi="Arial"/>
          <w:sz w:val="16"/>
          <w:szCs w:val="16"/>
          <w:color w:val="auto"/>
        </w:rPr>
      </w:pPr>
    </w:p>
    <w:p>
      <w:pPr>
        <w:ind w:left="1620" w:hanging="532"/>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cash distribution of $22.38 million paid on November 10, 2017 to all unitholders of record as of November 6, 2017;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cash distribution of $3.10 million paid on December 15, 2017 to the Series A Preference unitholders of record as of December 8, 2017.</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further adjusted basis, giving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27"/>
        </w:numPr>
        <w:rPr>
          <w:rFonts w:ascii="Arial" w:cs="Arial" w:eastAsia="Arial" w:hAnsi="Arial"/>
          <w:sz w:val="15"/>
          <w:szCs w:val="15"/>
          <w:color w:val="auto"/>
        </w:rPr>
      </w:pPr>
      <w:r>
        <w:rPr>
          <w:rFonts w:ascii="Arial" w:cs="Arial" w:eastAsia="Arial" w:hAnsi="Arial"/>
          <w:sz w:val="15"/>
          <w:szCs w:val="15"/>
          <w:color w:val="auto"/>
        </w:rPr>
        <w:t>the issuance and sale of the Series B Preference Units (assuming the underwriters' option to purchase additional units is not exercised) at a</w:t>
      </w:r>
    </w:p>
    <w:p>
      <w:pPr>
        <w:sectPr>
          <w:pgSz w:w="11900" w:h="16838" w:orient="portrait"/>
          <w:cols w:equalWidth="0" w:num="1">
            <w:col w:w="11420"/>
          </w:cols>
          <w:pgMar w:left="240" w:top="131" w:right="239" w:bottom="1440" w:gutter="0" w:footer="0" w:header="0"/>
        </w:sectPr>
      </w:pPr>
    </w:p>
    <w:p>
      <w:pPr>
        <w:spacing w:after="0" w:line="50" w:lineRule="exact"/>
        <w:rPr>
          <w:sz w:val="20"/>
          <w:szCs w:val="20"/>
          <w:color w:val="auto"/>
        </w:rPr>
      </w:pPr>
    </w:p>
    <w:p>
      <w:pPr>
        <w:ind w:left="1620" w:right="560"/>
        <w:spacing w:after="0" w:line="261" w:lineRule="auto"/>
        <w:rPr>
          <w:sz w:val="20"/>
          <w:szCs w:val="20"/>
          <w:color w:val="auto"/>
        </w:rPr>
      </w:pPr>
      <w:r>
        <w:rPr>
          <w:rFonts w:ascii="Arial" w:cs="Arial" w:eastAsia="Arial" w:hAnsi="Arial"/>
          <w:sz w:val="18"/>
          <w:szCs w:val="18"/>
          <w:color w:val="auto"/>
        </w:rPr>
        <w:t>public offering price of $ per unit, resulting in net proceeds of approximately $ million (after deducting estimated offering expenses of $ million).</w:t>
      </w:r>
    </w:p>
    <w:p>
      <w:pPr>
        <w:sectPr>
          <w:pgSz w:w="11900" w:h="16838" w:orient="portrait"/>
          <w:cols w:equalWidth="0" w:num="1">
            <w:col w:w="11420"/>
          </w:cols>
          <w:pgMar w:left="240" w:top="131" w:right="239" w:bottom="1440" w:gutter="0" w:footer="0" w:header="0"/>
          <w:type w:val="continuous"/>
        </w:sectPr>
      </w:pPr>
    </w:p>
    <w:p>
      <w:pPr>
        <w:spacing w:after="0" w:line="192"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Other than these adjustments, there has been no material change in our capitalization from debt or equity issuances, re-capitalizations or special dividends between September 30, 2017, and the date of this prospectus supplement.</w:t>
      </w:r>
    </w:p>
    <w:p>
      <w:pPr>
        <w:spacing w:after="0" w:line="186" w:lineRule="exact"/>
        <w:rPr>
          <w:sz w:val="20"/>
          <w:szCs w:val="20"/>
          <w:color w:val="auto"/>
        </w:rPr>
      </w:pPr>
    </w:p>
    <w:p>
      <w:pPr>
        <w:jc w:val="both"/>
        <w:ind w:right="200" w:firstLine="348"/>
        <w:spacing w:after="0" w:line="335" w:lineRule="auto"/>
        <w:rPr>
          <w:sz w:val="20"/>
          <w:szCs w:val="20"/>
          <w:color w:val="auto"/>
        </w:rPr>
      </w:pPr>
      <w:r>
        <w:rPr>
          <w:rFonts w:ascii="Arial" w:cs="Arial" w:eastAsia="Arial" w:hAnsi="Arial"/>
          <w:sz w:val="15"/>
          <w:szCs w:val="15"/>
          <w:color w:val="auto"/>
        </w:rPr>
        <w:t>This table is derived from and should be read together with the condensed consolidated financial statements of GasLog Partners LP and the accompanying notes incorporated herein by reference. You should also read this table in conjunction with "Management's Discussion and Analysis of Financial Condition and Results of Operations" in Exhibit 99.2 of the Report on Form 6-K as furnished to the SEC on October 26, 2017 and incorporated herein by reference.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9"/>
          </w:tcPr>
          <w:p>
            <w:pPr>
              <w:ind w:left="600"/>
              <w:spacing w:after="0"/>
              <w:rPr>
                <w:sz w:val="20"/>
                <w:szCs w:val="20"/>
                <w:color w:val="auto"/>
              </w:rPr>
            </w:pPr>
            <w:r>
              <w:rPr>
                <w:rFonts w:ascii="Arial" w:cs="Arial" w:eastAsia="Arial" w:hAnsi="Arial"/>
                <w:sz w:val="14"/>
                <w:szCs w:val="14"/>
                <w:b w:val="1"/>
                <w:bCs w:val="1"/>
                <w:color w:val="auto"/>
              </w:rPr>
              <w:t>As of September 30, 2017</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98"/>
              </w:rPr>
              <w:t>As Further</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Adjusted</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2"/>
              </w:rPr>
              <w:t>(dollars 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192,554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53,542</w:t>
            </w:r>
          </w:p>
        </w:tc>
        <w:tc>
          <w:tcPr>
            <w:tcW w:w="120" w:type="dxa"/>
            <w:vAlign w:val="bottom"/>
          </w:tcPr>
          <w:p>
            <w:pPr>
              <w:spacing w:after="0"/>
              <w:rPr>
                <w:sz w:val="18"/>
                <w:szCs w:val="18"/>
                <w:color w:val="auto"/>
              </w:rPr>
            </w:pPr>
          </w:p>
        </w:tc>
        <w:tc>
          <w:tcPr>
            <w:tcW w:w="840" w:type="dxa"/>
            <w:vAlign w:val="bottom"/>
            <w:gridSpan w:val="2"/>
          </w:tcPr>
          <w:p>
            <w:pPr>
              <w:jc w:val="right"/>
              <w:ind w:right="65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CAPITALIZATION</w:t>
            </w:r>
          </w:p>
        </w:tc>
        <w:tc>
          <w:tcPr>
            <w:tcW w:w="2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Debt:</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Borrowings—current portion</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Borrowings—non-current portion</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953,018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1,061,913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1,049,104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1,113,645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1140"/>
              <w:spacing w:after="0"/>
              <w:rPr>
                <w:sz w:val="20"/>
                <w:szCs w:val="20"/>
                <w:color w:val="auto"/>
              </w:rPr>
            </w:pPr>
            <w:r>
              <w:rPr>
                <w:rFonts w:ascii="Arial" w:cs="Arial" w:eastAsia="Arial" w:hAnsi="Arial"/>
                <w:sz w:val="18"/>
                <w:szCs w:val="18"/>
                <w:color w:val="auto"/>
              </w:rPr>
              <w:t>Partners' Capital:</w:t>
            </w: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
            <w:vMerge w:val="continue"/>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unitholders: 40,616,601 units issued and outstanding as of</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7"/>
              </w:rPr>
              <w:t>September 30, 2017, and 41,002,121 units as adjusted and as further adjusted</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741,803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729,590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w w:val="88"/>
              </w:rPr>
              <w:t>General partner: 828,911 units issued and outstanding as of September 30, 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and 836,779 units as adjusted and as further adjusted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11,288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Series A Preference unitholders: 5,750,000 units issued and outstanding as of</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September 30, 2017 and as adjusted and as further adjusted</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139,298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136,198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Series B Preference unitholders: No units issued and outstanding as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w w:val="93"/>
              </w:rPr>
              <w:t>September 30, 2017 and as adjusted and</w:t>
            </w:r>
          </w:p>
        </w:tc>
        <w:tc>
          <w:tcPr>
            <w:tcW w:w="2440" w:type="dxa"/>
            <w:vAlign w:val="bottom"/>
          </w:tcPr>
          <w:p>
            <w:pPr>
              <w:ind w:left="260"/>
              <w:spacing w:after="0"/>
              <w:rPr>
                <w:sz w:val="20"/>
                <w:szCs w:val="20"/>
                <w:color w:val="auto"/>
              </w:rPr>
            </w:pPr>
            <w:r>
              <w:rPr>
                <w:rFonts w:ascii="Arial" w:cs="Arial" w:eastAsia="Arial" w:hAnsi="Arial"/>
                <w:sz w:val="18"/>
                <w:szCs w:val="18"/>
                <w:color w:val="auto"/>
                <w:w w:val="94"/>
              </w:rPr>
              <w:t>units issued and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as further adjusted</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Incentive Distribution Rights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gridSpan w:val="2"/>
          </w:tcPr>
          <w:p>
            <w:pPr>
              <w:ind w:left="1140"/>
              <w:spacing w:after="0"/>
              <w:rPr>
                <w:sz w:val="20"/>
                <w:szCs w:val="20"/>
                <w:color w:val="auto"/>
              </w:rPr>
            </w:pPr>
            <w:r>
              <w:rPr>
                <w:rFonts w:ascii="Arial" w:cs="Arial" w:eastAsia="Arial" w:hAnsi="Arial"/>
                <w:sz w:val="18"/>
                <w:szCs w:val="18"/>
                <w:color w:val="auto"/>
              </w:rPr>
              <w:t>Total Partners' Capital</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898,558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882,137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1,947,662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1,995,782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40" w:type="dxa"/>
            <w:vAlign w:val="bottom"/>
            <w:vMerge w:val="restart"/>
          </w:tcPr>
          <w:p>
            <w:pPr>
              <w:ind w:left="940"/>
              <w:spacing w:after="0"/>
              <w:rPr>
                <w:sz w:val="20"/>
                <w:szCs w:val="20"/>
                <w:color w:val="auto"/>
              </w:rPr>
            </w:pPr>
            <w:r>
              <w:rPr>
                <w:rFonts w:ascii="Arial" w:cs="Arial" w:eastAsia="Arial" w:hAnsi="Arial"/>
                <w:sz w:val="18"/>
                <w:szCs w:val="18"/>
                <w:color w:val="auto"/>
              </w:rPr>
              <w:t>S-38</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SERIES B PREFERENCE UNITS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The following description of the Series B Preference Units does not purport to be complete and is subject to, and qualified in its entirety by reference to the provisions of our Third Amended and Restated Agreement of Limited Partnership, or the Partnership Agreement, which is incorporated by reference into this prospectus, and sets forth the terms of the Series B Preference Units. A copy of the Partnership Agreement may be obtained from us as described under "Where You Can Find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340" w:firstLine="348"/>
        <w:spacing w:after="0" w:line="286" w:lineRule="auto"/>
        <w:rPr>
          <w:sz w:val="20"/>
          <w:szCs w:val="20"/>
          <w:color w:val="auto"/>
        </w:rPr>
      </w:pPr>
      <w:r>
        <w:rPr>
          <w:rFonts w:ascii="Arial" w:cs="Arial" w:eastAsia="Arial" w:hAnsi="Arial"/>
          <w:sz w:val="16"/>
          <w:szCs w:val="16"/>
          <w:color w:val="auto"/>
        </w:rPr>
        <w:t>The Series B Preference Units offered hereby are a new series of preference units. Upon completion of this offering, there will be Series B Preference Units issued and outstanding (or Series B Preference Units issued and outstanding if the underwriters exercise in full their option to</w:t>
      </w:r>
    </w:p>
    <w:p>
      <w:pPr>
        <w:jc w:val="both"/>
        <w:ind w:right="60"/>
        <w:spacing w:after="0" w:line="302" w:lineRule="auto"/>
        <w:rPr>
          <w:sz w:val="20"/>
          <w:szCs w:val="20"/>
          <w:color w:val="auto"/>
        </w:rPr>
      </w:pPr>
      <w:r>
        <w:rPr>
          <w:rFonts w:ascii="Arial" w:cs="Arial" w:eastAsia="Arial" w:hAnsi="Arial"/>
          <w:sz w:val="16"/>
          <w:szCs w:val="16"/>
          <w:color w:val="auto"/>
        </w:rPr>
        <w:t>purchase additional units). We may, without notice to or consent of the holders of the then-outstanding Series B Preference Units, authorize and issue additional Series B Preference Units and Junior Securities (each as defined under "Summary—The Offering—Ranking") and, subject to the limitations described under "— Voting Rights", Senior Securities and Parity Securities (as defined under "Summary—The Offering—Ranking").</w:t>
      </w:r>
    </w:p>
    <w:p>
      <w:pPr>
        <w:spacing w:after="0" w:line="163"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holders of our common units are entitled to receive, to the extent permitted by law, such distributions as may from time to time be declared by our board of directors. Upon any liquidation, dissolution or winding up of our affairs, whether voluntary or involuntary, the holders of our common units are entitled to receive distributions of our assets, after we have satisfied or made provision for our debts and other obligations and for payment to the holders of any class or series of limited partner interests (including the Series B Preference Units) having preferential rights to receive distributions of our assets.</w:t>
      </w:r>
    </w:p>
    <w:p>
      <w:pPr>
        <w:spacing w:after="0" w:line="16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Series B Preference Units will entitle the holders thereof to receive cumulative cash distributions when, as and if declared by our board of directors out of legally available funds for such purpose. When issued and paid for in the manner described in this prospectus, the Series B Preference Units offered hereby will be fully paid and nonassessable. Each Series B Preference Unit will have a fixed liquidation preference of $25.00 per unit plus an amount equal to accumulated and unpaid distributions thereon to the date fixed for payment, whether or not declared. Please read "—Liquidation Rights".</w:t>
      </w:r>
    </w:p>
    <w:p>
      <w:pPr>
        <w:spacing w:after="0" w:line="16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Series B Preference Units will represent perpetual equity interests in us and, unlike our indebtedness, will not give rise to a claim for payment of a principal amount at a particular date. As such, the Series B Preference Units will rank junior to all of our indebtedness and other liabilities with respect to assets available to satisfy claims against us.</w:t>
      </w:r>
    </w:p>
    <w:p>
      <w:pPr>
        <w:spacing w:after="0" w:line="19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All the Series B Preference Units offered hereby will be represented by a single certificate issued to the Securities Depository (as defined below) and registered in the name of its nominee and, so long as a Securities Depository has been appointed and is serving, no person acquiring Series B Preference Units will be entitled to receive a certificate representing such units unless applicable law otherwise requires or the Securities Depository resigns or is no longer eligible to act as such and a successor is not appointed. Please read "—Book-Entry System".</w:t>
      </w:r>
    </w:p>
    <w:p>
      <w:pPr>
        <w:spacing w:after="0" w:line="197"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Series B Preference Units will not be convertible into common units or other of our securities and will not have exchange rights or be entitled or subject to any preemptive or similar rights. The Series B Preference Units will not be subject to mandatory redemption or to any sinking fund requirements. The Series B Preference Units will be subject to redemption, in whole or in part, at our option commencing on March 15, 2023. Please read "—Redemption".</w:t>
      </w:r>
    </w:p>
    <w:p>
      <w:pPr>
        <w:spacing w:after="0" w:line="16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appointed American Stock Transfer &amp; Trust Company, LLC ("American Stock Transfer") as the paying agent, or Paying Agent, and the registrar and transfer agent, or the Registrar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for the Series B Preference Units. The address of American Stock Transfer is 6201 15th Avenue, Brooklyn, NY 11219.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Prior to this offering, we have established one other series of preference units.</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September 30, 2017, a total of 5,750,000 units of our Series A Preference Units were issued and outstanding.</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Series B Preference Units will, with respect to anticipated quarterly distributions and distributions upon the liquidation, winding-up and dissolution of our affairs, rank:</w:t>
      </w:r>
    </w:p>
    <w:p>
      <w:pPr>
        <w:spacing w:after="0" w:line="213"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senior to the Junior Securities (including our common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 parity with the Parity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junior to the Senior Securities.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 xml:space="preserve">The Series B Preference Units will rank junior to all of our indebtedness and other liabilities with respect to assets available to satisfy claims against us, and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the Series A Preference Units.</w:t>
      </w:r>
    </w:p>
    <w:p>
      <w:pPr>
        <w:spacing w:after="0" w:line="18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Under the Partnership Agreement, we may issue Junior Securities from time to time in one or more series without the consent of the holders of the Series B Preference Units. Our board of directors has the authority to determine the preferences, powers, qualifications, limitations, restrictions and special or relative rights or privileges, if any, of any such series before the issuance of any units of that series. Our board of directors will also determine the number of units constituting each series of securities. Our ability to issue additional Parity Securities in certain circumstances or Senior Securities is limited as described under "—Voting Rights".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holders of outstanding Series B Preference Units will be entitled, in the event of any liquidation, dissolution or winding up of our affairs, whether voluntary or involuntary,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or any other Junior Securities. A consolidation or merger of us with or into any other entity, individually or in a series of transactions, will not be deemed a liquidation, dissolution or winding up of our affairs for this purpose. In the event that our assets available for distribution to holders of the outstanding Series B Preference Units and any other Parity Securities are insufficient to permit payment of all required amounts, our assets then remaining will be distributed among the Series B Preference Units and any Parity Securities ratably on the basis of their relative aggregate liquidation preferences. After payment of all required amounts to the holders of the outstanding Series B Preference Units and other Parity Securities, our remaining assets and funds will be distributed among the holders of the common units and any other Junior Securities then outstanding according to their respective rights.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Series B Preference Units will have no voting rights except as set forth below or as otherwise provided by Marshall Islands law. In the event that six quarterly distributions, whether or not consecutive, payable on the Series B Preference Units are in arrears, the holders of the Series B Preference Units will have the right, voting as a class together with holders of any other Parity Securities upon which like voting rights have been conferred and are exercisable, including holders of our Series A Preference Units, to elect one member of our board of directors, and the size of our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board of directors will be increased as needed to accommodate such change (unless the holders of Series B Preference Units and Parity Securities upon which like voting rights have been conferred, voting as a class, have previously elected a member of our board of directors, and such director continues then to serve on the board of directors). Distributions payable on the Series B Preference Units will be considered to be in arrears for any quarterly period for which full cumulative distributions through the most recent distribution payment date have not been paid on all outstanding Series B Preference Units. The right of such holders of Series B Preference Units to elect a member of our board of directors will continue until such time as all distributions accumulated and in arrears on the Series B Preference Units have been paid in full, or funds for the payment thereof have been declared and set aside, at which time such right will terminate, subject to revesting in the event of each and every subsequent failure to pay six quarterly distributions as described above. Upon any termination of the right of the holders of the Series B Preference Units and any other Parity Securities to vote as a class for such director, the term of office of such director then in office elected by such holders voting as a class will terminate immediately. Any director elected by the holders of the Series B Preference Units and any other Parity Securities shall each be entitled to one vote on any matter before our board of directors. Upon each election of a member of the board of directors by holders of Series B Preference Units as described herein, our general partner shall have the right to appoint an additional member of the board of directors, the term of such director to begin and end on the same dates as the corresponding director elected by the holders of the Series B Preference Units and Parity Securities.</w:t>
      </w:r>
    </w:p>
    <w:p>
      <w:pPr>
        <w:spacing w:after="0" w:line="178"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Unless we have received the affirmative vote or consent of the holders of at least two-thirds of the outstanding Series B Preference Units, voting as a single class, we may not adopt any amendment to the Partnership Agreement that has a material adverse effect on the existing terms of the Series B Preference Units.</w:t>
      </w:r>
    </w:p>
    <w:p>
      <w:pPr>
        <w:spacing w:after="0" w:line="11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addition, unless we have received the affirmative vote or consent of the holders of at least two-thirds of the outstanding Series B Preference Units, voting as a class together with holders of any other Parity Securities upon which like voting rights have been conferred and are exercisable (including our Series A Preference Units), we may not:</w:t>
      </w:r>
    </w:p>
    <w:p>
      <w:pPr>
        <w:spacing w:after="0" w:line="208"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 any Parity Securities if the cumulative distributions payable on outstanding Series B Preference Units are in arrears;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or issue any Senior Securities.</w:t>
      </w:r>
    </w:p>
    <w:p>
      <w:pPr>
        <w:spacing w:after="0" w:line="225" w:lineRule="exact"/>
        <w:rPr>
          <w:sz w:val="20"/>
          <w:szCs w:val="20"/>
          <w:color w:val="auto"/>
        </w:rPr>
      </w:pPr>
    </w:p>
    <w:p>
      <w:pPr>
        <w:ind w:right="100" w:firstLine="351"/>
        <w:spacing w:after="0" w:line="305" w:lineRule="auto"/>
        <w:rPr>
          <w:sz w:val="20"/>
          <w:szCs w:val="20"/>
          <w:color w:val="auto"/>
        </w:rPr>
      </w:pPr>
      <w:r>
        <w:rPr>
          <w:rFonts w:ascii="Arial" w:cs="Arial" w:eastAsia="Arial" w:hAnsi="Arial"/>
          <w:sz w:val="15"/>
          <w:szCs w:val="15"/>
          <w:color w:val="auto"/>
        </w:rPr>
        <w:t>On any matter described above in which the holders of the Series B Preference Units are entitled to vote as a class, such holders will be entitled to one vote per unit. The Series B Preference Units held by us or any of our subsidiaries or affiliates will not be entitled to vote. As of January 9, 2018, there were 5,750,000</w:t>
      </w:r>
    </w:p>
    <w:p>
      <w:pPr>
        <w:spacing w:after="0" w:line="159" w:lineRule="auto"/>
        <w:rPr>
          <w:sz w:val="20"/>
          <w:szCs w:val="20"/>
          <w:color w:val="auto"/>
        </w:rPr>
      </w:pPr>
      <w:r>
        <w:rPr>
          <w:rFonts w:ascii="Arial" w:cs="Arial" w:eastAsia="Arial" w:hAnsi="Arial"/>
          <w:sz w:val="1"/>
          <w:szCs w:val="1"/>
          <w:color w:val="auto"/>
        </w:rPr>
        <w:t>units of Series A Preference Units outstanding. Accordingly, after the issuance of units of Series B Preferences Units in this offering (assuming the underwriters do not exercise their option to purchase additional units), the Series B Preference Units will represent approximately % of the total voting power of the Series A Preferences Units and the Series B Preferences Units for purposes of any vote in which the Series A Preference Units vote together with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Series B Preference Units. Assuming that we issue units of Series B Preference Units in this offering (assuming the underwriters exercise their option to purchase additional units in full), the Series B Preferences Units will represent approximately % of the total voting power of the Series A Preference Units and the Series B Preference Units.</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Series B Preference Units held in nominee or street name account will be voted by the broker or other nominee in accordance with the instruction of the beneficial owner unless the arrangement between the beneficial owner and his nominee provides otherwise.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Holders of Series B Preference Units will be entitled to receive, when, as and if declared by our board of directors out of legally available funds for such purpose, cumulative cash distributions from and including ,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Rate</w:t>
      </w:r>
    </w:p>
    <w:p>
      <w:pPr>
        <w:spacing w:after="0" w:line="225" w:lineRule="exact"/>
        <w:rPr>
          <w:sz w:val="20"/>
          <w:szCs w:val="20"/>
          <w:color w:val="auto"/>
        </w:rPr>
      </w:pPr>
    </w:p>
    <w:p>
      <w:pPr>
        <w:ind w:right="40" w:firstLine="351"/>
        <w:spacing w:after="0"/>
        <w:rPr>
          <w:sz w:val="20"/>
          <w:szCs w:val="20"/>
          <w:color w:val="auto"/>
        </w:rPr>
      </w:pPr>
      <w:r>
        <w:rPr>
          <w:rFonts w:ascii="Arial" w:cs="Arial" w:eastAsia="Arial" w:hAnsi="Arial"/>
          <w:sz w:val="1"/>
          <w:szCs w:val="1"/>
          <w:color w:val="auto"/>
        </w:rPr>
        <w:t>Distributions on Series B Preference Units will be cumulative, commencing on , 2018, and payable on each Distribution Payment Date, commencing March 15, 2018, when, as and if declared by our board of directors or any authorized committee thereof out of legally available funds for such purpose. From and including the original issue date to, but excluding, March 15, 2023, (the "Fixed Rate Period") distributions on the Series B Preference Units will accrue at a rate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 per annum per $25.00 stated liquidation preference per unit of Series B Preference Units. From and including March 15, 2023 (the "Floating Rate Period"), the distribution rate will be a floating rate equal to the Three Month LIBOR Rate (as defined below) plus a spread of % per annum per $25.00 stated liquidation preference per unit of Series B Preference Units.</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For each Distribution Period (as defined below) during the Floating Rate Period, the applicable distribution rate will be determined by the calculation agent as of the applicable Distribution Determination Date (as defined below). For purposes of determining the applicable distribution rate, LIBOR (the London interbank offered rate) ("Three-Month LIBOR Rate") will be determined by the calculation agent, as of the applicable Distribution Determination Date, in accordance with the following provisions:</w:t>
      </w:r>
    </w:p>
    <w:p>
      <w:pPr>
        <w:spacing w:after="0" w:line="211" w:lineRule="exact"/>
        <w:rPr>
          <w:sz w:val="20"/>
          <w:szCs w:val="20"/>
          <w:color w:val="auto"/>
        </w:rPr>
      </w:pPr>
    </w:p>
    <w:p>
      <w:pPr>
        <w:jc w:val="both"/>
        <w:ind w:left="1080" w:right="22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Three Month LIBOR Rate will be the rate (expressed as a percentage per year) for deposits in U.S. dollars having an index maturity of three months, in amounts of at least $1,000,000, as such rate appears on "Reuters Page LIBOR01" at approximately 11:00 a.m. (London time) on the relevant Distribution Determination Date; or</w:t>
      </w:r>
    </w:p>
    <w:p>
      <w:pPr>
        <w:spacing w:after="0" w:line="221" w:lineRule="exact"/>
        <w:rPr>
          <w:rFonts w:ascii="Arial" w:cs="Arial" w:eastAsia="Arial" w:hAnsi="Arial"/>
          <w:sz w:val="18"/>
          <w:szCs w:val="18"/>
          <w:color w:val="auto"/>
        </w:rPr>
      </w:pPr>
    </w:p>
    <w:p>
      <w:pPr>
        <w:ind w:left="1080" w:hanging="532"/>
        <w:spacing w:after="0" w:line="285"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no such rate appears on "Reuters Page LIBOR01" or if the "Reuters Page LIBOR01" is not available at approximately 11:00 a.m. (London time) on the relevant Distribution Determination Date, then the calculation agent, after consultation with us, will select four nationally-recognized banks in the London interbank market and request that the principal London offices of those four selected banks provide the calculation agent with their offered quotation for deposits in U.S. dollars for a period of three months, commencing on the first day of the applicable Distribution Period, to prime banks in the London interbank market at approximately 11:00 a.m. (London time) on that Distribution Determination Date for the applicable Distribution Period. Offered quotations must be based on a principal amount equal to an amount that, in the calculation agent's discretion, is representative of a single transaction in U.S. dollars in the London interbank market at that time. If at least two quotations are provided, the Three-Month LIBOR Rate for such Distribution Period will be the arithmetic mean (rounded upward if necessary, to the nearest 0.00001 of 1%) of those quotations. If fewer than two quotations are provided, the Three-Month LIBOR Rate for such Distribution Period will be the arithmetic mean (rounded upward if necessary, to the nearest 0.00001 of 1%) of the rates quoted at approximately 11:00 a.m. (New York City time) on that Distribution Determination Date for such Distribution Period by three nationally-recognized banks in New York, New York selected by the calculation agent, for loans in U.S. dollars to nationally-recognized European banks (as selected by the calculation agent), for a period of three months commencing on the first day of such Distribution Period. The rates quoted must be based on an amount that, in the calculation agent's discretion, is representative of a single transaction in U.S. dollars in that market at that time. If fewer than three New York City banks selected by the calculation agent provide quote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306" w:lineRule="auto"/>
        <w:rPr>
          <w:sz w:val="20"/>
          <w:szCs w:val="20"/>
          <w:color w:val="auto"/>
        </w:rPr>
      </w:pPr>
      <w:r>
        <w:rPr>
          <w:rFonts w:ascii="Arial" w:cs="Arial" w:eastAsia="Arial" w:hAnsi="Arial"/>
          <w:sz w:val="16"/>
          <w:szCs w:val="16"/>
          <w:color w:val="auto"/>
        </w:rPr>
        <w:t>rates in the manner described above, the calculation agent, after consulting such sources as it deems comparable to any of the foregoing quotations or display page, or any such source as it deems reasonable from which to estimate the Three-Month LIBOR Rate or any of the foregoing lending rates, shall determine Three-Month LIBOR Rate for the applicable Distribution Period in its discretion, after consultation with us.</w:t>
      </w:r>
    </w:p>
    <w:p>
      <w:pPr>
        <w:spacing w:after="0" w:line="16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Notwithstanding the above, if the calculation agent determines on the relevant Distribution Determination Date that the LIBOR base rate has been discontinued, then the calculation agent will use a substitute or successor base rate that it has determined in its discretion, after consultation with us,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us, may determine what business day convention to use, the definition of business day, the Distribution Determination Date and any other relevant methodology for calculating such substitute or successor base rate in a manner that is consistent with industry-accepted practices for such substitute or successor base rate.</w:t>
      </w:r>
    </w:p>
    <w:p>
      <w:pPr>
        <w:spacing w:after="0" w:line="172"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will appoint a calculation agent for the Series B Preference Units prior to the commencement of the Floating Rate Period and will be entitled to remove or replace the calculation agent in our discretion. In addition, we or an affiliate of ours may assume the duties of the calculation agent.</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Determination Date</w:t>
      </w:r>
      <w:r>
        <w:rPr>
          <w:rFonts w:ascii="Arial" w:cs="Arial" w:eastAsia="Arial" w:hAnsi="Arial"/>
          <w:sz w:val="18"/>
          <w:szCs w:val="18"/>
          <w:color w:val="auto"/>
        </w:rPr>
        <w:t>" means the London Business Day (as defined below) immediately preceding the first date of the applicable Distribution Period.</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Period</w:t>
      </w:r>
      <w:r>
        <w:rPr>
          <w:rFonts w:ascii="Arial" w:cs="Arial" w:eastAsia="Arial" w:hAnsi="Arial"/>
          <w:sz w:val="18"/>
          <w:szCs w:val="18"/>
          <w:color w:val="auto"/>
        </w:rPr>
        <w:t>" means the quarterly period from, and including, a Distribution Payment Date to, but excluding, the next succeeding Distribution Payment Date, except for the initial Distribution Period, which will be the period from, and including, the original issue date of the Series B Preference Units to, but excluding, March 15, 2018.</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London Business Day</w:t>
      </w:r>
      <w:r>
        <w:rPr>
          <w:rFonts w:ascii="Arial" w:cs="Arial" w:eastAsia="Arial" w:hAnsi="Arial"/>
          <w:sz w:val="18"/>
          <w:szCs w:val="18"/>
          <w:color w:val="auto"/>
        </w:rPr>
        <w:t>" means any day on which dealings in deposits in U.S. dollars are transacted in the London interbank market.</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Reuters Page LIBOR01</w:t>
      </w:r>
      <w:r>
        <w:rPr>
          <w:rFonts w:ascii="Arial" w:cs="Arial" w:eastAsia="Arial" w:hAnsi="Arial"/>
          <w:sz w:val="18"/>
          <w:szCs w:val="18"/>
          <w:color w:val="auto"/>
        </w:rPr>
        <w:t>" means the display so designated on the Reuters 3000 Xtra (or such other page as may replace the LIBOR01 page on that service, or such other service as may be nominated by the ICE Benchmark Administration Limited, or ICE, or its successor, or such other entity assuming the responsibility of ICE or its successor in the event ICE or its successor no longer does so, as the successor service, for the purpose of displaying London interbank offered rates for U.S. dollar deposits).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Payment Dates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"Distribution Payment Dates" for the Series B Preference Units will be each March 15, June 15, September 15 and December 15, commencing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15, 2018. Distributions will accumulate in each distribution period from and including the preceding Distribution Payment Date or the initial issue date,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case may be, to but excluding the applicable Distribution Payment Date for such distribution period, and distributions will accrue on accumulated distributions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the applicable distribution rate. If any Distribution Payment Date during the Fixed Rate Period otherwise would fall on a day that is not a Business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declared distributions will be paid on the immediately succeeding Business Day without the accumulation of additional distributions. If any Distribution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during the Floating Rate Period otherwise would fall on a day that is not a Business Day, then the Distribution Payment Date will be the next day that is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Day. Distributions payable on the Series B Preference Units for any Distribution Period during the Fixed Rate Period will be calculated based on a 360-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day year consisting of twelve 30-day months. Distributions payable on the Series B</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Preference Units for any Distribution Period during the Floating Rate Period will be calculated based on a 360-day year and the number of days actually elapsed during such Distribution Period.</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on which the NYSE is open for trading and which is not a Saturday, a Sunday or other day on which banks in New York City are authorized or required by law to close.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Distributions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Not later than the close of business, New York City time, on each Distribution Payment Date, we will pay those distributions, if any, on the Series B Preference Units that have been declared by our board of directors to the holders of such units as such holders' names appear on our unit transfer books maintained by the Registrar and Transfer Agent on the applicable Record Date. The applicable record date, the Record Date, will be the fifth Business Day immediately preceding the applicable Distribution Payment Date, except that in the case of payments of distributions in arrears, the Record Date with respect to a Distribution Payment Date will be such date as may be designated by our board of directors in accordance with the Partnership Agreement.</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So long as the Series B Preference Units are held of record by the nominee of the Securities Depository, declared distributions will be paid to the Securities Depository in same-day funds on each Distribution Payment Date. The Securities Depository will credit accounts of its participants in accordance with the Securities Depository's normal procedures. The participants will be responsible for holding or disbursing such payments to beneficial owners of the Series B Preference Units in accordance with the instructions of such beneficial owners.</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No distribution may be declared or paid or set apart for payment on any Junior Securities (other than a distribution payable solely in units of Junior Securities) unless full cumulative distributions have been or contemporaneously are being paid or provided for on all outstanding Series B Preference Units and any Parity Securities through the most recent respective Distribution Payment Dates. Accumulated distributions in arrears for any past Distribution Period may be declared by our board of directors and paid on any date fixed by our board of directors, whether or not a Distribution Payment Date, to holders of the Series B Preference Units on the record date for such payment, which may not be more than 60 days, nor less than 15 days, before such payment date. Subject to the next succeeding sentence, if all accumulated distributions in arrears on all outstanding Series B Preference Units and any Parity Securities have not been declared and paid, or sufficient funds for the payment thereof have not been set apart, payment of accumulated distributions in arrears will be made in order of their respective Distribution Payment Dates, commencing with the earliest. If less than all distributions payable with respect to all Series B Preference Units and any Parity Securities are paid, any partial payment will be made pro rata with respect to the Series B Preference Units and any Parity Securities (including the Series A Preference Units) entitled to a distribution payment at such time in proportion to the aggregate amounts remaining due in respect of such units at such time. Holders of the Series B Preference Units will not be entitled to any distribution, whether payable in cash, property or units, in excess of full cumulative distributions. Except insofar as distributions accrue on the amount of any accumulated and unpaid distributions as described under "—Distributions—Distribution Rate", no interest or sum of money in lieu of interest will be payable in respect of any distribution payment which may be in arrears on the Series B Preference Units.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Series B Preference Units will represent perpetual equity interests in us. We will have no obligation to redeem or repurchase any Series B Preference Units.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Commencing on March 15, 2023, we may redeem, at our option, in whole or in part, the Series B Preference Units at a redemption price in cash equal to $25.00 per unit plus an amount equal to all accumulated and unpaid distributions thereon to the date of redemption, whether or not declared. Any such optional redemption shall be effected only out of funds legally available for such purpose. We may undertake multiple partial redemptions.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225"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We will give notice of any redemption by mail, postage prepaid, not less than 30 days and not more than 60 days before the scheduled date of redemption, to the holders of any units to be redeemed as such holders' names appear on our unit transfer books maintained by the Registrar and Transfer Agent at the address of such holders shown therein. Such notice shall state: (1) the redemption date, (2) the number of Series B Preference Units to be redeemed and, if less than all outstanding Series B Preference Units are to be redeemed, the number (and the identification) of units to be redeemed from such holder, (3) the redemption price,</w:t>
      </w:r>
    </w:p>
    <w:p>
      <w:pPr>
        <w:spacing w:after="0" w:line="3"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place where the Series B Preference Units are to be redeemed and shall be presented and surrendered for payment of the redemption price therefor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distributions on the units to be redeemed will cease to accumulate from and after such redemption date.</w:t>
      </w:r>
    </w:p>
    <w:p>
      <w:pPr>
        <w:spacing w:after="0" w:line="21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If fewer than all of the outstanding Series B Preference Units are to be redeemed, the number of units to be redeemed will be determined by us, and such units will be redeemed by such method of selection as the Securities Depository shall determine, pro rata or by lot, with adjustments to avoid redemption of fractional units. So long as all Series B Preference Units are held of record by the nominee of the Securities Depository, we will give notice, or cause notice to be given, to the Securities Depository of the number of Series B Preference Units to be redeemed, and the Securities Depository will determine the number of Series B Preference Units to be redeemed from the account of each of its participants holding such units in its participant account. Thereafter, each participant will select the number of units to be redeemed from each beneficial owner for whom it acts (including the participant, to the extent it holds Series B Preference Units for its own account). A participant may determine to redeem Series B Preference Units from some beneficial owners (including the participant itself) without redeeming Series B Preference Units from the accounts of other beneficial owners.</w:t>
      </w:r>
    </w:p>
    <w:p>
      <w:pPr>
        <w:spacing w:after="0" w:line="172" w:lineRule="exact"/>
        <w:rPr>
          <w:sz w:val="20"/>
          <w:szCs w:val="20"/>
          <w:color w:val="auto"/>
        </w:rPr>
      </w:pPr>
    </w:p>
    <w:p>
      <w:pPr>
        <w:ind w:right="320" w:firstLine="351"/>
        <w:spacing w:after="0" w:line="335" w:lineRule="auto"/>
        <w:rPr>
          <w:sz w:val="20"/>
          <w:szCs w:val="20"/>
          <w:color w:val="auto"/>
        </w:rPr>
      </w:pPr>
      <w:r>
        <w:rPr>
          <w:rFonts w:ascii="Arial" w:cs="Arial" w:eastAsia="Arial" w:hAnsi="Arial"/>
          <w:sz w:val="15"/>
          <w:szCs w:val="15"/>
          <w:color w:val="auto"/>
        </w:rPr>
        <w:t>So long as the Series B Preference Units are held of record by the nominee of the Securities Depository, the redemption price will be paid by the Paying Agent to the Securities Depository on the redemption date. The Securities Depository's normal procedures provide for it to distribute the amount of the redemption price in same-day funds to its participants who, in turn, are expected to distribute such funds to the persons for whom they are acting as agent.</w:t>
      </w:r>
    </w:p>
    <w:p>
      <w:pPr>
        <w:spacing w:after="0" w:line="14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we give or cause to be given a notice of redemption, then we will deposit with the Paying Agent funds sufficient to redeem the Series B Preference Units as to which notice has been given by the close of business, New York City time, no later than the Business Day immediately preceding the date fixed for redemption, and will give the Paying Agent irrevocable instructions and authority to pay the redemption price to the holder or holders thereof upon surrender or deemed surrender (which will occur automatically if the certificate representing such units is issued in the name of the Securities Depository or its nominee) of the certificates therefor. If notice of redemption shall have been given, then from and after the date fixed for redemption, unless we default in providing funds sufficient for such redemption at the time and place specified for payment pursuant to the notice, all distributions on such units will cease to accumulate and all rights of holders of such units as our unitholders will cease, except the right to receive the redemption price, including an amount equal to accumulated and unpaid distributions through (but not including) the date fixed for redemption, whether or not declared.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will be entitled to receive from the Paying Agent the interest income, if any, earned on such funds deposited with the Paying Agent (to the extent that such interest income is not required to pay the redemption price of the units to be redeemed), and the holders of any units so redeemed will have no claim to any such interest income. Any funds deposited with the Paying Agent hereunder by us for any reason, including, but not limited to, redemption of Series B Preference Units, that remain unclaimed or unpaid after two years after the applicable redemption date or other payment date, shall be, to the extent permitted by law, repaid to us upon our written request, after which repayment the holders of the Series B Preference Units entitled to such redemption or other payment shall have recourse only to us.</w:t>
      </w:r>
    </w:p>
    <w:p>
      <w:pPr>
        <w:spacing w:after="0" w:line="198"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If only a portion of the Series B Preference Units represented by a certificate has been called for redemption, upon surrender of the certificate to the Paying Agent (which will occur automatically if the certificate representing such units is registered in the name of the Securities Depository or its nominee), the Paying Agent will issue to the holder of such units a new certificate (or adjust the applicable book-entry account) representing the number of Series B Preference Units represented by the surrendered certificate that have not been called for redemption.</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Notwithstanding any notice of redemption, there will be no redemption of any Series B Preference Units called for redemption until funds sufficient to pay the full redemption price of such units, including all accumulated and unpaid distributions to the date of redemption, whether or not declared, have been deposited by us with the Paying Agent.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our affiliates may from time to time purchase the Series B Preference Units, subject to compliance with all applicable securities and other laws.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Neither we nor any of our affiliates has any obligation, or any present plan or intention, to purchase any Series B Preference Units.</w:t>
      </w:r>
    </w:p>
    <w:p>
      <w:pPr>
        <w:spacing w:after="0" w:line="21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Notwithstanding the foregoing, in the event that full cumulative distributions on the Series B Preference Units and any Parity Securities have not been paid or declared and set apart for payment, we may not repurchase, redeem or otherwise acquire, in whole or in part, any Series B Preference Units or Parity Securities except pursuant to a purchase or exchange offer made on the same terms to all holders of Series B Preference Units and any Parity Securities. Common units and any other Junior Securities may not be redeemed, repurchased or otherwise acquired unless full cumulative distributions on the Series B Preference Units and any Parity Securities for all prior and the then-ending distribution periods have been paid or declared and set apart for payment.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B Preference Units will not have the benefit of any sinking fund.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Fiduciary Duty</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our officers and directors and our general partner, will not owe any fiduciary duties to holders of the Series B Preference Units other than an implied contractual duty of good faith and fair dealing pursuant to the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Series B Preference Units offered hereby will be represented by a single certificate issued to The Depository Trust Company (and its successors or assigns or any other securities depository selected by us), or the Securities Depository, and registered in the name of its nominee (initially, Cede &amp; Co.). The Series B Preference Units offered hereby will continue to be represented by a single certificate registered in the name of the Securities Depository or its nominee, and no holder of the Series B Preference Units offered hereby will be entitled to receive a certificate evidencing such units unless otherwise required by law or the Securities Depository gives notice of its intention to resign or is no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longer eligible to act as such and we have not selected a substitute Securities Depository within 60 calendar days thereafter. Payments and communications made by us to holders of the Series B Preference Units will be duly made by making payments to, and communicating with, the Securities Depository. Accordingly, unless certificates are available to holders of the Series B Preference Units, each purchaser of Series B Preference Units must rely on (1) the procedures of the Securities Depository and its participants to receive distributions, any redemption price, liquidation preference and notices, and to direct the exercise of any voting or nominating rights, with respect to such Series B Preference Units and (2) the records of the Securities Depository and its participants to evidence its ownership of such Series B Preference Units.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 long as the Securities Depository (or its nominee) is the sole holder of the Series B Preference Units, no beneficial holder of the Series B Preference Units will be deemed to be a unitholder of us. The Depository Trust Company, the initial Securities Depository, is a New York-chartered limited purpose trust company that performs services for its participants, some of whom (and/or their representatives) own The Depository Trust Company. The Securities Depository maintains lists of its participants and will maintain the positions (i.e., ownership interests) held by its participants in the Series B Preference Units, whether as a holder of the Series B Preference Units for its own account or as a nominee for another holder of the Series B Preference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following is a summary of the material provisions of the Partnership Agreement, which is qualified in its entirety by the terms and conditions of the Partnership Agreement, which is incorporated herein by reference. We will provide prospective investors with a copy of the Partnership Agreement upon written request at no charge.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organized on January 23, 2014 and have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Marshall Islands Act.</w:t>
      </w:r>
    </w:p>
    <w:p>
      <w:pPr>
        <w:spacing w:after="0" w:line="186"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Partnership Agreement specifies the manner in which we will make cash distributions to holders of our common units and other partnership interests, including to the holders of Series A Preference Units and Series B Preference Units, our incentive distribution rights, as well as to our general partner in respect of its general partner interest. Please see "Our Cash Distribution Policy and Restrictions on Distributions" on page 36 of the Prospectus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No holder of common units, Series A Preference Units or Series B Preference Units is obligated to make additional capital contributions, except as described below under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40" w:firstLine="351"/>
        <w:spacing w:after="0" w:line="302" w:lineRule="auto"/>
        <w:rPr>
          <w:sz w:val="20"/>
          <w:szCs w:val="20"/>
          <w:color w:val="auto"/>
        </w:rPr>
      </w:pPr>
      <w:r>
        <w:rPr>
          <w:rFonts w:ascii="Arial" w:cs="Arial" w:eastAsia="Arial" w:hAnsi="Arial"/>
          <w:sz w:val="15"/>
          <w:szCs w:val="15"/>
          <w:color w:val="auto"/>
        </w:rPr>
        <w:t>Holders of the Series B Preference Units generally have no voting rights. However, the consent of the holders of at least two-thirds of the outstanding Series B Preference Units, voting as a single class, is required prior to any amendment to the Partnership Agreement that would have a material adverse effect on the existing terms of the Series B Preference Units. In addition, unless we receive the affirmative vote or consent of the holders of at least two-thirds of the outstanding Series B Preference Units, voting as a class together with holders of any other Parity Securities (including the Series A Preference Units), we may not</w:t>
      </w:r>
    </w:p>
    <w:p>
      <w:pPr>
        <w:spacing w:after="0" w:line="3" w:lineRule="exact"/>
        <w:rPr>
          <w:sz w:val="20"/>
          <w:szCs w:val="20"/>
          <w:color w:val="auto"/>
        </w:rPr>
      </w:pPr>
    </w:p>
    <w:p>
      <w:pPr>
        <w:ind w:right="100" w:firstLine="8"/>
        <w:spacing w:after="0" w:line="295" w:lineRule="auto"/>
        <w:tabs>
          <w:tab w:leader="none" w:pos="21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issue any Parity Securities if the cumulative distributions on Series B Preference Units are in arrears or (ii) create or issue any Senior Securities. Distributions payable on the Series B Preference Units will be considered to be in arrears for any quarterly period for which full cumulative distributions through the most recent distribution payment date have not been paid on all outstanding Series B Preference Units. In addition, in certain limited instances, the holders of Series B Preference Units will be entitled to elect one director to our board of directors. Please read "Description of Series B Preference Units—Voting Rights".</w:t>
      </w:r>
    </w:p>
    <w:p>
      <w:pPr>
        <w:spacing w:after="0" w:line="169"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The following is a summary of the unitholder vote required for approval of the matters specified below. Matters that require the approval of a "Unit Majority" require the approval of a majority of the common units voting as a single class. In voting their common units our general partner and its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affiliates will have no fiduciary duty or obligation whatsoever to us or the limited partners, including any duty to act in good faith or in the best interests of us or the limited partners.</w:t>
      </w:r>
    </w:p>
    <w:p>
      <w:pPr>
        <w:spacing w:after="0" w:line="186"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 or Series B Preference Units.</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Code.</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Action</w:t>
      </w:r>
    </w:p>
    <w:p>
      <w:pPr>
        <w:spacing w:after="0" w:line="13"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Issuance of additional common units or other limited partner interests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27787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right="1280"/>
        <w:spacing w:after="0" w:line="252" w:lineRule="auto"/>
        <w:rPr>
          <w:sz w:val="20"/>
          <w:szCs w:val="20"/>
          <w:color w:val="auto"/>
        </w:rPr>
      </w:pPr>
      <w:r>
        <w:rPr>
          <w:rFonts w:ascii="Arial" w:cs="Arial" w:eastAsia="Arial" w:hAnsi="Arial"/>
          <w:sz w:val="18"/>
          <w:szCs w:val="18"/>
          <w:color w:val="auto"/>
        </w:rPr>
        <w:t>No approval rights; general partner approval required for all issuances not reasonably expected to be accretive within twelve months of issuance or which would otherwise have a material adverse impact on the general partner or its interest in our partnership.</w:t>
      </w:r>
    </w:p>
    <w:p>
      <w:pPr>
        <w:spacing w:after="0" w:line="200" w:lineRule="exact"/>
        <w:rPr>
          <w:sz w:val="20"/>
          <w:szCs w:val="20"/>
          <w:color w:val="auto"/>
        </w:rPr>
      </w:pPr>
    </w:p>
    <w:p>
      <w:pPr>
        <w:sectPr>
          <w:pgSz w:w="11900" w:h="16838" w:orient="portrait"/>
          <w:cols w:equalWidth="0" w:num="2">
            <w:col w:w="5420" w:space="480"/>
            <w:col w:w="5520"/>
          </w:cols>
          <w:pgMar w:left="240" w:top="131" w:right="2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ind w:left="1140"/>
              <w:spacing w:after="0"/>
              <w:rPr>
                <w:sz w:val="20"/>
                <w:szCs w:val="20"/>
                <w:color w:val="auto"/>
              </w:rPr>
            </w:pPr>
            <w:r>
              <w:rPr>
                <w:rFonts w:ascii="Arial" w:cs="Arial" w:eastAsia="Arial" w:hAnsi="Arial"/>
                <w:sz w:val="18"/>
                <w:szCs w:val="18"/>
                <w:color w:val="auto"/>
              </w:rPr>
              <w:t>Amendment of the Partnership Agreement</w:t>
            </w:r>
          </w:p>
        </w:tc>
        <w:tc>
          <w:tcPr>
            <w:tcW w:w="5900" w:type="dxa"/>
            <w:vAlign w:val="bottom"/>
          </w:tcPr>
          <w:p>
            <w:pPr>
              <w:ind w:left="380"/>
              <w:spacing w:after="0"/>
              <w:rPr>
                <w:sz w:val="20"/>
                <w:szCs w:val="20"/>
                <w:color w:val="auto"/>
              </w:rPr>
            </w:pPr>
            <w:r>
              <w:rPr>
                <w:rFonts w:ascii="Arial" w:cs="Arial" w:eastAsia="Arial" w:hAnsi="Arial"/>
                <w:sz w:val="18"/>
                <w:szCs w:val="18"/>
                <w:color w:val="auto"/>
              </w:rPr>
              <w:t>Certain amendments may be made by our board of directors</w:t>
            </w:r>
          </w:p>
        </w:tc>
      </w:tr>
      <w:tr>
        <w:trPr>
          <w:trHeight w:val="216"/>
        </w:trPr>
        <w:tc>
          <w:tcPr>
            <w:tcW w:w="5520" w:type="dxa"/>
            <w:vAlign w:val="bottom"/>
          </w:tcPr>
          <w:p>
            <w:pPr>
              <w:spacing w:after="0"/>
              <w:rPr>
                <w:sz w:val="18"/>
                <w:szCs w:val="18"/>
                <w:color w:val="auto"/>
              </w:rPr>
            </w:pPr>
          </w:p>
        </w:tc>
        <w:tc>
          <w:tcPr>
            <w:tcW w:w="5900" w:type="dxa"/>
            <w:vAlign w:val="bottom"/>
          </w:tcPr>
          <w:p>
            <w:pPr>
              <w:ind w:left="380"/>
              <w:spacing w:after="0"/>
              <w:rPr>
                <w:sz w:val="20"/>
                <w:szCs w:val="20"/>
                <w:color w:val="auto"/>
              </w:rPr>
            </w:pPr>
            <w:r>
              <w:rPr>
                <w:rFonts w:ascii="Arial" w:cs="Arial" w:eastAsia="Arial" w:hAnsi="Arial"/>
                <w:sz w:val="18"/>
                <w:szCs w:val="18"/>
                <w:color w:val="auto"/>
              </w:rPr>
              <w:t>without the approval of the unitholders. Other amendments</w:t>
            </w:r>
          </w:p>
        </w:tc>
      </w:tr>
      <w:tr>
        <w:trPr>
          <w:trHeight w:val="216"/>
        </w:trPr>
        <w:tc>
          <w:tcPr>
            <w:tcW w:w="5520" w:type="dxa"/>
            <w:vAlign w:val="bottom"/>
          </w:tcPr>
          <w:p>
            <w:pPr>
              <w:spacing w:after="0"/>
              <w:rPr>
                <w:sz w:val="18"/>
                <w:szCs w:val="18"/>
                <w:color w:val="auto"/>
              </w:rPr>
            </w:pPr>
          </w:p>
        </w:tc>
        <w:tc>
          <w:tcPr>
            <w:tcW w:w="5900" w:type="dxa"/>
            <w:vAlign w:val="bottom"/>
          </w:tcPr>
          <w:p>
            <w:pPr>
              <w:ind w:left="380"/>
              <w:spacing w:after="0"/>
              <w:rPr>
                <w:sz w:val="20"/>
                <w:szCs w:val="20"/>
                <w:color w:val="auto"/>
              </w:rPr>
            </w:pPr>
            <w:r>
              <w:rPr>
                <w:rFonts w:ascii="Arial" w:cs="Arial" w:eastAsia="Arial" w:hAnsi="Arial"/>
                <w:sz w:val="18"/>
                <w:szCs w:val="18"/>
                <w:color w:val="auto"/>
              </w:rPr>
              <w:t>generally require the approval of a Unit Majority. See "—</w:t>
            </w:r>
          </w:p>
        </w:tc>
      </w:tr>
      <w:tr>
        <w:trPr>
          <w:trHeight w:val="222"/>
        </w:trPr>
        <w:tc>
          <w:tcPr>
            <w:tcW w:w="5520" w:type="dxa"/>
            <w:vAlign w:val="bottom"/>
          </w:tcPr>
          <w:p>
            <w:pPr>
              <w:spacing w:after="0"/>
              <w:rPr>
                <w:sz w:val="19"/>
                <w:szCs w:val="19"/>
                <w:color w:val="auto"/>
              </w:rPr>
            </w:pPr>
          </w:p>
        </w:tc>
        <w:tc>
          <w:tcPr>
            <w:tcW w:w="5900" w:type="dxa"/>
            <w:vAlign w:val="bottom"/>
          </w:tcPr>
          <w:p>
            <w:pPr>
              <w:ind w:left="380"/>
              <w:spacing w:after="0"/>
              <w:rPr>
                <w:sz w:val="20"/>
                <w:szCs w:val="20"/>
                <w:color w:val="auto"/>
              </w:rPr>
            </w:pPr>
            <w:r>
              <w:rPr>
                <w:rFonts w:ascii="Arial" w:cs="Arial" w:eastAsia="Arial" w:hAnsi="Arial"/>
                <w:sz w:val="18"/>
                <w:szCs w:val="18"/>
                <w:color w:val="auto"/>
              </w:rPr>
              <w:t>Amendment of the Partnership Agreement".</w:t>
            </w:r>
          </w:p>
        </w:tc>
      </w:tr>
      <w:tr>
        <w:trPr>
          <w:trHeight w:val="453"/>
        </w:trPr>
        <w:tc>
          <w:tcPr>
            <w:tcW w:w="5520" w:type="dxa"/>
            <w:vAlign w:val="bottom"/>
          </w:tcPr>
          <w:p>
            <w:pPr>
              <w:ind w:left="1140"/>
              <w:spacing w:after="0"/>
              <w:rPr>
                <w:sz w:val="20"/>
                <w:szCs w:val="20"/>
                <w:color w:val="auto"/>
              </w:rPr>
            </w:pPr>
            <w:r>
              <w:rPr>
                <w:rFonts w:ascii="Arial" w:cs="Arial" w:eastAsia="Arial" w:hAnsi="Arial"/>
                <w:sz w:val="18"/>
                <w:szCs w:val="18"/>
                <w:color w:val="auto"/>
                <w:w w:val="90"/>
              </w:rPr>
              <w:t>Merger of our partnership or the sale of all or substantially all</w:t>
            </w:r>
          </w:p>
        </w:tc>
        <w:tc>
          <w:tcPr>
            <w:tcW w:w="5900" w:type="dxa"/>
            <w:vAlign w:val="bottom"/>
          </w:tcPr>
          <w:p>
            <w:pPr>
              <w:ind w:left="380"/>
              <w:spacing w:after="0"/>
              <w:rPr>
                <w:sz w:val="20"/>
                <w:szCs w:val="20"/>
                <w:color w:val="auto"/>
              </w:rPr>
            </w:pPr>
            <w:r>
              <w:rPr>
                <w:rFonts w:ascii="Arial" w:cs="Arial" w:eastAsia="Arial" w:hAnsi="Arial"/>
                <w:sz w:val="18"/>
                <w:szCs w:val="18"/>
                <w:color w:val="auto"/>
              </w:rPr>
              <w:t>Unit Majority and approval of our general partner and our</w:t>
            </w:r>
          </w:p>
        </w:tc>
      </w:tr>
      <w:tr>
        <w:trPr>
          <w:trHeight w:val="216"/>
        </w:trPr>
        <w:tc>
          <w:tcPr>
            <w:tcW w:w="5520" w:type="dxa"/>
            <w:vAlign w:val="bottom"/>
          </w:tcPr>
          <w:p>
            <w:pPr>
              <w:ind w:left="1140"/>
              <w:spacing w:after="0"/>
              <w:rPr>
                <w:sz w:val="20"/>
                <w:szCs w:val="20"/>
                <w:color w:val="auto"/>
              </w:rPr>
            </w:pPr>
            <w:r>
              <w:rPr>
                <w:rFonts w:ascii="Arial" w:cs="Arial" w:eastAsia="Arial" w:hAnsi="Arial"/>
                <w:sz w:val="18"/>
                <w:szCs w:val="18"/>
                <w:color w:val="auto"/>
              </w:rPr>
              <w:t>of our assets</w:t>
            </w:r>
          </w:p>
        </w:tc>
        <w:tc>
          <w:tcPr>
            <w:tcW w:w="5900" w:type="dxa"/>
            <w:vAlign w:val="bottom"/>
          </w:tcPr>
          <w:p>
            <w:pPr>
              <w:ind w:left="380"/>
              <w:spacing w:after="0"/>
              <w:rPr>
                <w:sz w:val="20"/>
                <w:szCs w:val="20"/>
                <w:color w:val="auto"/>
              </w:rPr>
            </w:pPr>
            <w:r>
              <w:rPr>
                <w:rFonts w:ascii="Arial" w:cs="Arial" w:eastAsia="Arial" w:hAnsi="Arial"/>
                <w:sz w:val="18"/>
                <w:szCs w:val="18"/>
                <w:color w:val="auto"/>
              </w:rPr>
              <w:t>board of directors. See "—Merger, Sale, Conversion or Other</w:t>
            </w:r>
          </w:p>
        </w:tc>
      </w:tr>
      <w:tr>
        <w:trPr>
          <w:trHeight w:val="222"/>
        </w:trPr>
        <w:tc>
          <w:tcPr>
            <w:tcW w:w="5520" w:type="dxa"/>
            <w:vAlign w:val="bottom"/>
          </w:tcPr>
          <w:p>
            <w:pPr>
              <w:spacing w:after="0"/>
              <w:rPr>
                <w:sz w:val="19"/>
                <w:szCs w:val="19"/>
                <w:color w:val="auto"/>
              </w:rPr>
            </w:pPr>
          </w:p>
        </w:tc>
        <w:tc>
          <w:tcPr>
            <w:tcW w:w="5900" w:type="dxa"/>
            <w:vAlign w:val="bottom"/>
          </w:tcPr>
          <w:p>
            <w:pPr>
              <w:ind w:left="380"/>
              <w:spacing w:after="0"/>
              <w:rPr>
                <w:sz w:val="20"/>
                <w:szCs w:val="20"/>
                <w:color w:val="auto"/>
              </w:rPr>
            </w:pPr>
            <w:r>
              <w:rPr>
                <w:rFonts w:ascii="Arial" w:cs="Arial" w:eastAsia="Arial" w:hAnsi="Arial"/>
                <w:sz w:val="18"/>
                <w:szCs w:val="18"/>
                <w:color w:val="auto"/>
              </w:rPr>
              <w:t>Disposition of Assets".</w:t>
            </w:r>
          </w:p>
        </w:tc>
      </w:tr>
      <w:tr>
        <w:trPr>
          <w:trHeight w:val="453"/>
        </w:trPr>
        <w:tc>
          <w:tcPr>
            <w:tcW w:w="5520" w:type="dxa"/>
            <w:vAlign w:val="bottom"/>
          </w:tcPr>
          <w:p>
            <w:pPr>
              <w:ind w:left="1140"/>
              <w:spacing w:after="0"/>
              <w:rPr>
                <w:sz w:val="20"/>
                <w:szCs w:val="20"/>
                <w:color w:val="auto"/>
              </w:rPr>
            </w:pPr>
            <w:r>
              <w:rPr>
                <w:rFonts w:ascii="Arial" w:cs="Arial" w:eastAsia="Arial" w:hAnsi="Arial"/>
                <w:sz w:val="18"/>
                <w:szCs w:val="18"/>
                <w:color w:val="auto"/>
              </w:rPr>
              <w:t>Dissolution of our partnership</w:t>
            </w:r>
          </w:p>
        </w:tc>
        <w:tc>
          <w:tcPr>
            <w:tcW w:w="5900" w:type="dxa"/>
            <w:vAlign w:val="bottom"/>
          </w:tcPr>
          <w:p>
            <w:pPr>
              <w:ind w:left="380"/>
              <w:spacing w:after="0"/>
              <w:rPr>
                <w:sz w:val="20"/>
                <w:szCs w:val="20"/>
                <w:color w:val="auto"/>
              </w:rPr>
            </w:pPr>
            <w:r>
              <w:rPr>
                <w:rFonts w:ascii="Arial" w:cs="Arial" w:eastAsia="Arial" w:hAnsi="Arial"/>
                <w:sz w:val="18"/>
                <w:szCs w:val="18"/>
                <w:color w:val="auto"/>
              </w:rPr>
              <w:t>Unit Majority and approval of our general partner and our</w:t>
            </w:r>
          </w:p>
        </w:tc>
      </w:tr>
      <w:tr>
        <w:trPr>
          <w:trHeight w:val="222"/>
        </w:trPr>
        <w:tc>
          <w:tcPr>
            <w:tcW w:w="5520" w:type="dxa"/>
            <w:vAlign w:val="bottom"/>
          </w:tcPr>
          <w:p>
            <w:pPr>
              <w:spacing w:after="0"/>
              <w:rPr>
                <w:sz w:val="19"/>
                <w:szCs w:val="19"/>
                <w:color w:val="auto"/>
              </w:rPr>
            </w:pPr>
          </w:p>
        </w:tc>
        <w:tc>
          <w:tcPr>
            <w:tcW w:w="5900" w:type="dxa"/>
            <w:vAlign w:val="bottom"/>
          </w:tcPr>
          <w:p>
            <w:pPr>
              <w:ind w:left="380"/>
              <w:spacing w:after="0"/>
              <w:rPr>
                <w:sz w:val="20"/>
                <w:szCs w:val="20"/>
                <w:color w:val="auto"/>
              </w:rPr>
            </w:pPr>
            <w:r>
              <w:rPr>
                <w:rFonts w:ascii="Arial" w:cs="Arial" w:eastAsia="Arial" w:hAnsi="Arial"/>
                <w:sz w:val="18"/>
                <w:szCs w:val="18"/>
                <w:color w:val="auto"/>
              </w:rPr>
              <w:t>board of directors. See "—Termination and Dissolution".</w:t>
            </w:r>
          </w:p>
        </w:tc>
      </w:tr>
      <w:tr>
        <w:trPr>
          <w:trHeight w:val="459"/>
        </w:trPr>
        <w:tc>
          <w:tcPr>
            <w:tcW w:w="5520" w:type="dxa"/>
            <w:vAlign w:val="bottom"/>
          </w:tcPr>
          <w:p>
            <w:pPr>
              <w:ind w:left="1140"/>
              <w:spacing w:after="0"/>
              <w:rPr>
                <w:sz w:val="20"/>
                <w:szCs w:val="20"/>
                <w:color w:val="auto"/>
              </w:rPr>
            </w:pPr>
            <w:r>
              <w:rPr>
                <w:rFonts w:ascii="Arial" w:cs="Arial" w:eastAsia="Arial" w:hAnsi="Arial"/>
                <w:sz w:val="18"/>
                <w:szCs w:val="18"/>
                <w:color w:val="auto"/>
              </w:rPr>
              <w:t>Reconstitution of our partnership upon dissolution</w:t>
            </w:r>
          </w:p>
        </w:tc>
        <w:tc>
          <w:tcPr>
            <w:tcW w:w="5900" w:type="dxa"/>
            <w:vAlign w:val="bottom"/>
          </w:tcPr>
          <w:p>
            <w:pPr>
              <w:ind w:left="380"/>
              <w:spacing w:after="0"/>
              <w:rPr>
                <w:sz w:val="20"/>
                <w:szCs w:val="20"/>
                <w:color w:val="auto"/>
              </w:rPr>
            </w:pPr>
            <w:r>
              <w:rPr>
                <w:rFonts w:ascii="Arial" w:cs="Arial" w:eastAsia="Arial" w:hAnsi="Arial"/>
                <w:sz w:val="18"/>
                <w:szCs w:val="18"/>
                <w:color w:val="auto"/>
              </w:rPr>
              <w:t>Unit Majority. See "—Termination and Dissolution".</w:t>
            </w:r>
          </w:p>
        </w:tc>
      </w:tr>
      <w:tr>
        <w:trPr>
          <w:trHeight w:val="432"/>
        </w:trPr>
        <w:tc>
          <w:tcPr>
            <w:tcW w:w="5520" w:type="dxa"/>
            <w:vAlign w:val="bottom"/>
          </w:tcPr>
          <w:p>
            <w:pPr>
              <w:spacing w:after="0"/>
              <w:rPr>
                <w:sz w:val="24"/>
                <w:szCs w:val="24"/>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S-49</w:t>
            </w:r>
          </w:p>
        </w:tc>
      </w:tr>
      <w:tr>
        <w:trPr>
          <w:trHeight w:val="228"/>
        </w:trPr>
        <w:tc>
          <w:tcPr>
            <w:tcW w:w="552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Action</w:t>
      </w:r>
    </w:p>
    <w:p>
      <w:pPr>
        <w:spacing w:after="0" w:line="13" w:lineRule="exact"/>
        <w:rPr>
          <w:sz w:val="20"/>
          <w:szCs w:val="20"/>
          <w:color w:val="auto"/>
        </w:rPr>
      </w:pPr>
    </w:p>
    <w:p>
      <w:pPr>
        <w:jc w:val="right"/>
        <w:ind w:right="1640"/>
        <w:spacing w:after="0"/>
        <w:rPr>
          <w:sz w:val="20"/>
          <w:szCs w:val="20"/>
          <w:color w:val="auto"/>
        </w:rPr>
      </w:pPr>
      <w:r>
        <w:rPr>
          <w:rFonts w:ascii="Arial" w:cs="Arial" w:eastAsia="Arial" w:hAnsi="Arial"/>
          <w:sz w:val="18"/>
          <w:szCs w:val="18"/>
          <w:color w:val="auto"/>
        </w:rPr>
        <w:t>Withdrawal of our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Removal of our general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27787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right="540"/>
        <w:spacing w:after="0" w:line="289" w:lineRule="auto"/>
        <w:rPr>
          <w:sz w:val="20"/>
          <w:szCs w:val="20"/>
          <w:color w:val="auto"/>
        </w:rPr>
      </w:pPr>
      <w:r>
        <w:rPr>
          <w:rFonts w:ascii="Arial" w:cs="Arial" w:eastAsia="Arial" w:hAnsi="Arial"/>
          <w:sz w:val="16"/>
          <w:szCs w:val="16"/>
          <w:color w:val="auto"/>
        </w:rPr>
        <w:t>Under most circumstances, the approval of a majority of the common units, excluding common units held by our general partner and its affiliates, is required for the withdrawal of our general partner prior to March 31, 2024 in a manner that would cause a dissolution of our partnership. See "— Withdrawal or Removal of our General Partner".</w:t>
      </w:r>
    </w:p>
    <w:p>
      <w:pPr>
        <w:spacing w:after="0" w:line="204" w:lineRule="exact"/>
        <w:rPr>
          <w:sz w:val="20"/>
          <w:szCs w:val="20"/>
          <w:color w:val="auto"/>
        </w:rPr>
      </w:pPr>
    </w:p>
    <w:p>
      <w:pPr>
        <w:ind w:right="680"/>
        <w:spacing w:after="0" w:line="244" w:lineRule="auto"/>
        <w:rPr>
          <w:sz w:val="20"/>
          <w:szCs w:val="20"/>
          <w:color w:val="auto"/>
        </w:rPr>
      </w:pPr>
      <w:r>
        <w:rPr>
          <w:rFonts w:ascii="Arial" w:cs="Arial" w:eastAsia="Arial" w:hAnsi="Arial"/>
          <w:sz w:val="17"/>
          <w:szCs w:val="17"/>
          <w:color w:val="auto"/>
        </w:rPr>
        <w:t>Not less than 66</w:t>
      </w:r>
      <w:r>
        <w:rPr>
          <w:rFonts w:ascii="Arial" w:cs="Arial" w:eastAsia="Arial" w:hAnsi="Arial"/>
          <w:sz w:val="27"/>
          <w:szCs w:val="27"/>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outstanding common units, including common units held by our general partner and its affiliates, voting together as a single class. See "— Withdrawal or Removal of our General Partner".</w:t>
      </w:r>
    </w:p>
    <w:p>
      <w:pPr>
        <w:spacing w:after="0" w:line="200" w:lineRule="exact"/>
        <w:rPr>
          <w:sz w:val="20"/>
          <w:szCs w:val="20"/>
          <w:color w:val="auto"/>
        </w:rPr>
      </w:pPr>
    </w:p>
    <w:p>
      <w:pPr>
        <w:sectPr>
          <w:pgSz w:w="11900" w:h="16838" w:orient="portrait"/>
          <w:cols w:equalWidth="0" w:num="2">
            <w:col w:w="5180" w:space="720"/>
            <w:col w:w="4840"/>
          </w:cols>
          <w:pgMar w:left="240" w:top="131" w:right="919" w:bottom="1440" w:gutter="0" w:footer="0" w:header="0"/>
        </w:sectPr>
      </w:pPr>
    </w:p>
    <w:p>
      <w:pPr>
        <w:spacing w:after="0" w:line="35"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Transfer of our general partner interest in us</w:t>
      </w:r>
      <w:r>
        <w:rPr>
          <w:sz w:val="20"/>
          <w:szCs w:val="20"/>
          <w:color w:val="auto"/>
        </w:rPr>
        <w:tab/>
      </w:r>
      <w:r>
        <w:rPr>
          <w:rFonts w:ascii="Arial" w:cs="Arial" w:eastAsia="Arial" w:hAnsi="Arial"/>
          <w:sz w:val="15"/>
          <w:szCs w:val="15"/>
          <w:color w:val="auto"/>
        </w:rPr>
        <w:t>Our general partner may transfer all, but not less than all, of</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its general partner interest in us without a vote of our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common unitholders or other limited partners to an affiliate or</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another person in connection with its merger or consolidation</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with or into, or sale of all or substantially all of its assets to,</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such person. The approval of a majority of the common units,</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excluding common units held by our general partner and its</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affiliates, is required in other circumstances for a transfer of</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general partner interest to a third party prior to March 31,</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2024. See "—Transfer of General Partner Interest".</w:t>
      </w:r>
    </w:p>
    <w:p>
      <w:pPr>
        <w:spacing w:after="0" w:line="246"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Transfer of incentive distribution rights</w:t>
      </w:r>
      <w:r>
        <w:rPr>
          <w:sz w:val="20"/>
          <w:szCs w:val="20"/>
          <w:color w:val="auto"/>
        </w:rPr>
        <w:tab/>
      </w:r>
      <w:r>
        <w:rPr>
          <w:rFonts w:ascii="Arial" w:cs="Arial" w:eastAsia="Arial" w:hAnsi="Arial"/>
          <w:sz w:val="15"/>
          <w:szCs w:val="15"/>
          <w:color w:val="auto"/>
        </w:rPr>
        <w:t>Except for transfers to an affiliate or another person as part of</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 merger or consolidation with or into, or sale of all or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substantially all of the assets to, such person, the approval of</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 majority of the common units, excluding common units</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held by our general partner and its affiliates, voting separately</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as a class, is required in most circumstances for a transfer of</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incentive distribution rights to a third party prior to</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March 31, 2019. See "—Transfer of Incentive Distribution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Rights".</w:t>
      </w:r>
    </w:p>
    <w:p>
      <w:pPr>
        <w:spacing w:after="0" w:line="246"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Transfer of ownership interests in our general partner</w:t>
      </w:r>
      <w:r>
        <w:rPr>
          <w:sz w:val="20"/>
          <w:szCs w:val="20"/>
          <w:color w:val="auto"/>
        </w:rPr>
        <w:tab/>
      </w:r>
      <w:r>
        <w:rPr>
          <w:rFonts w:ascii="Arial" w:cs="Arial" w:eastAsia="Arial" w:hAnsi="Arial"/>
          <w:sz w:val="16"/>
          <w:szCs w:val="16"/>
          <w:color w:val="auto"/>
        </w:rPr>
        <w:t>No approval required at any time. See "—Transfer of</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Ownership Interests in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Our Partnership Agreement is governed by Marshall Islands law. Our Partnership Agreement requires that any claims, suits, actions or proceedings:</w:t>
      </w:r>
    </w:p>
    <w:p>
      <w:pPr>
        <w:spacing w:after="0" w:line="273" w:lineRule="exact"/>
        <w:rPr>
          <w:sz w:val="20"/>
          <w:szCs w:val="20"/>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w:t>
      </w:r>
    </w:p>
    <w:p>
      <w:pPr>
        <w:spacing w:after="0" w:line="1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80"/>
        <w:spacing w:after="0" w:line="268" w:lineRule="auto"/>
        <w:rPr>
          <w:sz w:val="20"/>
          <w:szCs w:val="20"/>
          <w:color w:val="auto"/>
        </w:rPr>
      </w:pPr>
      <w:r>
        <w:rPr>
          <w:rFonts w:ascii="Arial" w:cs="Arial" w:eastAsia="Arial" w:hAnsi="Arial"/>
          <w:sz w:val="18"/>
          <w:szCs w:val="18"/>
          <w:color w:val="auto"/>
        </w:rPr>
        <w:t>obligations or liabilities among limited partners or of limited partners to us, or the rights or powers of, or restrictions on, the limited partners or us);</w:t>
      </w:r>
    </w:p>
    <w:p>
      <w:pPr>
        <w:spacing w:after="0" w:line="19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limited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Marshall Islands 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units plus his share of any undistributed profits and assets. If it were determined, however, that the right, or exercise of the right, by the limited partners as a group:</w:t>
      </w:r>
    </w:p>
    <w:p>
      <w:pPr>
        <w:spacing w:after="0" w:line="224"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elect three (or, following the general partner's exercise of its right to transfer the power to elect a majority of our directors to the common unitholders, four) of our seven directors;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70"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74"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and Series B Preference Units described under "Description of Series B Preference Units—Voting Rights".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17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intend to fund acquisitions through borrowings and the issuance of additional common units or other equity securities and the issuance of debt securities. Holders of any additional Series B Preference Units we issue will be entitled to share equally with the then-existing holders of Series B Preference Units in our distributions, holders of any additional Series A Preference Units we issue will be entitled to share equally with the then-existing holders of Series A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Series A Preference Units or Series B Preference Units in our net assets and such securities may have priority over common units, Series A Preference Units or Series B Preference Units for receipt of distributions.</w:t>
      </w:r>
    </w:p>
    <w:p>
      <w:pPr>
        <w:spacing w:after="0" w:line="172"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accordance with Marshall Islands law and the provisions of our Partnership Agreement, we may also issue additional partnership interests that, as determined by our board of directors, have special voting or other rights to which the common units, the Series A Preference Units and the Series B Preference Units are not entitled.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B Preference Units. Our general partner and its affiliates will have the right, which it may from time to time assign in whole or in part to any of its affiliates, to purchase common units, Series A Preference Units, Series B Preference Units or other equity securities whenever, and on the same terms that, we issue those securities to persons other than our general partner and its affiliates, to the extent necessary to maintain its and its affiliates' percentage interest, including its interest represented by common units, that existed immediately prior to each issuance. Other holders of common units will not have similar pre-emptive rights to acquire additional common units or other partnership interests.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Series A Preference Units and Series B Preference Units must approve certain amendments as described under "Description of Series B Preference Units—Voting Rights". Except as we describe below, an amendment must be approved by a Unit Majority.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3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approved by at least a majority of the type or class of limited partner interests so affected;</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0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(5) above can be amended upon the approval of the holders of at least 90% of the outstanding units voting together as a single class (including units owned by our general partner and its affiliates).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generally make amendments to our Partnership Agreement without the approval of any limited partner to reflect:</w:t>
      </w:r>
    </w:p>
    <w:p>
      <w:pPr>
        <w:spacing w:after="0" w:line="275"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38"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66" w:lineRule="exact"/>
        <w:rPr>
          <w:rFonts w:ascii="Arial" w:cs="Arial" w:eastAsia="Arial" w:hAnsi="Arial"/>
          <w:sz w:val="16"/>
          <w:szCs w:val="16"/>
          <w:color w:val="auto"/>
        </w:rPr>
      </w:pPr>
    </w:p>
    <w:p>
      <w:pPr>
        <w:ind w:left="1080" w:right="380" w:hanging="532"/>
        <w:spacing w:after="0" w:line="298"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180"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right="220" w:hanging="532"/>
        <w:spacing w:after="0" w:line="268"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adjustments of the minimum quarterly distribution, first target distribution, second target distribution and third target distribution in connection with the reset of our incentive distribution rights;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implementation of the provisions relating to GasLog's right to reset the incentive distribution rights in exchange for common units;</w:t>
      </w:r>
    </w:p>
    <w:p>
      <w:pPr>
        <w:spacing w:after="0" w:line="261" w:lineRule="exact"/>
        <w:rPr>
          <w:rFonts w:ascii="Arial" w:cs="Arial" w:eastAsia="Arial" w:hAnsi="Arial"/>
          <w:sz w:val="16"/>
          <w:szCs w:val="16"/>
          <w:color w:val="auto"/>
        </w:rPr>
      </w:pPr>
    </w:p>
    <w:p>
      <w:pPr>
        <w:ind w:left="1620" w:hanging="532"/>
        <w:spacing w:after="0" w:line="259"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the Partnership Agreement;</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or our general partner (subject to the limited approval rights of the holders of the Series B Preference Units and the holders of other Parity Securities) if our board of directors determines that those amendments:</w:t>
      </w:r>
    </w:p>
    <w:p>
      <w:pPr>
        <w:spacing w:after="0" w:line="221"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do not adversely affect the rights of our limited partners (or any particular class of limited partners) or our general partner in any material respect;</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authority or statute;</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199"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Limited Partner Approval</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152"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privileges of any type or class or series of outstanding of limited partner interests (other than Series A Preference Units or Series B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or Series B Preference Units will require the approval of at least two-thirds of the outstanding Series A Preference Units or Series B Preference Units, as applicable.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Conversion or Other Disposition of Assets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and a Unity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17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election of our general partner and our board of directors to dissolve us, if approved by the holders of units representing a Unit Majority;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any time there are no limited partners, unless we continue without dissolution in accordance with the Marshall Islands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194"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Upon our dissolution, unless we are continued as a new limited partnership, the liquidator authorized to wind up our affairs will, acting with all of the powers of our board of directors that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necessary or appropriate, liquidate our assets and apply the proceeds of the liquidation as provided in the Partnership Agreement. The liquidation rights of holders of Series B Preference Units and Parity Securities (including the Series A Preference Units) are described under "Description of Series B Preference Units— Liquidation Rights". The liquidator may defer liquidation or distribution of our assets for a reasonable period or distribute assets to partners in kind if it determines that a sale would be impractical or would cause undue loss to our partners. A consolidation or merger of us with or into any other entity, individually or in a series of transactions, will not be deemed to be a liquidation, dissolution or winding up of our affairs.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 some instances to sell or otherwise transfer all of its general partner interest in us without the approval of the unitholders. See "—Transfer of General Partner Interest" and "—Transfer of Incentive Distribution Rights".</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198" w:lineRule="exact"/>
        <w:rPr>
          <w:sz w:val="20"/>
          <w:szCs w:val="20"/>
          <w:color w:val="auto"/>
        </w:rPr>
      </w:pPr>
    </w:p>
    <w:p>
      <w:pPr>
        <w:ind w:right="20" w:firstLine="351"/>
        <w:spacing w:after="0" w:line="255" w:lineRule="auto"/>
        <w:rPr>
          <w:sz w:val="20"/>
          <w:szCs w:val="20"/>
          <w:color w:val="auto"/>
        </w:rPr>
      </w:pPr>
      <w:r>
        <w:rPr>
          <w:rFonts w:ascii="Arial" w:cs="Arial" w:eastAsia="Arial" w:hAnsi="Arial"/>
          <w:sz w:val="15"/>
          <w:szCs w:val="15"/>
          <w:color w:val="auto"/>
        </w:rPr>
        <w:t>Our general partner may not be removed unless that removal is approved by the vote of the holders of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outstanding common units, including units held by our general partner and its affiliates, voting together as a single class, and we receive an opinion of counsel regarding limited liability. The</w:t>
      </w:r>
    </w:p>
    <w:p>
      <w:pPr>
        <w:spacing w:after="0" w:line="1"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ownership of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w:t>
      </w:r>
    </w:p>
    <w:p>
      <w:pPr>
        <w:spacing w:after="0" w:line="210"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72"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142"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for the transfer by our general partner of all, but not less than all, of its general partner interest in us to:</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w:t>
      </w:r>
    </w:p>
    <w:p>
      <w:pPr>
        <w:spacing w:after="0" w:line="186"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 Series A Preference Units and Series B Preference Units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By transfer of common units, Series A Preference Units or Series B Preference Units in accordance with the Partnership Agreement, each transferee of common units, Series A Preference Units or Series B Preference Units automatically is admitted as a limited partner with respect to the common units, Series A Preference Units or Series B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180"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 that the transferee has the capacity, power and authority to become bound by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agree to be bound by the terms and conditions of, and to have executed, the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grants power of attorney to officers of our general partner and any liquidator of us as specified in the Partnership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give the consents and approvals contained in the Partnership Agreement.</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are entitled to treat the nominee holder of a common unit, Series A Preference Unit or a Series B Preference Unit as the absolute owner. In that case, the beneficial holder's rights are limited solely to those that it has against the nominee holder as a result of any agreement between the beneficial owner and the nominee holder.</w:t>
      </w:r>
    </w:p>
    <w:p>
      <w:pPr>
        <w:spacing w:after="0" w:line="194"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Common units, Series A Preference Units and Series B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194"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Until a common unit, Series A Preference Unit or a Series B Preference Unit has been transferred on our books, we and our transfer agent may treat the record holder of the unit as the absolute owner of such unit for all purposes, except as otherwise required by law or stock exchange regulations.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Partnership Agreement contains specific provisions that are intended to discourage a person or group from attempting to remove GasLog</w:t>
      </w:r>
    </w:p>
    <w:p>
      <w:pPr>
        <w:spacing w:after="0" w:line="3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 or Series B Preference Units.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general partner will have the right to convert its general partner interest into common units or to receive cash in exchange for that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If at any time our general partner and its affiliates hold more than 80% of the then-issued and outstanding partnership interests of any class or series, except for the Series A Preference Units and Series B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w:t>
      </w:r>
    </w:p>
    <w:p>
      <w:pPr>
        <w:spacing w:after="0" w:line="2" w:lineRule="exact"/>
        <w:rPr>
          <w:sz w:val="20"/>
          <w:szCs w:val="20"/>
          <w:color w:val="auto"/>
        </w:rPr>
      </w:pPr>
    </w:p>
    <w:p>
      <w:pPr>
        <w:ind w:right="80" w:firstLine="8"/>
        <w:spacing w:after="0" w:line="302" w:lineRule="auto"/>
        <w:tabs>
          <w:tab w:leader="none" w:pos="2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highest price paid by our general partner or any of its affiliates for partnership interests of such class during the 90-day period preceding the date such notice is first mailed. Our general partner is not obligated to obtain a fairness opinion regarding the value of the partnership interests to be repurchased by it upon the exercise of this limited call right and has no fiduciary duty in determining whether to exercise this limited call right.</w:t>
      </w:r>
    </w:p>
    <w:p>
      <w:pPr>
        <w:spacing w:after="0" w:line="163"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As a result of the general partner's right to purchase outstanding partnership interests, a holder of partnership interests may have the holder's partnership interests (except for the Series A Preference Units and Series B Preference Units) purchased at an undesirable time or price. The tax consequences to a unitholder of the exercise of this call right are the same as a sale by that unitholder of units in the market. See "Material U.S. Federal Income Tax Considerations—U.S. Federal Income Taxation of U.S. Holders—Sale, Exchange or Other Disposition of Common Units" and "Material U.S. Federal Income Tax Considerations— U.S. Federal Income Taxation of Non-U.S. Holders—Disposition of Units".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jc w:val="both"/>
        <w:ind w:right="80" w:firstLine="351"/>
        <w:spacing w:after="0" w:line="291" w:lineRule="auto"/>
        <w:rPr>
          <w:sz w:val="20"/>
          <w:szCs w:val="20"/>
          <w:color w:val="auto"/>
        </w:rPr>
      </w:pPr>
      <w:r>
        <w:rPr>
          <w:rFonts w:ascii="Arial" w:cs="Arial" w:eastAsia="Arial" w:hAnsi="Arial"/>
          <w:sz w:val="16"/>
          <w:szCs w:val="16"/>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Immediately following this offering our board of directors will be comprised of seven persons.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certain limited circumstances, holders of our Series A Preference Units and Series B Preference Units (voting together as a class with any other Parity Securities)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 and Series B Preference Units and any other Parity Securities.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212"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238"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board members.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 entitled to vote on such matter, although additional limited partners interests having special voting rights could be issued.</w:t>
      </w:r>
    </w:p>
    <w:p>
      <w:pPr>
        <w:spacing w:after="0" w:line="16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Holders of the Series B Preference Units generally have no voting rights. However, holders of Series B Preference Units have limited voting rights as described under "Description of Series B Preference Units—Voting Rights".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194"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Any action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 person or by proxy at meetings. The holders</w:t>
      </w:r>
    </w:p>
    <w:p>
      <w:pPr>
        <w:spacing w:after="0" w:line="3" w:lineRule="exact"/>
        <w:rPr>
          <w:sz w:val="20"/>
          <w:szCs w:val="20"/>
          <w:color w:val="auto"/>
        </w:rPr>
      </w:pPr>
    </w:p>
    <w:p>
      <w:pPr>
        <w:jc w:val="both"/>
        <w:ind w:right="220"/>
        <w:spacing w:after="0" w:line="221" w:lineRule="auto"/>
        <w:rPr>
          <w:sz w:val="20"/>
          <w:szCs w:val="20"/>
          <w:color w:val="auto"/>
        </w:rPr>
      </w:pPr>
      <w:r>
        <w:rPr>
          <w:rFonts w:ascii="Arial" w:cs="Arial" w:eastAsia="Arial" w:hAnsi="Arial"/>
          <w:sz w:val="18"/>
          <w:szCs w:val="18"/>
          <w:color w:val="auto"/>
        </w:rPr>
        <w:t>of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210"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Series A Preference Units and Series B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175" w:lineRule="exact"/>
        <w:rPr>
          <w:sz w:val="20"/>
          <w:szCs w:val="20"/>
          <w:color w:val="auto"/>
        </w:rPr>
      </w:pPr>
    </w:p>
    <w:p>
      <w:pPr>
        <w:ind w:right="360" w:firstLine="341"/>
        <w:spacing w:after="0" w:line="332" w:lineRule="auto"/>
        <w:rPr>
          <w:sz w:val="20"/>
          <w:szCs w:val="20"/>
          <w:color w:val="auto"/>
        </w:rPr>
      </w:pPr>
      <w:r>
        <w:rPr>
          <w:rFonts w:ascii="Arial" w:cs="Arial" w:eastAsia="Arial" w:hAnsi="Arial"/>
          <w:sz w:val="16"/>
          <w:szCs w:val="16"/>
          <w:color w:val="auto"/>
        </w:rPr>
        <w:t>Any notice, demand, request, report or proxy material required or permitted to be given or made to record holders of common units, Series A Preference Units or Series B Preference Units under the Partnership Agreement will be delivered to the record holder by us or by the transfer agent.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Except as described above under "—Limited Liability", the common units, Series A Preference Units and Series B Preference Units will be fully paid, and unitholders will not be required to make additional contributions. By transfer of common units, Series A Preference Units or Series B Preference Units in accordance with our Partnership Agreement, each transferee of units will be admitted as a limited partner with respect to the units transferred when such transfer and admission is reflected in our books and records.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5540" w:right="3820" w:hanging="4992"/>
        <w:spacing w:after="0" w:line="51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 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person who is or was an officer, director, member, fiduciary or trustee of any entity described in (1), (2) or (3) above;</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fiduciary or trustee of another person at the request of our board of directors, our general partner or any departing general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153"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and related amendments;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 See "Units Eligible for Future Sale".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following is a discussion of the material U.S. federal income tax considerations that may be relevant to prospective holders and, unless otherwise noted in the following discussion, is the opinion of Cravath, Swaine &amp; Moore LLP, our U.S. counsel, insofar as it contains legal conclusions with respect to matters of U.S. federal income tax law. The opinion of our counsel is dependent on the accuracy of factual representations made by us to them, including descriptions of our operations contained herein.</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This discussion is based upon provisions of the U.S. Internal Revenue Code of 1986, as amended, or the "Code," the Treasury Regulations promulgated thereunder and current administrative rulings and court decisions, all as in effect or existence on the date of this prospectus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167"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following discussion applies only to beneficial owners of Series B Preference Units that own the Series B Preference Units as "capital assets" within the meaning of Section 1221 of the Code (i.e., generally, for investment purposes) and is not intended to be applicable to all categories of investors, such as 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persons subject to special tax accounting rules as a result of any item of gross income with respect to our Series B Preference Units being taken into account in an applicable financial statement or persons that have a functional currency other than the U.S. dollar, each of whom may be subject to tax rules that differ significantly from those summarized below. If a partnership or other entity classified as a partnership for U.S. federal income tax purposes holds our Series B Preference Units, the tax treatment of its partners generally will depend upon the status of the partner and the activities of the partnership. If you are a partner in a partnership holding our Series B Preference Units, you are encouraged to consult your own tax advisor regarding the tax consequences to you of the partnership's ownership of our Series B Preference Units.</w:t>
      </w:r>
    </w:p>
    <w:p>
      <w:pPr>
        <w:spacing w:after="0" w:line="17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holders. The opinions and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Series B Preference Units. This discussion does not comment on all aspects of U.S. federal income taxation that may be important to particular holders in light of their individual circumstances, and each prospective holder is encouraged to consult its own tax advisor regarding the U.S. federal, state, local and other tax consequences of the ownership or disposition of Series B Preference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Corporation</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elected to be treated as a corporation for U.S. federal income tax purposes. As a result, except as provided below, we will be subject to U.S. federal income tax on our income to the extent such income is from U.S. sources or is otherwise effectively connected with the conduct of a trade or business in the United States. In addition, U.S. Holders (as defined below) will not be directly subject to U.S. federal income tax on our income, but rather will be subject to U.S. federal income tax on distributions received from us and dispositions of units as described below.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Our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Our Subsidiaries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subsidiaries have elected to be treated as disregarded entities for U.S. federal income tax purposes. As a result, for purposes of the discussion below, our subsidiaries are treated as branches rather than as separate corporations.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Shipping Income</w:t>
      </w:r>
    </w:p>
    <w:p>
      <w:pPr>
        <w:spacing w:after="0" w:line="225"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98"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do not expect to qualify for an exemption from such U.S. federal income tax under a tax treaty nor do we expect to qualify for the exemption under Section 883 of the Code during the 2018 tax year, unless our general partner exercises the "GasLog option".</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were exercised, we might qualify for an exemption from U.S. federal income tax on U.S. Source International Transportation Income under Section 883 of the Code. There is no assurance, however, that GasLog will exercise the GasLog option, which is necessary for us to qualify for such exemption, nor can we assure you that GasLog's exercise of the GasLog option would be sufficient for us to qualify for the exemption for our current or any future tax year.</w:t>
      </w:r>
    </w:p>
    <w:p>
      <w:pPr>
        <w:spacing w:after="0" w:line="170"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2016, our U.S. source gross transportation tax was $0.06 million and for the first nine months of 2017, the gross U.S. source gross transportation tax was $0.19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our U.S. Source International Transportation Income that is considered to be "effectively connected" with the conduct of a U.S. trade or business is subject to the 21% U.S. corporate income tax rate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International Transportation Income would be considered effectively connected with the conduct of a U.S. trade or business only if:</w:t>
      </w:r>
    </w:p>
    <w:p>
      <w:pPr>
        <w:spacing w:after="0" w:line="262" w:lineRule="exact"/>
        <w:rPr>
          <w:sz w:val="20"/>
          <w:szCs w:val="20"/>
          <w:color w:val="auto"/>
        </w:rPr>
      </w:pPr>
    </w:p>
    <w:p>
      <w:pPr>
        <w:ind w:left="1080" w:right="4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21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Gain on Sale of Shipping Assets</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used herein, the term "U.S. Holder" means a beneficial owner of our Series B Preference Units that owns (actually or constructively) less than 10.0% of our equity and that is:</w:t>
      </w:r>
    </w:p>
    <w:p>
      <w:pPr>
        <w:spacing w:after="0" w:line="19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individual U.S. citizen or resident (as determined for U.S. federal income tax purposes),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corporation (or other entity that is classified as a corporation for U.S. federal income tax purposes) organized under the laws of the United States, any state thereof or the District of Columbia,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Subject to the discussion below of the rules applicable to PFICs, any distributions to a U.S. Holder made by us with respect to our Series B Preference Units generally will constitute dividends to the extent of our current or accumulated earnings and profits, as determined under U.S. federal income tax</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principles. Distributions in excess of our earnings and profits will be treated first as a nontaxable return of capital to the extent of the U.S. Holder's tax basis in its Series B Preference Units and thereafter as capital gain. U.S. Holders that are corporations generally will not be entitled to claim dividends received deduction with respect to distributions they receive from us because we are not a U.S. corporation. Dividends received with respect to our Series B Preference Units generally will be treated as foreign source "passive category income" for purposes of computing allowable foreign tax credits for U.S. federal income tax purposes.</w:t>
      </w:r>
    </w:p>
    <w:p>
      <w:pPr>
        <w:spacing w:after="0" w:line="197"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Dividends received with respect to our Series B Preference Units by a U.S. Holder that is an individual, trust or estate, or a "U.S. Individual Holder", generally will be treated as "qualified dividend income", which is taxable to such U.S. Individual Holder at preferential tax rates provided that: (i) our Series B Preference Units are readily tradable on an established securities market in the United States (such as the New York Stock Exchange on which we expect our Series B Preference Units to be traded); (ii) we are not a PFIC for the taxable year during which the dividend is paid or the immediately preceding taxable year (which we do not believe we are, have been or will be, as discussed below under "—PFIC Status and Significant Tax Consequences"); (iii) the U.S. Individual Holder has owned the Series B Preference Units for more than 60 days during the 121-day period beginning 60 days before the date on which the Series B Preference Units become ex-dividend (and has not entered into certain risk limiting transactions with respect to such Series B Preference Units); and (iv) the U.S. Individual Holder is not under an obligation to make related payments with respect to positions in substantially similar or related property. There is no assurance that any dividends paid on our Series B Preference Units will be eligible for these preferential rates in the hands of a U.S. Individual Holder, and any dividends paid on our Series B Preference Units that are not eligible for these preferential rates will be taxed at ordinary income rates to a U.S. Individual Holder.</w:t>
      </w:r>
    </w:p>
    <w:p>
      <w:pPr>
        <w:spacing w:after="0" w:line="17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Special rules may apply to any amounts received in respect of our Series B Preference Units that are treated as "extraordinary dividends". In general, an extraordinary dividend is a dividend with respect to a Series B Preference Unit that is equal to or in excess of 5.0% of a holder's adjusted tax basis (or fair market value upon the holder's election) in such Series B Preference Unit. In addition, extraordinary dividends include dividends received within a one-year period that, in the aggregate, equal or exceed 20.0% of a holder's adjusted tax basis (or fair market value). If we pay an "extraordinary dividend" on our Series B Preference Units that is treated as "qualified dividend income", then any loss recognized by a U.S. Individual Holder from the sale or exchange of such Series B Preference Units will be treated as long-term capital loss to the extent of the amount of such dividend.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Series B Preference Units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 Distributions"). Such gain or loss will be treated as long-term capital gain or loss if the U.S. Holder's holding period is greater than one year at the time of the sale, exchange or other disposition.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 on Net Investment Income</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Holders are encouraged to consult their tax advisors regarding the implications of the additional Medicare tax resulting from their ownership and disposition of our Series B Preference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225" w:lineRule="exact"/>
        <w:rPr>
          <w:sz w:val="20"/>
          <w:szCs w:val="20"/>
          <w:color w:val="auto"/>
        </w:rPr>
      </w:pPr>
    </w:p>
    <w:p>
      <w:pPr>
        <w:jc w:val="both"/>
        <w:ind w:right="380" w:firstLine="341"/>
        <w:spacing w:after="0" w:line="259" w:lineRule="auto"/>
        <w:rPr>
          <w:sz w:val="20"/>
          <w:szCs w:val="20"/>
          <w:color w:val="auto"/>
        </w:rPr>
      </w:pPr>
      <w:r>
        <w:rPr>
          <w:rFonts w:ascii="Arial" w:cs="Arial" w:eastAsia="Arial" w:hAnsi="Arial"/>
          <w:sz w:val="18"/>
          <w:szCs w:val="18"/>
          <w:color w:val="auto"/>
        </w:rPr>
        <w:t>Adverse U.S. federal income tax rules apply to a U.S. Holder that owns an equity interest in a non-U.S. corporation that is classified as a PFIC for U.S. federal income tax purposes. In general, we will be treated as a PFIC with respect to a U.S. Holder if, for any taxable year in which the holder held our units, either:</w:t>
      </w:r>
    </w:p>
    <w:p>
      <w:pPr>
        <w:spacing w:after="0" w:line="208" w:lineRule="exact"/>
        <w:rPr>
          <w:sz w:val="20"/>
          <w:szCs w:val="20"/>
          <w:color w:val="auto"/>
        </w:rPr>
      </w:pPr>
    </w:p>
    <w:p>
      <w:pPr>
        <w:ind w:left="108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least 75.0% of our gross income (including the gross income of our vessel-owning subsidiaries) for such taxable year consists of passive income (e.g., dividends, interest, capital gains from the sale or exchange of investment property and rents derived other than in the active conduct of a rental business); or</w:t>
      </w:r>
    </w:p>
    <w:p>
      <w:pPr>
        <w:spacing w:after="0" w:line="221"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least 50.0% of the average value of the assets held by us (including the assets of our vessel-owning subsidiaries) during such taxable year produce, or are held for the production of, passive income.</w:t>
      </w:r>
    </w:p>
    <w:p>
      <w:pPr>
        <w:spacing w:after="0" w:line="186"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Based on our past, current and projected methods of operation, and an opinion of counsel, we do not believe that we were, are or will be a PFIC for any of previous taxable years or for our current or any future taxable year. We have received opinions of our U.S. counsel, Cravath, Swaine &amp; Moore LLP,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taxable years arose and that we expect that more than 25.0% of our gross income for our current and each future taxable year will arise from such time-chartering activities, and more than 50.0% of the average value of our assets for each such year was or will be held for the production of such nonpassive income. Assuming the composition of our income and assets is consistent with these representations, and assuming the accuracy of other representations we have made to our U.S. counsel for purposes of their opinion, our U.S. counsel is of the opinion that we should not be a PFIC any of our previous taxable years or for our current or any future taxable year.</w:t>
      </w:r>
    </w:p>
    <w:p>
      <w:pPr>
        <w:spacing w:after="0" w:line="174"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Our counsel has indicated to us that the conclusions described above are not free from doubt. While there is legal authority supporting our conclusions, including IRS pronouncements concerning the characterization of income derived from time charters as services income, the United States Court of Appeals for the Fifth Circuit (or the Fifth Circuit) held in Tidewater Inc. v. United States, 565 F.3d 299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Tidewater case and, at the same time, announced the position of the IRS that the marine time charter agreements at issue in that case should be treated as service contracts.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taxable year, we cannot assure holders that the nature of our operations will not change in the future and that we will not become a PFIC in any future taxable year.</w:t>
      </w:r>
    </w:p>
    <w:p>
      <w:pPr>
        <w:spacing w:after="0" w:line="172"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discussed more fully below, if we were to be treated as a PFIC for any taxable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Series B Preference Units, as discussed below. In addition, if a U.S. Holder owns our Series B Preference Units during any taxable year that we are a PFIC, such units owned by such holder will be treated as PFIC units even if we are not a PFIC in a subsequent year and, if the total value of all PFIC stock that such holder directly or indirectly owns exceeds certain thresholds, such holder must file an annual report with the IRS.</w:t>
      </w:r>
    </w:p>
    <w:p>
      <w:pPr>
        <w:spacing w:after="0" w:line="174"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If we were to be treated as a PFIC for any taxable year, and a U.S. Holder makes a timely QEF election, such holder hereinafter an "Electing Holder", then, for U.S. federal income tax purposes, that holder must report as income for its taxable year its pro rata share of our ordinary earnings and net capital gain, if any, for our taxable years that end with or within the taxable year for which that holder is reporting, regardless of whether or not the Electing Holder received distributions from us in that year. The Electing Holder's adjusted tax basis in the Series B Preference Units will be increased to reflect taxed but undistributed earnings and profits. Distributions of earnings and profits that were previously taxed will result in a corresponding reduction in the Electing Holder's adjusted tax basis in Series B Preference Units and will not be taxed again once distributed. An Electing Holder generally will recognize capital gain or loss on the sale, exchange or other disposition of our Series B Preference Units. A U.S. Holder makes a QEF election with respect to any year that we are a PFIC by filing IRS Form 8621 with its U.S. federal income tax return. If contrary to our expectations, we determine that we are treated as a PFIC for any taxable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If we were to be treated as a PFIC for any taxable year and, as we anticipate, our units were treated as "marketable stock", then, as an alternative to making a QEF election, a U.S. Holder would be allowed to make a "mark-to-market" election with respect to our Series B Preference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U.S. Holder's Series B Preference Units at the end of the taxable year over the holder's adjusted tax basis in the Series B Preference Units. The U.S. Holder also would be permitted an ordinary loss in respect of the excess, if any, of the U.S. Holder's adjusted tax basis in the Series B Preference Units over the fair market value thereof at the end of the taxable year, but only to the extent of the net amount previously included in income as a result of the mark-to-market election. A U.S. Holder's tax basis in its Series B Preference Units would be adjusted to reflect any such income or loss recognized. Gain recognized on the sale, exchange or other disposition of our Series B Preference Units would be treated as ordinary income, and any loss recognized on the sale, exchange or other disposition of the Series B Preference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If we were to be treated as a PFIC for any taxable year, a U.S. Holder that does not make either a QEF election or a "mark-to-market" election for that year, such holder hereinafter a "Non-Electing Holder", would be subject to special rules resulting in increased tax liability with respect to (1) any excess distribution (i.e., the portion of any distributions received by the Non-Electing Holder on our Series B Preference Units in a taxable year in excess of 125.0% of the average annual distributions received by the Non-Electing Holder in the three preceding taxable years, or, if shorter, the portion of the Non- Electing Holder's holding period for the Series B Preference Units before the taxable year) and (2) any gain realized on the sale, exchange or other disposition of the units. Under these special rules:</w:t>
      </w:r>
    </w:p>
    <w:p>
      <w:pPr>
        <w:spacing w:after="0" w:line="212" w:lineRule="exact"/>
        <w:rPr>
          <w:sz w:val="20"/>
          <w:szCs w:val="20"/>
          <w:color w:val="auto"/>
        </w:rPr>
      </w:pPr>
    </w:p>
    <w:p>
      <w:pPr>
        <w:ind w:left="1080" w:right="34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excess distribution or gain would be allocated ratably over the Non-Electing Holder's aggregate holding period for the Series B Preference Units;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taxable year we were first treated as a PFIC with respect to the Non-Electing Holder would be taxed as ordinary income; and</w:t>
      </w:r>
    </w:p>
    <w:p>
      <w:pPr>
        <w:spacing w:after="0" w:line="199"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taxpayers for that year, and an interest charge for the deemed deferral benefit would be imposed with respect to the resulting tax attributable to each such other taxable year.</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These penalties would not apply to a qualified pension, profit sharing or other retirement trust or other tax-exempt organization that did not borrow money or otherwise utilize leverage in connection with its acquisition of our Series B Preference Units. If we were treated as a PFIC for any taxable year and a Non-Electing Holder who is an individual dies while owning our Series B Preference Units, such holder's successor generally would not receive a step-up in tax basis with respect to such units. A Non-Electing Holder may be required to report its ownership of our units by filing IRS Form 8621 with its U.S. federal income tax return.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 beneficial owner of our Series B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Series B Preference Units, you are encouraged to consult your own tax advisor regarding the tax consequences to you of the partnership's ownership of our Series B Preference 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if the income arising from the distribution is not attributable to a U.S. permanent establishment maintained by the Non-U.S. Holder.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general, a Non-U.S. Holder is not subject to U.S. federal income tax or withholding tax on any gain resulting from the disposition of our Series B Preference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However, even if not engaged in a U.S. trade or business, individual Non-U.S. Holders may be subject to tax on gain resulting from the disposition of our Series B Preference Units if they are present in the United States for 183 days or more during the taxable year in which those units are disposed and meet certain other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general, payments to a U.S. Individual Holder of distributions or the proceeds of a disposition of Series B Preference Units will be subject to information reporting. These payments to a U.S. Individual Holder also may be subject to backup withholding if the U.S. Individual Holder:</w:t>
      </w:r>
    </w:p>
    <w:p>
      <w:pPr>
        <w:spacing w:after="0" w:line="153"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 notified by the IRS that it has failed to report all interest or corporate distributions required to be reported on its U.S. federal income tax returns;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by certifying their status on IRS Form W-8BEN, W-8BEN-E, W-8ECI or W-8IMY, as applicable.</w:t>
      </w:r>
    </w:p>
    <w:p>
      <w:pPr>
        <w:spacing w:after="0" w:line="18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Backup withholding is not an additional tax. Rather, a holder may obtain a credit for any amount withheld against its liability for U.S. federal income tax (and obtain a refund of any amounts withheld in excess of such liability) by timely filing a U.S. federal income tax return with the IRS.</w:t>
      </w:r>
    </w:p>
    <w:p>
      <w:pPr>
        <w:spacing w:after="0" w:line="139"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U.S. Holders purchasing more than $100,000 of our Series B Preference Units in this offering generally will be required to file IRS Form 926 reporting such payment. For purposes of determining the total dollar value of Series B Preference Units purchased by a U.S. Holder in this offering, units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purchased by certain related parties (including family members) are included. Substantial penalties may be imposed upon a U.S. Holder that fails to comply with this reporting obligation. Each U.S. Holder is encouraged to consult its own tax advisor as to the possible obligation to file IRS Form 926.</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Holders are encouraged to consult their tax advisors regarding their reporting obligations, if any, that would result from their purchase, ownership or disposition of our units.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the context otherwise requires, references in this section to "we", "our" or "us" are references to GasLog Partners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 Consequences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discussion is based upon the opinion of Cozen O'Connor, our counsel as to matters of the laws of the Republic of the Marshall Islands, and the current laws of the Republic of the Marshall Islands applicable to persons who do not reside in, maintain offices in or engage in business in the Republic of the Marshall Islands.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Because we and our subsidiaries do not and do not expect to conduct business or operations in the Republic of the Marshall Islands, and because all documentation related to this offering will be executed outside of the Republic of the Marshall Islands, under current Marshall Islands law you will not be subject to Marshall Islands taxation or withholding on distributions, including upon distribution treated as a return of capital, we make to you as a holder (so long as you are not a citizen or resident of the Marshall Islands). In addition, you will not be subject to Marshall Islands stamp, capital gains or other taxes on the purchase, ownership or disposition of Series B Preference Units, and you will not be required by the Republic of the Marshall Islands to file a tax return relating to your ownership of Series B Preference Units (so long as you are not a citizen or resident of the Marshall Islands).</w:t>
      </w:r>
    </w:p>
    <w:p>
      <w:pPr>
        <w:spacing w:after="0" w:line="17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EACH PROSPECTIVE HOLDER IS ENCOURAGED TO CONSULT ITS OWN TAX COUNSEL OR OTHER ADVISOR WITH REGARD TO THE LEGAL AND TAX CONSEQUENCES OF UNIT OWNERSHIP UNDER ITS PARTICULAR CIRCUMSTANCES.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Morgan Stanley &amp; Co. LLC, UBS Securities LLC, Stifel, Nicolaus &amp; Company, Incorporated and Citigroup Global Markets Inc. are acting as joint-book running managers in this offering. Subject to the terms and conditions stated in the underwriting agreement dated the date of this prospectus supplement, each underwriter named below has severally agreed to purchase, and we have agreed to sell to that underwriter, the number of Series B Preference Units set forth opposite the underwriter's name.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20"/>
        <w:spacing w:after="0"/>
        <w:rPr>
          <w:sz w:val="20"/>
          <w:szCs w:val="20"/>
          <w:color w:val="auto"/>
        </w:rPr>
      </w:pPr>
      <w:r>
        <w:rPr>
          <w:rFonts w:ascii="Arial" w:cs="Arial" w:eastAsia="Arial" w:hAnsi="Arial"/>
          <w:sz w:val="12"/>
          <w:szCs w:val="12"/>
          <w:b w:val="1"/>
          <w:bCs w:val="1"/>
          <w:u w:val="single" w:color="auto"/>
          <w:color w:val="auto"/>
        </w:rPr>
        <w:t>Underwriter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940"/>
        <w:spacing w:after="0"/>
        <w:rPr>
          <w:sz w:val="20"/>
          <w:szCs w:val="20"/>
          <w:color w:val="auto"/>
        </w:rPr>
      </w:pPr>
      <w:r>
        <w:rPr>
          <w:rFonts w:ascii="Arial" w:cs="Arial" w:eastAsia="Arial" w:hAnsi="Arial"/>
          <w:sz w:val="12"/>
          <w:szCs w:val="12"/>
          <w:b w:val="1"/>
          <w:bCs w:val="1"/>
          <w:color w:val="auto"/>
        </w:rPr>
        <w:t>Number of</w:t>
      </w:r>
    </w:p>
    <w:p>
      <w:pPr>
        <w:spacing w:after="0" w:line="12" w:lineRule="exact"/>
        <w:rPr>
          <w:sz w:val="20"/>
          <w:szCs w:val="20"/>
          <w:color w:val="auto"/>
        </w:rPr>
      </w:pPr>
    </w:p>
    <w:p>
      <w:pPr>
        <w:jc w:val="center"/>
        <w:ind w:right="1940"/>
        <w:spacing w:after="0"/>
        <w:rPr>
          <w:sz w:val="20"/>
          <w:szCs w:val="20"/>
          <w:color w:val="auto"/>
        </w:rPr>
      </w:pPr>
      <w:r>
        <w:rPr>
          <w:rFonts w:ascii="Arial" w:cs="Arial" w:eastAsia="Arial" w:hAnsi="Arial"/>
          <w:sz w:val="14"/>
          <w:szCs w:val="14"/>
          <w:b w:val="1"/>
          <w:bCs w:val="1"/>
          <w:color w:val="auto"/>
        </w:rPr>
        <w:t>Series B</w:t>
      </w:r>
    </w:p>
    <w:p>
      <w:pPr>
        <w:jc w:val="center"/>
        <w:ind w:right="1940"/>
        <w:spacing w:after="0"/>
        <w:rPr>
          <w:sz w:val="20"/>
          <w:szCs w:val="20"/>
          <w:color w:val="auto"/>
        </w:rPr>
      </w:pPr>
      <w:r>
        <w:rPr>
          <w:rFonts w:ascii="Arial" w:cs="Arial" w:eastAsia="Arial" w:hAnsi="Arial"/>
          <w:sz w:val="11"/>
          <w:szCs w:val="11"/>
          <w:b w:val="1"/>
          <w:bCs w:val="1"/>
          <w:color w:val="auto"/>
        </w:rPr>
        <w:t>Preference</w:t>
      </w:r>
    </w:p>
    <w:p>
      <w:pPr>
        <w:spacing w:after="0" w:line="21" w:lineRule="exact"/>
        <w:rPr>
          <w:sz w:val="20"/>
          <w:szCs w:val="20"/>
          <w:color w:val="auto"/>
        </w:rPr>
      </w:pPr>
    </w:p>
    <w:p>
      <w:pPr>
        <w:jc w:val="center"/>
        <w:ind w:right="1940"/>
        <w:spacing w:after="0"/>
        <w:rPr>
          <w:sz w:val="20"/>
          <w:szCs w:val="20"/>
          <w:color w:val="auto"/>
        </w:rPr>
      </w:pPr>
      <w:r>
        <w:rPr>
          <w:rFonts w:ascii="Arial" w:cs="Arial" w:eastAsia="Arial" w:hAnsi="Arial"/>
          <w:sz w:val="14"/>
          <w:szCs w:val="1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-7620</wp:posOffset>
            </wp:positionV>
            <wp:extent cx="4972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120" w:space="720"/>
            <w:col w:w="2560"/>
          </w:cols>
          <w:pgMar w:left="240" w:top="131" w:right="259"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10795</wp:posOffset>
            </wp:positionV>
            <wp:extent cx="4972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1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Series B Preference Units sold under the underwriting agreement if any of the Series B Preference Units are purchased.</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underwriters have an option to buy up to additional Series B Preference Units from us at the public offering price less the underwriting discount. The underwriters have 30 days from the date of this prospectus supplement to exercise this option. If any units are purchased with this option, the underwriters will purchase units in approximately the same proportion as shown in the table above. If any additional Series B Preference Units are purchased, the underwriters will offer the additional units on the same terms on which the units are being offered.</w:t>
      </w:r>
    </w:p>
    <w:p>
      <w:pPr>
        <w:spacing w:after="0" w:line="197"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underwriters are offering the Series B Preference Units, subject to prior sale, when, as and if issued to and accepted by them, subject to approval of legal matters by their counsel, including the validity of the Series B Preference Units, and satisfaction of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propose initially to offer the Series B Preference Units to the public at the public offering price set forth on the cover page of this</w:t>
      </w:r>
    </w:p>
    <w:p>
      <w:pPr>
        <w:spacing w:after="0" w:line="38"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prospectus supplement and to dealers at that price less a concession not in excess of $</w:t>
      </w:r>
      <w:r>
        <w:rPr>
          <w:sz w:val="20"/>
          <w:szCs w:val="20"/>
          <w:color w:val="auto"/>
        </w:rPr>
        <w:tab/>
      </w:r>
      <w:r>
        <w:rPr>
          <w:rFonts w:ascii="Arial" w:cs="Arial" w:eastAsia="Arial" w:hAnsi="Arial"/>
          <w:sz w:val="15"/>
          <w:szCs w:val="15"/>
          <w:color w:val="auto"/>
        </w:rPr>
        <w:t>per unit. The underwriters may allow, and the dealers may reallow, a</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discount not in excess of $ per unit to other dealers. After the initial offering, the public offering price, concession or any other term of this offering may be changed.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public offering price, underwriting discount and proceeds, before expenses, to us.</w:t>
      </w:r>
    </w:p>
    <w:p>
      <w:pPr>
        <w:spacing w:after="0" w:line="183"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6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Per Unit</w:t>
            </w:r>
          </w:p>
        </w:tc>
        <w:tc>
          <w:tcPr>
            <w:tcW w:w="160" w:type="dxa"/>
            <w:vAlign w:val="bottom"/>
          </w:tcPr>
          <w:p>
            <w:pPr>
              <w:spacing w:after="0"/>
              <w:rPr>
                <w:sz w:val="21"/>
                <w:szCs w:val="21"/>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7"/>
              </w:rPr>
              <w:t>Total</w:t>
            </w:r>
            <w:r>
              <w:rPr>
                <w:rFonts w:ascii="Arial" w:cs="Arial" w:eastAsia="Arial" w:hAnsi="Arial"/>
                <w:sz w:val="22"/>
                <w:szCs w:val="22"/>
                <w:b w:val="1"/>
                <w:bCs w:val="1"/>
                <w:color w:val="auto"/>
                <w:w w:val="97"/>
                <w:vertAlign w:val="superscript"/>
              </w:rPr>
              <w:t>(1)</w:t>
            </w:r>
          </w:p>
        </w:tc>
        <w:tc>
          <w:tcPr>
            <w:tcW w:w="1780" w:type="dxa"/>
            <w:vAlign w:val="bottom"/>
            <w:gridSpan w:val="2"/>
          </w:tcPr>
          <w:p>
            <w:pPr>
              <w:spacing w:after="0"/>
              <w:rPr>
                <w:sz w:val="21"/>
                <w:szCs w:val="21"/>
                <w:color w:val="auto"/>
              </w:rPr>
            </w:pPr>
          </w:p>
        </w:tc>
      </w:tr>
      <w:tr>
        <w:trPr>
          <w:trHeight w:val="210"/>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r>
      <w:tr>
        <w:trPr>
          <w:trHeight w:val="257"/>
        </w:trPr>
        <w:tc>
          <w:tcPr>
            <w:tcW w:w="3880" w:type="dxa"/>
            <w:vAlign w:val="bottom"/>
            <w:gridSpan w:val="3"/>
          </w:tcPr>
          <w:p>
            <w:pPr>
              <w:spacing w:after="0" w:line="256"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(2)</w:t>
            </w:r>
          </w:p>
        </w:tc>
        <w:tc>
          <w:tcPr>
            <w:tcW w:w="2520" w:type="dxa"/>
            <w:vAlign w:val="bottom"/>
          </w:tcPr>
          <w:p>
            <w:pPr>
              <w:spacing w:after="0"/>
              <w:rPr>
                <w:sz w:val="22"/>
                <w:szCs w:val="22"/>
                <w:color w:val="auto"/>
              </w:rPr>
            </w:pPr>
          </w:p>
        </w:tc>
        <w:tc>
          <w:tcPr>
            <w:tcW w:w="640" w:type="dxa"/>
            <w:vAlign w:val="bottom"/>
          </w:tcPr>
          <w:p>
            <w:pPr>
              <w:jc w:val="right"/>
              <w:ind w:right="48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4280" w:type="dxa"/>
            <w:vAlign w:val="bottom"/>
            <w:gridSpan w:val="2"/>
          </w:tcPr>
          <w:p>
            <w:pPr>
              <w:spacing w:after="0"/>
              <w:rPr>
                <w:sz w:val="9"/>
                <w:szCs w:val="9"/>
                <w:color w:val="auto"/>
              </w:rPr>
            </w:pPr>
          </w:p>
        </w:tc>
        <w:tc>
          <w:tcPr>
            <w:tcW w:w="3200" w:type="dxa"/>
            <w:vAlign w:val="bottom"/>
            <w:gridSpan w:val="5"/>
          </w:tcPr>
          <w:p>
            <w:pPr>
              <w:spacing w:after="0"/>
              <w:rPr>
                <w:sz w:val="9"/>
                <w:szCs w:val="9"/>
                <w:color w:val="auto"/>
              </w:rPr>
            </w:pPr>
          </w:p>
        </w:tc>
      </w:tr>
      <w:tr>
        <w:trPr>
          <w:trHeight w:val="334"/>
        </w:trPr>
        <w:tc>
          <w:tcPr>
            <w:tcW w:w="340" w:type="dxa"/>
            <w:vAlign w:val="bottom"/>
          </w:tcPr>
          <w:p>
            <w:pPr>
              <w:spacing w:after="0"/>
              <w:rPr>
                <w:sz w:val="20"/>
                <w:szCs w:val="20"/>
                <w:color w:val="auto"/>
              </w:rPr>
            </w:pPr>
            <w:r>
              <w:rPr>
                <w:rFonts w:ascii="Arial" w:cs="Arial" w:eastAsia="Arial" w:hAnsi="Arial"/>
                <w:sz w:val="11"/>
                <w:szCs w:val="11"/>
                <w:color w:val="auto"/>
              </w:rPr>
              <w:t>(1)</w:t>
            </w:r>
          </w:p>
        </w:tc>
        <w:tc>
          <w:tcPr>
            <w:tcW w:w="6060" w:type="dxa"/>
            <w:vAlign w:val="bottom"/>
            <w:gridSpan w:val="3"/>
          </w:tcPr>
          <w:p>
            <w:pPr>
              <w:ind w:left="200"/>
              <w:spacing w:after="0"/>
              <w:rPr>
                <w:sz w:val="20"/>
                <w:szCs w:val="20"/>
                <w:color w:val="auto"/>
              </w:rPr>
            </w:pPr>
            <w:r>
              <w:rPr>
                <w:rFonts w:ascii="Arial" w:cs="Arial" w:eastAsia="Arial" w:hAnsi="Arial"/>
                <w:sz w:val="14"/>
                <w:szCs w:val="14"/>
                <w:color w:val="auto"/>
                <w:w w:val="95"/>
              </w:rPr>
              <w:t>We have granted the underwriters an option for a period of 30 days to purchase up to an additional</w:t>
            </w:r>
          </w:p>
        </w:tc>
        <w:tc>
          <w:tcPr>
            <w:tcW w:w="3200" w:type="dxa"/>
            <w:vAlign w:val="bottom"/>
            <w:gridSpan w:val="5"/>
          </w:tcPr>
          <w:p>
            <w:pPr>
              <w:ind w:left="260"/>
              <w:spacing w:after="0"/>
              <w:rPr>
                <w:sz w:val="20"/>
                <w:szCs w:val="20"/>
                <w:color w:val="auto"/>
              </w:rPr>
            </w:pPr>
            <w:r>
              <w:rPr>
                <w:rFonts w:ascii="Arial" w:cs="Arial" w:eastAsia="Arial" w:hAnsi="Arial"/>
                <w:sz w:val="14"/>
                <w:szCs w:val="14"/>
                <w:color w:val="auto"/>
                <w:w w:val="86"/>
              </w:rPr>
              <w:t>Series B Preference Units. If the underwriters exercise</w:t>
            </w:r>
          </w:p>
        </w:tc>
      </w:tr>
      <w:tr>
        <w:trPr>
          <w:trHeight w:val="172"/>
        </w:trPr>
        <w:tc>
          <w:tcPr>
            <w:tcW w:w="340" w:type="dxa"/>
            <w:vAlign w:val="bottom"/>
          </w:tcPr>
          <w:p>
            <w:pPr>
              <w:spacing w:after="0"/>
              <w:rPr>
                <w:sz w:val="14"/>
                <w:szCs w:val="14"/>
                <w:color w:val="auto"/>
              </w:rPr>
            </w:pPr>
          </w:p>
        </w:tc>
        <w:tc>
          <w:tcPr>
            <w:tcW w:w="3540" w:type="dxa"/>
            <w:vAlign w:val="bottom"/>
            <w:gridSpan w:val="2"/>
          </w:tcPr>
          <w:p>
            <w:pPr>
              <w:ind w:left="200"/>
              <w:spacing w:after="0"/>
              <w:rPr>
                <w:sz w:val="20"/>
                <w:szCs w:val="20"/>
                <w:color w:val="auto"/>
              </w:rPr>
            </w:pPr>
            <w:r>
              <w:rPr>
                <w:rFonts w:ascii="Arial" w:cs="Arial" w:eastAsia="Arial" w:hAnsi="Arial"/>
                <w:sz w:val="14"/>
                <w:szCs w:val="14"/>
                <w:color w:val="auto"/>
                <w:w w:val="95"/>
              </w:rPr>
              <w:t>the option in full, the total underwriting discount will be $</w:t>
            </w:r>
          </w:p>
        </w:tc>
        <w:tc>
          <w:tcPr>
            <w:tcW w:w="3160" w:type="dxa"/>
            <w:vAlign w:val="bottom"/>
            <w:gridSpan w:val="2"/>
          </w:tcPr>
          <w:p>
            <w:pPr>
              <w:jc w:val="right"/>
              <w:ind w:right="127"/>
              <w:spacing w:after="0"/>
              <w:rPr>
                <w:sz w:val="20"/>
                <w:szCs w:val="20"/>
                <w:color w:val="auto"/>
              </w:rPr>
            </w:pPr>
            <w:r>
              <w:rPr>
                <w:rFonts w:ascii="Arial" w:cs="Arial" w:eastAsia="Arial" w:hAnsi="Arial"/>
                <w:sz w:val="14"/>
                <w:szCs w:val="14"/>
                <w:color w:val="auto"/>
                <w:w w:val="92"/>
              </w:rPr>
              <w:t>, and total proceeds to us before expenses will be $</w:t>
            </w:r>
          </w:p>
        </w:tc>
        <w:tc>
          <w:tcPr>
            <w:tcW w:w="780" w:type="dxa"/>
            <w:vAlign w:val="bottom"/>
            <w:gridSpan w:val="2"/>
          </w:tcPr>
          <w:p>
            <w:pPr>
              <w:jc w:val="right"/>
              <w:ind w:right="4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111" w:lineRule="exact"/>
        <w:rPr>
          <w:sz w:val="20"/>
          <w:szCs w:val="20"/>
          <w:color w:val="auto"/>
        </w:rPr>
      </w:pPr>
    </w:p>
    <w:p>
      <w:pPr>
        <w:ind w:left="2260" w:right="240" w:hanging="540"/>
        <w:spacing w:after="0" w:line="239" w:lineRule="auto"/>
        <w:tabs>
          <w:tab w:leader="none" w:pos="2260" w:val="left"/>
        </w:tabs>
        <w:numPr>
          <w:ilvl w:val="0"/>
          <w:numId w:val="58"/>
        </w:numPr>
        <w:rPr>
          <w:rFonts w:ascii="Arial" w:cs="Arial" w:eastAsia="Arial" w:hAnsi="Arial"/>
          <w:sz w:val="11"/>
          <w:szCs w:val="11"/>
          <w:color w:val="auto"/>
        </w:rPr>
      </w:pPr>
      <w:r>
        <w:rPr>
          <w:rFonts w:ascii="Arial" w:cs="Arial" w:eastAsia="Arial" w:hAnsi="Arial"/>
          <w:sz w:val="14"/>
          <w:szCs w:val="14"/>
          <w:color w:val="auto"/>
        </w:rPr>
        <w:t>The underwriters will not receive an underwriting discount or commission on the sale of our Series B Preference Units to Blenheim Holdings Ltd. or to certain other directors and officers. The Company will receive the full public offering price for these units.</w:t>
      </w:r>
    </w:p>
    <w:p>
      <w:pPr>
        <w:spacing w:after="0" w:line="195"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underwriting discount to be paid by us represents % of this offering. The expenses of this offering, not including the underwriting discount, are estimated at $ and are payable by us. We will also pay up to $25,000 of reasonable fees and expenses of counsel related to the review by FINRA of the terms of sale of the Series B Preference Units offered hereby.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have agreed that, for a period of 30 days after the date of this prospectus and subject to certain exceptions, we will not, without the prior written consent of the underwriters, (i) directly or indirectly offer, pledge, sell, contract to sell, sell any option or contract to purchase, purchase any option or contract to sell, grant any option, right or warrant for the sale of, or lend or otherwise transfer or dispose of any Series B Preference Units or any securities that are substantially similar to the Series B Preference Units, whether owned as of the date hereof or hereafter acquired or with respect to which we have acquired or hereafter acquire the power of disposition, or file, or cause to be filed, any registration statement under the Securities Act with respect to any of the foregoing (collectively, the "Lock-Up Securities") or (ii) enter into any swap or any other agreement or any transaction that transfers, in whole or in part, directly or indirectly, the economic consequence of ownership of the Lock-Up Securities, whether any such swap, agreement or transaction is to be settled by delivery of Lock-Up Securities, in cash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Listing</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Series B Preference Units are a new issue of securities with no established trading market. We intend to apply to list the Series B Preference Units on the NYSE under the symbol "GLOP PR B". If the application is approved, trading of the Series B Preference Units on the NYSE is expected to begin within 30 days after the date of initial delivery of the Series B Preference Units. The underwriters have advised us that they intend to make a market in the Series B Preference Units before commencement of trading on the NYSE. They will have no obligation to make a market in the Series B Preference Units, however, and may cease market-making activities, if commenced, at any time. Accordingly, an active trading market on the NYSE for the Series B Preference Units may not develop or, even if one develops, may not last, in which case the liquidity and market price of the Series B Preference Units could be adversely affected, the difference between bid and asked prices could be substantial and your ability to transfer Series B Preference Units at the time and price desired will be limited.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Until the distribution of the Series B Preference Units is completed, SEC rules may limit underwriters and selling group members from bidding for and purchasing Series B Preference Units.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However, the underwriters may engage in transactions that have the effect of stabilizing the price of the Series B Preference Units, such as bids or purchases and other activities that peg, fix or maintain that price.</w:t>
      </w:r>
    </w:p>
    <w:p>
      <w:pPr>
        <w:spacing w:after="0" w:line="186"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In connection with this offering, the underwriters may bid for or purchase and sell Series B Preference Units in the open market. These transactions may include stabilizing transactions, short sales and purchases on the open market to cover positions created by short sales. Stabilizing transactions consist of various activities such as purchases of Series B Preference Units made by the underwriters in the open market prior to the completion of the offering. Short sales involve the sale by the underwriters of a greater number of Series B Preference Units than they are required to purchase in this offering. Short sales may be "covered" shorts, which are short positions in an amount not greater than the underwriters' option to purchase additional units referred to above, or may be "naked" shorts, which are short positions in excess of that amount. The underwriters may close out any covered short position either by exercising their option to purchase additional Series B Preference Units, in whole or in part, or by purchasing our Series B Preference Units in the open market. In making this determination, the underwriters will consider, among other things, the price of our Series B Preference Units available for purchase in the open market compared to the price at which the underwriters may purchase our Series B Preference Units through the option. A naked short position is more likely to be created if the underwriters are concerned that there may be downward pressure on the price of the Series B Preference Units in the open market that could adversely affect investors who purchase in this offering. To the extent that the underwriters create a naked short position, they will purchase our Series B Preference Units in the open market to cover the position.</w:t>
      </w:r>
    </w:p>
    <w:p>
      <w:pPr>
        <w:spacing w:after="0" w:line="17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and other activities may have the effect of raising or maintaining the market price of the Series B Preference Units or preventing or retarding a decline in the market price of Series B Preference Units. As a result, the price of the Series B Preference Units may be higher than the price that might otherwise exist in the open market. The underwriters may conduct these transactions on the NYSE, in the over-the-counter market or otherwise.</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Series B Preference Units. In addition, neither we nor any of the underwriters make any representation that the underwriters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Extended Settlement</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expect that delivery of the Series B Preference Units will be made to investors January , 2018, which will be the fifth business day following the date of pricing of the Series B Preference Units (such settlement being referred to as "T+5"). Under Rule 15c6-1 under the Exchange Act, trades in the secondary market are required to settle in two business days, unless the parties to any such trade expressly agree otherwise. Accordingly, purchasers who wish to trade their Series B Preference Units on the initial pricing date of the Series B Preference Units or the succeeding two business days will be required, by virtue of the fact that the Series B Preference Units initially will settle in T+5, to specify an alternate settlement arrangement at the time of any such trade to prevent a failed settlement and should consult their advisors.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520" w:firstLine="348"/>
        <w:spacing w:after="0" w:line="332" w:lineRule="auto"/>
        <w:rPr>
          <w:sz w:val="20"/>
          <w:szCs w:val="20"/>
          <w:color w:val="auto"/>
        </w:rPr>
      </w:pPr>
      <w:r>
        <w:rPr>
          <w:rFonts w:ascii="Arial" w:cs="Arial" w:eastAsia="Arial" w:hAnsi="Arial"/>
          <w:sz w:val="16"/>
          <w:szCs w:val="16"/>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their respective affiliates have in the past performed commercial banking, investment banking and advisory services for us and to persons and entities with relationships with us from time to time for which they have received customary fees and reimbursement of expenses and may, from time to time, engage in transactions with and perform services for us and to persons and entities with relationships to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of our Series B Preference Units may not be made in that Relevant Member State, except that an offer to the public in that Relevant Member State of any of our Series B Preference Units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for any such offer; or</w:t>
      </w:r>
    </w:p>
    <w:p>
      <w:pPr>
        <w:spacing w:after="0" w:line="207"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our Series B Preference Units shall result in a requirement for the publication by us or any underwriter of a prospectus pursuant to Article 3 of the Prospectus Directive.</w:t>
      </w:r>
    </w:p>
    <w:p>
      <w:pPr>
        <w:spacing w:after="0" w:line="13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of our Series B Preference Units in any Relevant Member State means the communication in any form and by any means of sufficient information on the terms of the offer and any of our Series B Preference Units to be offered so as to enable an investor to decide to purchase any of our Series B Preference Units,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This prospectus supplement is only being distributed to, and is only directed at, persons in the United Kingdom that are qualified investors within the meaning of Article 2(l)(e) of the Prospectus Directive that are also (i) investment professionals falling within Article 19(5) of the Financial Services and Markets Act 2000 (Financial Promotion) Order 2005, or the Order, or (ii) high net worth entitles,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reply on this document or any of its contents.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France</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 xml:space="preserve">Neither this prospectus supplement nor any other offering material relating to our Series B Preference Units described in this prospectus supplement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Our Series B Preference Units have not been offered or sold and will not be offered or sold, directly or indirectly, to the public in France. Neither this prospectus supplement nor any other offering material relating to our Series B Preference Units have been or will be:</w:t>
      </w:r>
    </w:p>
    <w:p>
      <w:pPr>
        <w:spacing w:after="0" w:line="210"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52" w:lineRule="exact"/>
        <w:rPr>
          <w:rFonts w:ascii="Arial" w:cs="Arial" w:eastAsia="Arial" w:hAnsi="Arial"/>
          <w:sz w:val="18"/>
          <w:szCs w:val="18"/>
          <w:color w:val="auto"/>
        </w:rPr>
      </w:pPr>
    </w:p>
    <w:p>
      <w:pPr>
        <w:ind w:left="360" w:right="1880" w:firstLine="188"/>
        <w:spacing w:after="0" w:line="501" w:lineRule="auto"/>
        <w:tabs>
          <w:tab w:leader="none" w:pos="10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used in connection with any other offer for subscription or sale of our Series B Preference Units to the public in France. Such offers, sales and distributions will be made in France only:</w:t>
      </w:r>
    </w:p>
    <w:p>
      <w:pPr>
        <w:spacing w:after="0" w:line="13"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52" w:lineRule="exact"/>
        <w:rPr>
          <w:rFonts w:ascii="Arial" w:cs="Arial" w:eastAsia="Arial" w:hAnsi="Arial"/>
          <w:sz w:val="18"/>
          <w:szCs w:val="18"/>
          <w:color w:val="auto"/>
        </w:rPr>
      </w:pPr>
    </w:p>
    <w:p>
      <w:pPr>
        <w:ind w:left="1080" w:right="44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 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Réglement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publicá l'épargne</w:t>
      </w:r>
      <w:r>
        <w:rPr>
          <w:rFonts w:ascii="Arial" w:cs="Arial" w:eastAsia="Arial" w:hAnsi="Arial"/>
          <w:sz w:val="16"/>
          <w:szCs w:val="16"/>
          <w:color w:val="auto"/>
        </w:rPr>
        <w:t>).</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Our Series B Preference Units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Our Series B Preference Units may not be publicly offered in Switzerland and will not be listed on the SIX Swiss Exchange, or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our Series B Preference Units or the offering may be publicly distributed or otherwise made publicly available in Switzerland.</w:t>
      </w:r>
    </w:p>
    <w:p>
      <w:pPr>
        <w:spacing w:after="0" w:line="15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our Series B Preference Units have been or will be filed with or approved by any Swiss regulatory authority. In particular, this document will not be filed with, and the offer of our Series B Preference Units will not be supervised by, the Swiss Financial Market Supervisory Authority (FINMA), and the offer of our Series B Preference Units has not been and will not be authorized under the Swiss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Federal Act on Collective Investment Schemes, or "SCISA". The investor protection afforded to acquirers of interests in collective investment schemes under the SCISA does not extend to acquirers of our Series B Preference Units.</w:t>
      </w:r>
    </w:p>
    <w:p>
      <w:pPr>
        <w:spacing w:after="0" w:line="186" w:lineRule="exact"/>
        <w:rPr>
          <w:sz w:val="20"/>
          <w:szCs w:val="20"/>
          <w:color w:val="auto"/>
        </w:rPr>
      </w:pPr>
    </w:p>
    <w:p>
      <w:pPr>
        <w:jc w:val="both"/>
        <w:ind w:right="260" w:firstLine="348"/>
        <w:spacing w:after="0" w:line="298" w:lineRule="auto"/>
        <w:rPr>
          <w:sz w:val="20"/>
          <w:szCs w:val="20"/>
          <w:color w:val="auto"/>
        </w:rPr>
      </w:pPr>
      <w:r>
        <w:rPr>
          <w:rFonts w:ascii="Arial" w:cs="Arial" w:eastAsia="Arial" w:hAnsi="Arial"/>
          <w:sz w:val="16"/>
          <w:szCs w:val="16"/>
          <w:color w:val="auto"/>
        </w:rPr>
        <w:t>This prospectus supplement as well as any other material relating to our Series B Preference Units is personal and confidential and does not constitute an offer to any other person. This prospectus supplement may only be used by those investors to whom it has been sent in connection with the offering described herein and may neither directly nor indirectly be distributed or made available to other persons without express consent of the Company. It may not be used in connection with any other offer and shall in particular not be copied and/or distributed to the public in (or from) Switzerland.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Our Series B Preference Units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(Cap.571, Laws of Hong Kong) and any rules made thereunder.</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our Series B Preference Units may not be circulated or distributed, nor may our Series B Preference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Where our Series B Preference Units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Our Series B Preference Units have not been and will not be registered under the Financial Instruments and Exchange Law of Japan (the Financial Instruments and Exchange Law) and no securities will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Bermuda</w:t>
      </w:r>
    </w:p>
    <w:p>
      <w:pPr>
        <w:spacing w:after="0" w:line="225"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Our Series B Preference Units may be offered or sold in Bermuda only in compliance with the provisions of the Investment Business Act 2003 of Bermuda (as amended). Additionally, non-Bermudian persons may not carry on or engage in any trade or business in Bermuda unless such persons are authorized to do so under applicable Bermuda legislation. Engaging in the activity of offering or marketing our Series B Preference Units in Bermuda to persons in Bermuda may be deemed to be carrying on business in Bermuda.</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This document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6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Series B Preference Units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our Series B Preference Units has been, or will be, prepared.</w:t>
      </w:r>
    </w:p>
    <w:p>
      <w:pPr>
        <w:spacing w:after="0" w:line="161"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This document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supplement is not a wholesale client, no offer of, or invitation to apply for, our Series B Preference Units shall be deemed to be made to such recipient and no applications for our Series B Preference Units will be accepted from such recipient. Any offer to a recipient in Australia, and any agreement arising from acceptance of such offer, is personal and may only be accepted by the recipient. In addition, by applying for our Series B Preference Units you undertake to us that, for a period of 12 months from the date of issue of our Series B Preference Units, you will not transfer any interest in our Series B Preference Units to any person in Australia other than to a wholesale client.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Greece</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Our Series B Preference Units have not been approved by the Hellenic Capital Markets Commission for distribution and marketing in Greece. This document and the information contained therein do not and shall not be deemed to constitute an invitation to the public in Greece to purchase the securities. Our Series B Preference Units may not be advertised, distributed, offered or in any way sold in Greece except as permitted by Greek law.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validity of the Series B Preference Units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 Certain matters with respect to this offering will be passed upon for the underwriter by Latham &amp; Watkins LLP.</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consolidated financial statements of GasLog Partners LP as of December 31, 2015 and 2016 and for each of the three years in the period ended December 31, 2016 incorporated in this prospectus supplement by reference from our Report on Form 6-K filed with the SEC on September 29, 2017, have been audited by Deloitte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2 New Street Square, London, EC4A 3BZ, United Kingdom.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 RELATED TO THIS OFFERING</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sets forth the main costs and expenses, other than the underwriting discounts and commissions, in connection with this offering, which we will be required to pay.</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14,488</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The New York Stock Exchange listing fee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425,000</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Transfer agent fees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r>
      <w:tr>
        <w:trPr>
          <w:trHeight w:val="210"/>
        </w:trPr>
        <w:tc>
          <w:tcPr>
            <w:tcW w:w="70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544,488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92" w:lineRule="exact"/>
        <w:rPr>
          <w:sz w:val="20"/>
          <w:szCs w:val="20"/>
          <w:color w:val="auto"/>
        </w:rPr>
      </w:pPr>
    </w:p>
    <w:p>
      <w:pPr>
        <w:ind w:left="2260" w:hanging="540"/>
        <w:spacing w:after="0"/>
        <w:tabs>
          <w:tab w:leader="none" w:pos="22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http://www.sec.gov that contains reports, proxy and information statements and other information regarding registrants that file electronically with the SEC. For further information pertaining to the securities offered by this prospectus supplement and GasLog Partners, reference is made to the registration statement.</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supplement, and information that we file later with the SEC will also be considered to be part of this prospectus supplement and will automatically update and supersede previously filed information, including information contained in this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supplement incorporates by reference certain documents, to the extent noted therein, including the following:</w:t>
      </w:r>
    </w:p>
    <w:p>
      <w:pPr>
        <w:spacing w:after="0" w:line="239" w:lineRule="exact"/>
        <w:rPr>
          <w:sz w:val="20"/>
          <w:szCs w:val="20"/>
          <w:color w:val="auto"/>
        </w:rPr>
      </w:pPr>
    </w:p>
    <w:p>
      <w:pPr>
        <w:ind w:left="1080" w:right="40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Annual Report on Form 20-F for the year ended December 31, 2016, filed with the SEC on February 13, 2017; (Items 3, 5, and 18 of this Form 20-F have been updated by the Report on Form 6-K filed with the SEC on September 29, 2017); and</w:t>
      </w:r>
    </w:p>
    <w:p>
      <w:pPr>
        <w:spacing w:after="0" w:line="212"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Reports on Form 6-K filed with the SEC on March 23, 2017, May 3, 2017, May 10, 2017, May 15, 2017, May 16, 2017, June 1, 2017, July 5, 2017, July 27, 2017, August 21, 2017, September 15, 2017, September 29, 2017, October 20, 2017, October 26, 2017 and November 3, 2017.</w:t>
      </w:r>
    </w:p>
    <w:p>
      <w:pPr>
        <w:spacing w:after="0" w:line="13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our Series B Preference Units made by this prospectus supplement has been terminated. In all cases, you should rely on the later information over different information included in this prospectus supplement.</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will provide, free of charge upon written or oral request, to each person to whom this prospectus supplement is delivered, including any beneficial owner of our preference units, a copy of any or all of the information that has been incorporated by reference into this prospectus supplement, but which has not been delivered with the prospectus supplement. Copies of these documents also may be obtained on the "Investor Relations" section of our website at http://www.gaslogmlp.com. Requests for such information should be made to us at the following address: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Nicola Lloyd, General Counsel</w:t>
      </w:r>
    </w:p>
    <w:p>
      <w:pPr>
        <w:spacing w:after="0" w:line="219" w:lineRule="exact"/>
        <w:rPr>
          <w:sz w:val="20"/>
          <w:szCs w:val="20"/>
          <w:color w:val="auto"/>
        </w:rPr>
      </w:pPr>
    </w:p>
    <w:p>
      <w:pPr>
        <w:ind w:right="180"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$750,000,000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Units Representing Limited Partner Interests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8.625% Series A Cumulative Redeemable Perpetual Fixed to Floating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Rate Preference Units Representing Limited Partner Interests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Other Classes of Units Representing Limited Partner Interests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Rights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Combination Units</w:t>
      </w:r>
    </w:p>
    <w:p>
      <w:pPr>
        <w:spacing w:after="0" w:line="21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Through this prospectus, we may offer common units representing limited partner interests (the "Common Units"), 8.625% Series A Cumulative Redeemable Perpetual Fixed to Floating Rate Preference Units representing limited partner interests (the "Series A Preference Units") and other classes of units representing limited partner interests (the "Other Units"), debt securities, warrants to purchase Common Units, Series A Preference Units, Other Units or other rights (the "Warrants"), rights to purchase Common Units, Series A Preference Units and Other Units (the "Rights"), and units consisting of any combination of the Common Units, Series A Preference Units, Other Units, debt securities, Warrants and Rights (the "Combination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172"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194"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traded on the New York Stock Exchange under the symbol "GLOP".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A Preference Units are traded on the New York Stock Exchange under the symbol "GLOP PR A".</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principal executive offices are located at Gildo Pastor Center, 7 Rue du Gabian, MC 98000, Monaco. Our telephone number at such address is +377 97 97 51 15.</w:t>
      </w:r>
    </w:p>
    <w:p>
      <w:pPr>
        <w:spacing w:after="0" w:line="167" w:lineRule="exact"/>
        <w:rPr>
          <w:sz w:val="20"/>
          <w:szCs w:val="20"/>
          <w:color w:val="auto"/>
        </w:rPr>
      </w:pPr>
    </w:p>
    <w:p>
      <w:pPr>
        <w:ind w:right="500" w:firstLine="351"/>
        <w:spacing w:after="0" w:line="256" w:lineRule="auto"/>
        <w:rPr>
          <w:sz w:val="20"/>
          <w:szCs w:val="20"/>
          <w:color w:val="auto"/>
        </w:rPr>
      </w:pPr>
      <w:r>
        <w:rPr>
          <w:rFonts w:ascii="Arial" w:cs="Arial" w:eastAsia="Arial" w:hAnsi="Arial"/>
          <w:sz w:val="22"/>
          <w:szCs w:val="22"/>
          <w:b w:val="1"/>
          <w:bCs w:val="1"/>
          <w:color w:val="auto"/>
        </w:rPr>
        <w:t>Investing in our securities involves risks. Before buying any securities you should carefully read the section entitled "Risk Factors" on page 5 of this prospectus.</w:t>
      </w:r>
    </w:p>
    <w:p>
      <w:pPr>
        <w:spacing w:after="0" w:line="176" w:lineRule="exact"/>
        <w:rPr>
          <w:sz w:val="20"/>
          <w:szCs w:val="20"/>
          <w:color w:val="auto"/>
        </w:rPr>
      </w:pPr>
    </w:p>
    <w:p>
      <w:pPr>
        <w:ind w:right="24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796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11"/>
          </w:tcPr>
          <w:p>
            <w:pPr>
              <w:jc w:val="center"/>
              <w:ind w:right="900"/>
              <w:spacing w:after="0"/>
              <w:rPr>
                <w:sz w:val="20"/>
                <w:szCs w:val="20"/>
                <w:color w:val="auto"/>
              </w:rPr>
            </w:pPr>
            <w:r>
              <w:rPr>
                <w:rFonts w:ascii="Arial" w:cs="Arial" w:eastAsia="Arial" w:hAnsi="Arial"/>
                <w:sz w:val="18"/>
                <w:szCs w:val="18"/>
                <w:b w:val="1"/>
                <w:bCs w:val="1"/>
                <w:color w:val="auto"/>
                <w:w w:val="96"/>
              </w:rPr>
              <w:t>TABLE OF CONTENTS</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FORWARD-LOOKING STATEMENTS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92">
              <w:r>
                <w:rPr>
                  <w:rFonts w:ascii="Arial" w:cs="Arial" w:eastAsia="Arial" w:hAnsi="Arial"/>
                  <w:sz w:val="18"/>
                  <w:szCs w:val="18"/>
                  <w:color w:val="0000EE"/>
                </w:rPr>
                <w:t>1</w:t>
              </w:r>
            </w:hyperlink>
          </w:p>
        </w:tc>
      </w:tr>
      <w:tr>
        <w:trPr>
          <w:trHeight w:val="412"/>
        </w:trPr>
        <w:tc>
          <w:tcPr>
            <w:tcW w:w="114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94">
              <w:r>
                <w:rPr>
                  <w:rFonts w:ascii="Arial" w:cs="Arial" w:eastAsia="Arial" w:hAnsi="Arial"/>
                  <w:sz w:val="18"/>
                  <w:szCs w:val="18"/>
                  <w:color w:val="0000EE"/>
                  <w:w w:val="93"/>
                </w:rPr>
                <w:t>THE COMPANY</w:t>
              </w:r>
            </w:hyperlink>
          </w:p>
        </w:tc>
        <w:tc>
          <w:tcPr>
            <w:tcW w:w="1600" w:type="dxa"/>
            <w:vAlign w:val="bottom"/>
            <w:tcBorders>
              <w:top w:val="single" w:sz="8" w:color="0000EE"/>
            </w:tcBorders>
            <w:gridSpan w:val="8"/>
          </w:tcPr>
          <w:p>
            <w:pPr>
              <w:spacing w:after="0"/>
              <w:rPr>
                <w:sz w:val="24"/>
                <w:szCs w:val="24"/>
                <w:color w:val="auto"/>
              </w:rPr>
            </w:pPr>
          </w:p>
        </w:tc>
        <w:tc>
          <w:tcPr>
            <w:tcW w:w="3960" w:type="dxa"/>
            <w:vAlign w:val="bottom"/>
            <w:gridSpan w:val="13"/>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RISK FACTORS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96">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SERVICE OF PROCESS AND ENFORCEMENT OF LIABILITIES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97">
              <w:r>
                <w:rPr>
                  <w:rFonts w:ascii="Arial" w:cs="Arial" w:eastAsia="Arial" w:hAnsi="Arial"/>
                  <w:sz w:val="18"/>
                  <w:szCs w:val="18"/>
                  <w:color w:val="0000EE"/>
                </w:rPr>
                <w:t>6</w:t>
              </w:r>
            </w:hyperlink>
          </w:p>
        </w:tc>
      </w:tr>
      <w:tr>
        <w:trPr>
          <w:trHeight w:val="412"/>
        </w:trPr>
        <w:tc>
          <w:tcPr>
            <w:tcW w:w="1140" w:type="dxa"/>
            <w:vAlign w:val="bottom"/>
          </w:tcPr>
          <w:p>
            <w:pPr>
              <w:spacing w:after="0"/>
              <w:rPr>
                <w:sz w:val="24"/>
                <w:szCs w:val="24"/>
                <w:color w:val="auto"/>
              </w:rPr>
            </w:pPr>
          </w:p>
        </w:tc>
        <w:tc>
          <w:tcPr>
            <w:tcW w:w="4880" w:type="dxa"/>
            <w:vAlign w:val="bottom"/>
            <w:tcBorders>
              <w:top w:val="single" w:sz="8" w:color="0000EE"/>
            </w:tcBorders>
            <w:gridSpan w:val="23"/>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ABOUT THIS PROSPECTUS</w:t>
              </w:r>
            </w:hyperlink>
          </w:p>
        </w:tc>
        <w:tc>
          <w:tcPr>
            <w:tcW w:w="1940" w:type="dxa"/>
            <w:vAlign w:val="bottom"/>
            <w:gridSpan w:val="3"/>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8">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2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98">
              <w:r>
                <w:rPr>
                  <w:rFonts w:ascii="Arial" w:cs="Arial" w:eastAsia="Arial" w:hAnsi="Arial"/>
                  <w:sz w:val="18"/>
                  <w:szCs w:val="18"/>
                  <w:color w:val="0000EE"/>
                  <w:w w:val="96"/>
                </w:rPr>
                <w:t>WHERE YOU CAN FIND ADDITIONAL INFORMATION</w:t>
              </w:r>
            </w:hyperlink>
          </w:p>
        </w:tc>
        <w:tc>
          <w:tcPr>
            <w:tcW w:w="2500" w:type="dxa"/>
            <w:vAlign w:val="bottom"/>
            <w:gridSpan w:val="5"/>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8">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INCORPORATION OF CERTAIN INFORMATION BY REFERENCE</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99">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820" w:type="dxa"/>
            <w:vAlign w:val="bottom"/>
            <w:tcBorders>
              <w:bottom w:val="single" w:sz="8" w:color="0000EE"/>
            </w:tcBorders>
            <w:gridSpan w:val="26"/>
          </w:tcPr>
          <w:p>
            <w:pP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RATIO OF EARNINGS TO FIXED CHARGES AND PREFERENCE UNIT DISTRIBUTIONS</w:t>
              </w:r>
            </w:hyperlink>
          </w:p>
        </w:tc>
        <w:tc>
          <w:tcPr>
            <w:tcW w:w="20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9</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5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01">
              <w:r>
                <w:rPr>
                  <w:rFonts w:ascii="Arial" w:cs="Arial" w:eastAsia="Arial" w:hAnsi="Arial"/>
                  <w:sz w:val="18"/>
                  <w:szCs w:val="18"/>
                  <w:color w:val="0000EE"/>
                  <w:w w:val="88"/>
                </w:rPr>
                <w:t>USE OF PROCEEDS</w:t>
              </w:r>
            </w:hyperlink>
          </w:p>
        </w:tc>
        <w:tc>
          <w:tcPr>
            <w:tcW w:w="5260" w:type="dxa"/>
            <w:vAlign w:val="bottom"/>
            <w:gridSpan w:val="19"/>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CAPITALIZATION AND INDEBTEDNESS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01">
              <w:r>
                <w:rPr>
                  <w:rFonts w:ascii="Arial" w:cs="Arial" w:eastAsia="Arial" w:hAnsi="Arial"/>
                  <w:sz w:val="18"/>
                  <w:szCs w:val="18"/>
                  <w:color w:val="0000EE"/>
                </w:rPr>
                <w:t>10</w:t>
              </w:r>
            </w:hyperlink>
          </w:p>
        </w:tc>
      </w:tr>
      <w:tr>
        <w:trPr>
          <w:trHeight w:val="412"/>
        </w:trPr>
        <w:tc>
          <w:tcPr>
            <w:tcW w:w="1140" w:type="dxa"/>
            <w:vAlign w:val="bottom"/>
          </w:tcPr>
          <w:p>
            <w:pPr>
              <w:spacing w:after="0"/>
              <w:rPr>
                <w:sz w:val="24"/>
                <w:szCs w:val="24"/>
                <w:color w:val="auto"/>
              </w:rPr>
            </w:pPr>
          </w:p>
        </w:tc>
        <w:tc>
          <w:tcPr>
            <w:tcW w:w="28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3"/>
              </w:rPr>
            </w:pPr>
            <w:hyperlink w:anchor="page101">
              <w:r>
                <w:rPr>
                  <w:rFonts w:ascii="Arial" w:cs="Arial" w:eastAsia="Arial" w:hAnsi="Arial"/>
                  <w:sz w:val="18"/>
                  <w:szCs w:val="18"/>
                  <w:color w:val="0000EE"/>
                  <w:w w:val="93"/>
                </w:rPr>
                <w:t>DESCRIPTION OF COMMON UNITS</w:t>
              </w:r>
            </w:hyperlink>
          </w:p>
        </w:tc>
        <w:tc>
          <w:tcPr>
            <w:tcW w:w="360" w:type="dxa"/>
            <w:vAlign w:val="bottom"/>
            <w:tcBorders>
              <w:top w:val="single" w:sz="8" w:color="0000EE"/>
            </w:tcBorders>
            <w:gridSpan w:val="3"/>
          </w:tcPr>
          <w:p>
            <w:pPr>
              <w:spacing w:after="0"/>
              <w:rPr>
                <w:sz w:val="24"/>
                <w:szCs w:val="24"/>
                <w:color w:val="auto"/>
              </w:rPr>
            </w:pPr>
          </w:p>
        </w:tc>
        <w:tc>
          <w:tcPr>
            <w:tcW w:w="3620" w:type="dxa"/>
            <w:vAlign w:val="bottom"/>
            <w:gridSpan w:val="11"/>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94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DESCRIPTION OF SERIES A PREFERENCE UNITS</w:t>
              </w:r>
            </w:hyperlink>
          </w:p>
        </w:tc>
        <w:tc>
          <w:tcPr>
            <w:tcW w:w="2880" w:type="dxa"/>
            <w:vAlign w:val="bottom"/>
            <w:gridSpan w:val="7"/>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0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DESCRIPTION OF THE OTHER CLASSES OF UNITS</w:t>
              </w:r>
            </w:hyperlink>
          </w:p>
        </w:tc>
        <w:tc>
          <w:tcPr>
            <w:tcW w:w="2760" w:type="dxa"/>
            <w:vAlign w:val="bottom"/>
            <w:gridSpan w:val="6"/>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1">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29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03">
              <w:r>
                <w:rPr>
                  <w:rFonts w:ascii="Arial" w:cs="Arial" w:eastAsia="Arial" w:hAnsi="Arial"/>
                  <w:sz w:val="18"/>
                  <w:szCs w:val="18"/>
                  <w:color w:val="0000EE"/>
                  <w:w w:val="92"/>
                </w:rPr>
                <w:t>DESCRIPTION OF DEBT SECURITIES</w:t>
              </w:r>
            </w:hyperlink>
          </w:p>
        </w:tc>
        <w:tc>
          <w:tcPr>
            <w:tcW w:w="3860" w:type="dxa"/>
            <w:vAlign w:val="bottom"/>
            <w:gridSpan w:val="12"/>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12</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DESCRIPTION OF WARRANTS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10">
              <w:r>
                <w:rPr>
                  <w:rFonts w:ascii="Arial" w:cs="Arial" w:eastAsia="Arial" w:hAnsi="Arial"/>
                  <w:sz w:val="18"/>
                  <w:szCs w:val="18"/>
                  <w:color w:val="0000EE"/>
                </w:rPr>
                <w:t>19</w:t>
              </w:r>
            </w:hyperlink>
          </w:p>
        </w:tc>
      </w:tr>
      <w:tr>
        <w:trPr>
          <w:trHeight w:val="412"/>
        </w:trPr>
        <w:tc>
          <w:tcPr>
            <w:tcW w:w="114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2"/>
          </w:tcPr>
          <w:p>
            <w:pPr>
              <w:spacing w:after="0"/>
              <w:rPr>
                <w:sz w:val="24"/>
                <w:szCs w:val="24"/>
                <w:color w:val="auto"/>
              </w:rPr>
            </w:pPr>
          </w:p>
        </w:tc>
        <w:tc>
          <w:tcPr>
            <w:tcW w:w="4400" w:type="dxa"/>
            <w:vAlign w:val="bottom"/>
            <w:gridSpan w:val="15"/>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64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11">
              <w:r>
                <w:rPr>
                  <w:rFonts w:ascii="Arial" w:cs="Arial" w:eastAsia="Arial" w:hAnsi="Arial"/>
                  <w:sz w:val="18"/>
                  <w:szCs w:val="18"/>
                  <w:color w:val="0000EE"/>
                  <w:w w:val="94"/>
                </w:rPr>
                <w:t>DESCRIPTION OF THE COMBINATION UNITS</w:t>
              </w:r>
            </w:hyperlink>
          </w:p>
        </w:tc>
        <w:tc>
          <w:tcPr>
            <w:tcW w:w="3180" w:type="dxa"/>
            <w:vAlign w:val="bottom"/>
            <w:gridSpan w:val="10"/>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92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112">
              <w:r>
                <w:rPr>
                  <w:rFonts w:ascii="Arial" w:cs="Arial" w:eastAsia="Arial" w:hAnsi="Arial"/>
                  <w:sz w:val="18"/>
                  <w:szCs w:val="18"/>
                  <w:color w:val="0000EE"/>
                  <w:w w:val="93"/>
                </w:rPr>
                <w:t>SUMMARY OF OUR PARTNERSHIP AGREEMENT</w:t>
              </w:r>
            </w:hyperlink>
          </w:p>
        </w:tc>
        <w:tc>
          <w:tcPr>
            <w:tcW w:w="2900" w:type="dxa"/>
            <w:vAlign w:val="bottom"/>
            <w:gridSpan w:val="8"/>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21</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22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127">
              <w:r>
                <w:rPr>
                  <w:rFonts w:ascii="Arial" w:cs="Arial" w:eastAsia="Arial" w:hAnsi="Arial"/>
                  <w:sz w:val="18"/>
                  <w:szCs w:val="18"/>
                  <w:color w:val="0000EE"/>
                  <w:w w:val="94"/>
                </w:rPr>
                <w:t>OUR CASH DISTRIBUTION POLICY AND RESTRICTIONS ON DISTRIBUTIONS</w:t>
              </w:r>
            </w:hyperlink>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27">
              <w:r>
                <w:rPr>
                  <w:rFonts w:ascii="Arial" w:cs="Arial" w:eastAsia="Arial" w:hAnsi="Arial"/>
                  <w:sz w:val="18"/>
                  <w:szCs w:val="18"/>
                  <w:color w:val="0000EE"/>
                  <w:w w:val="79"/>
                </w:rPr>
                <w:t>36</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760" w:type="dxa"/>
            <w:vAlign w:val="bottom"/>
            <w:tcBorders>
              <w:bottom w:val="single" w:sz="8" w:color="0000EE"/>
            </w:tcBorders>
            <w:gridSpan w:val="22"/>
          </w:tcPr>
          <w:p>
            <w:pPr>
              <w:spacing w:after="0"/>
              <w:rPr>
                <w:rFonts w:ascii="Arial" w:cs="Arial" w:eastAsia="Arial" w:hAnsi="Arial"/>
                <w:sz w:val="18"/>
                <w:szCs w:val="18"/>
                <w:color w:val="0000EE"/>
                <w:w w:val="94"/>
              </w:rPr>
            </w:pPr>
            <w:hyperlink w:anchor="page139">
              <w:r>
                <w:rPr>
                  <w:rFonts w:ascii="Arial" w:cs="Arial" w:eastAsia="Arial" w:hAnsi="Arial"/>
                  <w:sz w:val="18"/>
                  <w:szCs w:val="18"/>
                  <w:color w:val="0000EE"/>
                  <w:w w:val="94"/>
                </w:rPr>
                <w:t>MATERIAL U.S. FEDERAL INCOME TAX CONSIDERATIONS</w:t>
              </w:r>
            </w:hyperlink>
          </w:p>
        </w:tc>
        <w:tc>
          <w:tcPr>
            <w:tcW w:w="2060" w:type="dxa"/>
            <w:vAlign w:val="bottom"/>
            <w:gridSpan w:val="4"/>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39">
              <w:r>
                <w:rPr>
                  <w:rFonts w:ascii="Arial" w:cs="Arial" w:eastAsia="Arial" w:hAnsi="Arial"/>
                  <w:sz w:val="18"/>
                  <w:szCs w:val="18"/>
                  <w:color w:val="0000EE"/>
                  <w:w w:val="79"/>
                </w:rPr>
                <w:t>48</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70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139">
              <w:r>
                <w:rPr>
                  <w:rFonts w:ascii="Arial" w:cs="Arial" w:eastAsia="Arial" w:hAnsi="Arial"/>
                  <w:sz w:val="18"/>
                  <w:szCs w:val="18"/>
                  <w:color w:val="0000EE"/>
                  <w:w w:val="93"/>
                </w:rPr>
                <w:t>NON-UNITED STATES TAX CONSIDERATIONS</w:t>
              </w:r>
            </w:hyperlink>
          </w:p>
        </w:tc>
        <w:tc>
          <w:tcPr>
            <w:tcW w:w="3120" w:type="dxa"/>
            <w:vAlign w:val="bottom"/>
            <w:gridSpan w:val="9"/>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39">
              <w:r>
                <w:rPr>
                  <w:rFonts w:ascii="Arial" w:cs="Arial" w:eastAsia="Arial" w:hAnsi="Arial"/>
                  <w:sz w:val="18"/>
                  <w:szCs w:val="18"/>
                  <w:color w:val="0000EE"/>
                  <w:w w:val="79"/>
                </w:rPr>
                <w:t>48</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PLAN OF DISTRIBUTION</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39">
              <w:r>
                <w:rPr>
                  <w:rFonts w:ascii="Arial" w:cs="Arial" w:eastAsia="Arial" w:hAnsi="Arial"/>
                  <w:sz w:val="18"/>
                  <w:szCs w:val="18"/>
                  <w:color w:val="0000EE"/>
                </w:rPr>
                <w:t>48</w:t>
              </w:r>
            </w:hyperlink>
          </w:p>
        </w:tc>
      </w:tr>
      <w:tr>
        <w:trPr>
          <w:trHeight w:val="412"/>
        </w:trPr>
        <w:tc>
          <w:tcPr>
            <w:tcW w:w="114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141">
              <w:r>
                <w:rPr>
                  <w:rFonts w:ascii="Arial" w:cs="Arial" w:eastAsia="Arial" w:hAnsi="Arial"/>
                  <w:sz w:val="18"/>
                  <w:szCs w:val="18"/>
                  <w:color w:val="0000EE"/>
                  <w:w w:val="88"/>
                </w:rPr>
                <w:t>EXPENSES</w:t>
              </w:r>
            </w:hyperlink>
          </w:p>
        </w:tc>
        <w:tc>
          <w:tcPr>
            <w:tcW w:w="1120" w:type="dxa"/>
            <w:vAlign w:val="bottom"/>
            <w:tcBorders>
              <w:top w:val="single" w:sz="8" w:color="0000EE"/>
            </w:tcBorders>
            <w:gridSpan w:val="5"/>
          </w:tcPr>
          <w:p>
            <w:pPr>
              <w:spacing w:after="0"/>
              <w:rPr>
                <w:sz w:val="24"/>
                <w:szCs w:val="24"/>
                <w:color w:val="auto"/>
              </w:rPr>
            </w:pPr>
          </w:p>
        </w:tc>
        <w:tc>
          <w:tcPr>
            <w:tcW w:w="4820" w:type="dxa"/>
            <w:vAlign w:val="bottom"/>
            <w:gridSpan w:val="18"/>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41">
              <w:r>
                <w:rPr>
                  <w:rFonts w:ascii="Arial" w:cs="Arial" w:eastAsia="Arial" w:hAnsi="Arial"/>
                  <w:sz w:val="18"/>
                  <w:szCs w:val="18"/>
                  <w:color w:val="0000EE"/>
                  <w:w w:val="79"/>
                </w:rPr>
                <w:t>50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LEGAL MATTERS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41">
              <w:r>
                <w:rPr>
                  <w:rFonts w:ascii="Arial" w:cs="Arial" w:eastAsia="Arial" w:hAnsi="Arial"/>
                  <w:sz w:val="18"/>
                  <w:szCs w:val="18"/>
                  <w:color w:val="0000EE"/>
                </w:rPr>
                <w:t>50</w:t>
              </w:r>
            </w:hyperlink>
          </w:p>
        </w:tc>
      </w:tr>
      <w:tr>
        <w:trPr>
          <w:trHeight w:val="412"/>
        </w:trPr>
        <w:tc>
          <w:tcPr>
            <w:tcW w:w="1140" w:type="dxa"/>
            <w:vAlign w:val="bottom"/>
          </w:tcPr>
          <w:p>
            <w:pPr>
              <w:spacing w:after="0"/>
              <w:rPr>
                <w:sz w:val="24"/>
                <w:szCs w:val="24"/>
                <w:color w:val="auto"/>
              </w:rPr>
            </w:pPr>
          </w:p>
        </w:tc>
        <w:tc>
          <w:tcPr>
            <w:tcW w:w="1420" w:type="dxa"/>
            <w:vAlign w:val="bottom"/>
            <w:tcBorders>
              <w:top w:val="single" w:sz="8" w:color="0000EE"/>
            </w:tcBorders>
            <w:gridSpan w:val="6"/>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EXPERTS</w:t>
              </w:r>
            </w:hyperlink>
          </w:p>
        </w:tc>
        <w:tc>
          <w:tcPr>
            <w:tcW w:w="5400" w:type="dxa"/>
            <w:vAlign w:val="bottom"/>
            <w:gridSpan w:val="20"/>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41">
              <w:r>
                <w:rPr>
                  <w:rFonts w:ascii="Arial" w:cs="Arial" w:eastAsia="Arial" w:hAnsi="Arial"/>
                  <w:sz w:val="18"/>
                  <w:szCs w:val="18"/>
                  <w:color w:val="0000EE"/>
                  <w:w w:val="79"/>
                </w:rPr>
                <w:t>50</w:t>
              </w:r>
            </w:hyperlink>
          </w:p>
        </w:tc>
        <w:tc>
          <w:tcPr>
            <w:tcW w:w="1300" w:type="dxa"/>
            <w:vAlign w:val="bottom"/>
          </w:tcPr>
          <w:p>
            <w:pPr>
              <w:spacing w:after="0"/>
              <w:rPr>
                <w:sz w:val="24"/>
                <w:szCs w:val="24"/>
                <w:color w:val="auto"/>
              </w:rPr>
            </w:pPr>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5"/>
          </w:tcPr>
          <w:p>
            <w:pPr>
              <w:jc w:val="center"/>
              <w:ind w:right="2000"/>
              <w:spacing w:after="0"/>
              <w:rPr>
                <w:sz w:val="20"/>
                <w:szCs w:val="20"/>
                <w:color w:val="auto"/>
              </w:rPr>
            </w:pPr>
            <w:r>
              <w:rPr>
                <w:rFonts w:ascii="Arial" w:cs="Arial" w:eastAsia="Arial" w:hAnsi="Arial"/>
                <w:sz w:val="18"/>
                <w:szCs w:val="18"/>
                <w:color w:val="auto"/>
              </w:rPr>
              <w:t>i</w:t>
            </w:r>
          </w:p>
        </w:tc>
        <w:tc>
          <w:tcPr>
            <w:tcW w:w="19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that are not statements of historical fact are "forward-looking statements" within the meaning of the United States Private Securities Litigation Reform Act of 1995. The disclosure and analysis set forth in this prospectus includes assumptions, expectations, projections, intentions and beliefs about future events in a number of places, particularly in relation to our operations, cash flows, financial position, liquidity and cash available for dividends or distributions, plans, strategies, business prospects and changes and trends in our business and the markets in which we operate. These statements are intended as "forward-looking statements". In some cases, predictive, future-tense or forward-looking words such as "believe", "intend", "anticipate", "estimate", "project", "forecast", "plan", "potential", "may", "should", "could" and "expect" and similar expressions are intended to identify forward- 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34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leverage GasLog Ltd.'s relationships and reputation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purchase vessels from GasLog Ltd. in the future;</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Ltd. of the revolving credit facility with GasLog Ltd. entered into on April 3, 2017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25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GasLog Ltd.'s ability to retain key employees and provide services to us, and the availability of skilled labor, ship crews and management;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52"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February 13, 2017, available at http://www.sec.gov.</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those anticipated in the forward-looking statements. Accordingly, you should not unduly rely on any forward-looking statements.</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references in this prospectus to:</w:t>
      </w:r>
    </w:p>
    <w:p>
      <w:pPr>
        <w:spacing w:after="0" w:line="239" w:lineRule="exact"/>
        <w:rPr>
          <w:sz w:val="20"/>
          <w:szCs w:val="20"/>
          <w:color w:val="auto"/>
        </w:rPr>
      </w:pPr>
    </w:p>
    <w:p>
      <w:pPr>
        <w:ind w:left="1080" w:right="1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"GasLog Partners", the "Partnership", "we", "our", "us" or similar terms refer to GasLog Partners LP or any one or more of its subsidiaries, or to all such entities unless the context otherwise indicates;</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"GasLog", depending on the context, refers to GasLog Ltd. and to any one or more of its direct and indirect subsidiaries, other than GasLog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general partner" refer to GasLog Partners GP LLC, the general partner of GasLog Partners and a wholly owned subsidiary of GasLog;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"GasLog LNG Services" refer to GasLog LNG Services Ltd., a wholly owned subsidiary of GasLog;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"BG Group" refers to BG Group plc. BG Group was acquired by Shell on February 15,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"Total" refers to Total Gas &amp; Power Chartering Limited, a wholly owned subsidiary of Total plc;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"Omnibus agreement" refers to the Omnibus Agreement dated May 12, 2014 by and among the Partnership, GasLog, our general partner and GasLog Partners Holdings LLC, as amended;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"dollars" and "$" refer to, and amounts are presented in, U.S. dollars;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"cbm" refer to cubic meters.</w:t>
      </w:r>
    </w:p>
    <w:p>
      <w:pPr>
        <w:spacing w:after="0" w:line="225" w:lineRule="exact"/>
        <w:rPr>
          <w:sz w:val="20"/>
          <w:szCs w:val="20"/>
          <w:color w:val="auto"/>
        </w:rPr>
      </w:pPr>
    </w:p>
    <w:p>
      <w:pPr>
        <w:jc w:val="center"/>
        <w:spacing w:after="0" w:line="306" w:lineRule="auto"/>
        <w:rPr>
          <w:sz w:val="20"/>
          <w:szCs w:val="20"/>
          <w:color w:val="auto"/>
        </w:rPr>
      </w:pPr>
      <w:r>
        <w:rPr>
          <w:rFonts w:ascii="Arial" w:cs="Arial" w:eastAsia="Arial" w:hAnsi="Arial"/>
          <w:sz w:val="16"/>
          <w:szCs w:val="16"/>
          <w:color w:val="auto"/>
        </w:rPr>
        <w:t>We are a growth-oriented limited partnership focused on owning, operating and acquiring LNG carriers engaged in LNG transportation under long-term charters, which we define as charters of five full years or more. Our fleet of eleven LNG carriers, which have fixed charter terms expiring between 2018 and 2026 that can be extended at the charterers' option, were contributed to us by, or acquired from, GasLog, which controls us through its ownership of our general partner.</w:t>
      </w:r>
    </w:p>
    <w:p>
      <w:pPr>
        <w:spacing w:after="0" w:line="161"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 xml:space="preserve">As of September 29, 2017, our fleet consisted of eleven LNG carriers, including six vessels with modern tri-fuel diesel electric ("TFDE") propulsion technology and five modern steam-powered ("Steam") vessels that all operate under long-term charters with subsidiaries of Shell. At that date, we also had options and other certain acquisition rights under which we may acquire additional LNG carriers from GasLog. Under the omnibus agreement entered into with GasLog in connection with our IPO (defined below), we have the option to purchase up to five LNG carriers from GasLog within 36 months after each such vessel's acceptance by its charterer (or, in the case of certain vessels, within 36 months after the completion of their acquisition by GasLog on March 31, 2015), in each case at fair market value as determined pursuant to the omnibus agreement. In addition, we previously had options to acquire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w:t>
      </w:r>
      <w:r>
        <w:rPr>
          <w:rFonts w:ascii="Arial" w:cs="Arial" w:eastAsia="Arial" w:hAnsi="Arial"/>
          <w:sz w:val="16"/>
          <w:szCs w:val="16"/>
          <w:i w:val="1"/>
          <w:iCs w:val="1"/>
          <w:color w:val="auto"/>
        </w:rPr>
        <w:t>Methane Rita Andrea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Shirley Elisabeth</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w:t>
      </w:r>
      <w:r>
        <w:rPr>
          <w:rFonts w:ascii="Arial" w:cs="Arial" w:eastAsia="Arial" w:hAnsi="Arial"/>
          <w:sz w:val="16"/>
          <w:szCs w:val="16"/>
          <w:i w:val="1"/>
          <w:iCs w:val="1"/>
          <w:color w:val="auto"/>
        </w:rPr>
        <w:t xml:space="preserve"> GasLog Seattle</w:t>
      </w:r>
      <w:r>
        <w:rPr>
          <w:rFonts w:ascii="Arial" w:cs="Arial" w:eastAsia="Arial" w:hAnsi="Arial"/>
          <w:sz w:val="16"/>
          <w:szCs w:val="16"/>
          <w:color w:val="auto"/>
        </w:rPr>
        <w:t>,</w:t>
      </w:r>
      <w:r>
        <w:rPr>
          <w:rFonts w:ascii="Arial" w:cs="Arial" w:eastAsia="Arial" w:hAnsi="Arial"/>
          <w:sz w:val="16"/>
          <w:szCs w:val="16"/>
          <w:i w:val="1"/>
          <w:iCs w:val="1"/>
          <w:color w:val="auto"/>
        </w:rPr>
        <w:t xml:space="preserve"> GasLog Greece </w:t>
      </w:r>
      <w:r>
        <w:rPr>
          <w:rFonts w:ascii="Arial" w:cs="Arial" w:eastAsia="Arial" w:hAnsi="Arial"/>
          <w:sz w:val="16"/>
          <w:szCs w:val="16"/>
          <w:color w:val="auto"/>
        </w:rPr>
        <w:t>and</w:t>
      </w:r>
      <w:r>
        <w:rPr>
          <w:rFonts w:ascii="Arial" w:cs="Arial" w:eastAsia="Arial" w:hAnsi="Arial"/>
          <w:sz w:val="16"/>
          <w:szCs w:val="16"/>
          <w:i w:val="1"/>
          <w:iCs w:val="1"/>
          <w:color w:val="auto"/>
        </w:rPr>
        <w:t xml:space="preserve"> GasLog Geneva</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 have exercised, and these eight vessels are now part of our owned fleet. We also previously had the option to acquire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which option expired in May 2017.</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omnibus agreement, we also have a right of first offer from GasLog to purchase any other LNG carriers with cargo capacities greater than 75,000 cbm engaged in ongoing LNG transportation under charters of five full years or more that GasLog owns or acquires (the "Five-Year Vessels") either at their acquisition cost plus certain break up costs (in the case of a newly acquired Five-Year Vessel) or at their fair market value (in the case of a previously owned vessel that becomes a Five-Year Vessel). Generally, we must exercise this right of first offer within 30 days following the notice from GasLog that the vessel has been acquired or has become a Five- Year Vessel. The five newbuildings that will be chartered to Shell, Total and Centrica in 2018 and 2019 will each qualify as a Five-Year Vessel upon commencement of each respective charter, and GasLog will be required to offer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to us an opportunity to purchase each vessel at fair market value within 30 days of the commencement of its charter. Following completion of the acquisition by GasLog of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from a subsidiary of BG Group, GasLog granted us the option, exercisable at any time within 36 months after March 31, 2015—the date that GasLog completed the acquisition to purchase both of the aforementioned vessels at their fair market value as determined under the omnibus agreement—under the same terms that apply to the three other vessels over which we hold options granted by GasLog. This agreement supersedes the provision under the omnibus agreement that would otherwise have required GasLog to offer us, within 30 days of the completion of the vessels acquisition, an opportunity to purchase such vessels at the acquisition price paid plus certain administrative costs, and would have allowed us 30 days to respond to such offer.</w:t>
      </w:r>
    </w:p>
    <w:p>
      <w:pPr>
        <w:spacing w:after="0" w:line="201"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options, with the addition of the five future firm charters agreed with Shell, Total and Centrica, brings the current pipeline of vessels that we have, or may have, the right to acquire from GasLog to 10 LNG carriers. We believe that such options and acquisition rights provide us with significant built-in growth opportunities. We may also acquire vessels from shipyards or other owners.</w:t>
      </w:r>
    </w:p>
    <w:p>
      <w:pPr>
        <w:spacing w:after="0" w:line="19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operate all of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financing.</w:t>
      </w:r>
    </w:p>
    <w:p>
      <w:pPr>
        <w:spacing w:after="0" w:line="197"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We are not obligated to purchase any of the vessels from GasLog described above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September 29, 2017,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with regards to transactions covered by that agreement. We cannot assure you that in any particular case that the necessary consent will be obtained.</w:t>
      </w:r>
    </w:p>
    <w:p>
      <w:pPr>
        <w:spacing w:after="0" w:line="201"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On May 12, 2014, we completed an initial public offering of our Common Units (the "IPO"). We completed follow-on public offerings of our Common Units on September 29, 2014, June 26, 2015, August 5, 2016 and January 27, 2017. Our Common Units are listed on the New York Stock Exchange (the "NYSE") under the ticker symbol "GLOP". If any securities are to be listed or quoted on any other securities exchange or quotation system, the applicable prospectus supplement will so state.</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May 15, 2017, we completed a public offering of our Series A Preference Units, liquidation preference $25.00 per unit. The Series A Preference Units are listed on the NYSE under the ticker symbol "GLOP PR A."</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On May 16, 2017, we commenced an "at-the-market" offering program under which we may offer and sell Common Units having an aggregate offering price of up to $100 million from time to time through our sales agents.</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 We have been organized under the laws of the Republic of the Marshall Islands.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197"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Any of the risk factors referred to above could significantly and negatively affect our business, results of operations or financial condition, which may reduce our ability to make cash distributions and lower the trading price of our securities. The risks referred to above are not the only ones that may exist. Additional risks not currently known by us or that we deem immaterial may also impair our business operations. You may lose all or a part of your investment.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19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our general partner or our subsidiaries or to realize against us or them judgments obtained in United States courts, including judgments predicated upon the civil liability provisions of the securities laws of the United States or any state in the United States.</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Cozen O'Connor, our counsel as to Marshall Islands law, has advised us that there is uncertainty as to whether the courts of the Marshall Islands would</w:t>
      </w:r>
    </w:p>
    <w:p>
      <w:pPr>
        <w:spacing w:after="0" w:line="38" w:lineRule="exact"/>
        <w:rPr>
          <w:sz w:val="20"/>
          <w:szCs w:val="20"/>
          <w:color w:val="auto"/>
        </w:rPr>
      </w:pPr>
    </w:p>
    <w:p>
      <w:pPr>
        <w:ind w:right="100" w:firstLine="8"/>
        <w:spacing w:after="0" w:line="255" w:lineRule="auto"/>
        <w:tabs>
          <w:tab w:leader="none" w:pos="249"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recognize or enforce against us, our general partner or our directors or officers judgments of courts of the United States based on civil liability provisions of applicable U.S. federal and state securities laws or (2) impose liabilities against us, our general partner or our directors and officers in original actions brought in the Marshall Islands, based on these laws.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SEC using a shelf registration process. Under this shelf registration process, we may, from time to time, sell up to an aggregate public offering price of $750,000,000 of any combination of the securities described in this prospectus.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"Where You Can Find Additional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securities offered by this prospectus and GasLog Partners, reference is made to the registration statement.</w:t>
      </w:r>
    </w:p>
    <w:p>
      <w:pPr>
        <w:spacing w:after="0" w:line="178"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incorporates by reference the following documents:</w:t>
      </w:r>
    </w:p>
    <w:p>
      <w:pPr>
        <w:spacing w:after="0" w:line="239" w:lineRule="exact"/>
        <w:rPr>
          <w:sz w:val="20"/>
          <w:szCs w:val="20"/>
          <w:color w:val="auto"/>
        </w:rPr>
      </w:pPr>
    </w:p>
    <w:p>
      <w:pPr>
        <w:ind w:left="1080" w:right="4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Reports on Form 6-K, filed with the SEC on March 23, 2017, May 3, 2017, May 10, 2017, May 15, 2017, May 16, 2017, June 1, 2017, July 5, 2017, July 27, 2017, August 21, 2017, September 15, 2017 and September 29, 2017;</w:t>
      </w:r>
    </w:p>
    <w:p>
      <w:pPr>
        <w:spacing w:after="0" w:line="212" w:lineRule="exact"/>
        <w:rPr>
          <w:rFonts w:ascii="Arial" w:cs="Arial" w:eastAsia="Arial" w:hAnsi="Arial"/>
          <w:sz w:val="18"/>
          <w:szCs w:val="18"/>
          <w:color w:val="auto"/>
        </w:rPr>
      </w:pPr>
    </w:p>
    <w:p>
      <w:pPr>
        <w:ind w:left="1080" w:right="620" w:hanging="532"/>
        <w:spacing w:after="0" w:line="33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Annual Report on Form 20-F for the year ended December 31, 2016, filed with the SEC on February 13, 2017 (Items 3A, 5, 18 of this Form 20-F have been updated by the Current Report on Form 6-K filed with the SEC on September 29, 2017);</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description of our Common Units which is contained in our registration statement on Form 8-A (File No. 001-36433), filed with the SEC on April 30, 2014, including any amendment or report filed for the purpose of updating such description; and</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description of our Series A Preference Units which is contained in our registration statement on Form 8-A (File No. 001- 36433), filed with the SEC on May 15, 2017, including any amendment or report filed for the purpose of updating such description.</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197" w:lineRule="exact"/>
        <w:rPr>
          <w:sz w:val="20"/>
          <w:szCs w:val="20"/>
          <w:color w:val="auto"/>
        </w:rPr>
      </w:pPr>
    </w:p>
    <w:p>
      <w:pPr>
        <w:ind w:right="440" w:firstLine="348"/>
        <w:spacing w:after="0" w:line="298" w:lineRule="auto"/>
        <w:rPr>
          <w:sz w:val="20"/>
          <w:szCs w:val="20"/>
          <w:color w:val="auto"/>
        </w:rPr>
      </w:pPr>
      <w:r>
        <w:rPr>
          <w:rFonts w:ascii="Arial" w:cs="Arial" w:eastAsia="Arial" w:hAnsi="Arial"/>
          <w:sz w:val="16"/>
          <w:szCs w:val="16"/>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6"/>
          <w:szCs w:val="16"/>
          <w:i w:val="1"/>
          <w:iCs w:val="1"/>
          <w:color w:val="auto"/>
        </w:rPr>
        <w:t>www.gaslogmlp.com.</w:t>
      </w:r>
      <w:r>
        <w:rPr>
          <w:rFonts w:ascii="Arial" w:cs="Arial" w:eastAsia="Arial" w:hAnsi="Arial"/>
          <w:sz w:val="16"/>
          <w:szCs w:val="16"/>
          <w:color w:val="auto"/>
        </w:rPr>
        <w:t xml:space="preserve"> The information contained on or connected to our website is not a part of this prospectus. Requests for such information should be made to us at the following address: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 AND PREFERENCE UNIT DISTRIBUTIONS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following table sets forth our ratio of earnings to fixed charges for the periods indicated, computed using amounts derived from our financial statements for the years ended December 31, 2014, 2015 and 2016 included in the Form 6-K filed on September 29, 2017 and incorporated herein by reference. The amounts as of December 31, 2012 and 2013 and for each of the years ended December 31, 2012 and 2013 are a summary of and are derived from our audited consolidated financial statements after retroactive restatement for the transfer of vessels from GasLog to the Partnership, which are not incorporated by reference in this registration statement. Our financial statements are prepared in accordance with International Financial Reporting Standards as issued by the International Accounting Standards Board.</w:t>
      </w:r>
    </w:p>
    <w:p>
      <w:pPr>
        <w:spacing w:after="0" w:line="345"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5"/>
          </w:tcPr>
          <w:p>
            <w:pPr>
              <w:ind w:left="400"/>
              <w:spacing w:after="0"/>
              <w:rPr>
                <w:sz w:val="20"/>
                <w:szCs w:val="20"/>
                <w:color w:val="auto"/>
              </w:rPr>
            </w:pPr>
            <w:r>
              <w:rPr>
                <w:rFonts w:ascii="Arial" w:cs="Arial" w:eastAsia="Arial" w:hAnsi="Arial"/>
                <w:sz w:val="14"/>
                <w:szCs w:val="14"/>
                <w:b w:val="1"/>
                <w:bCs w:val="1"/>
                <w:color w:val="auto"/>
                <w:w w:val="98"/>
              </w:rPr>
              <w:t>Year ended December 31,</w:t>
            </w:r>
            <w:r>
              <w:rPr>
                <w:rFonts w:ascii="Arial" w:cs="Arial" w:eastAsia="Arial" w:hAnsi="Arial"/>
                <w:sz w:val="22"/>
                <w:szCs w:val="22"/>
                <w:b w:val="1"/>
                <w:bCs w:val="1"/>
                <w:color w:val="auto"/>
                <w:w w:val="98"/>
                <w:vertAlign w:val="superscript"/>
              </w:rPr>
              <w:t>(1)</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0" w:type="dxa"/>
            <w:vAlign w:val="bottom"/>
            <w:gridSpan w:val="2"/>
            <w:vMerge w:val="restart"/>
          </w:tcPr>
          <w:p>
            <w:pPr>
              <w:jc w:val="center"/>
              <w:ind w:right="180"/>
              <w:spacing w:after="0" w:line="109" w:lineRule="exact"/>
              <w:rPr>
                <w:sz w:val="20"/>
                <w:szCs w:val="20"/>
                <w:color w:val="auto"/>
              </w:rPr>
            </w:pPr>
            <w:r>
              <w:rPr>
                <w:rFonts w:ascii="Arial" w:cs="Arial" w:eastAsia="Arial" w:hAnsi="Arial"/>
                <w:sz w:val="12"/>
                <w:szCs w:val="12"/>
                <w:b w:val="1"/>
                <w:bCs w:val="1"/>
                <w:color w:val="auto"/>
                <w:w w:val="99"/>
              </w:rPr>
              <w:t>ended June 30,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gridSpan w:val="7"/>
          </w:tcPr>
          <w:p>
            <w:pPr>
              <w:jc w:val="right"/>
              <w:ind w:right="36"/>
              <w:spacing w:after="0" w:line="142" w:lineRule="exact"/>
              <w:rPr>
                <w:sz w:val="20"/>
                <w:szCs w:val="20"/>
                <w:color w:val="auto"/>
              </w:rPr>
            </w:pPr>
            <w:r>
              <w:rPr>
                <w:rFonts w:ascii="Arial" w:cs="Arial" w:eastAsia="Arial" w:hAnsi="Arial"/>
                <w:sz w:val="14"/>
                <w:szCs w:val="14"/>
                <w:b w:val="1"/>
                <w:bCs w:val="1"/>
                <w:color w:val="auto"/>
              </w:rPr>
              <w:t>(in thousands of U.S. dollars, except ratios)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Pre-tax (loss)/income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640" w:type="dxa"/>
            <w:vAlign w:val="bottom"/>
          </w:tcPr>
          <w:p>
            <w:pPr>
              <w:jc w:val="right"/>
              <w:spacing w:after="0"/>
              <w:rPr>
                <w:sz w:val="20"/>
                <w:szCs w:val="20"/>
                <w:color w:val="auto"/>
              </w:rPr>
            </w:pPr>
            <w:r>
              <w:rPr>
                <w:rFonts w:ascii="Arial" w:cs="Arial" w:eastAsia="Arial" w:hAnsi="Arial"/>
                <w:sz w:val="18"/>
                <w:szCs w:val="18"/>
                <w:color w:val="auto"/>
              </w:rPr>
              <w:t>31,011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49,035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77,629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87,633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44,906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Earnings available for fixed charges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85,241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126,989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4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Amortization of capitalized expenses relating to</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indebtedness.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12,768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Fixed Charges before preference unit</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color w:val="auto"/>
              </w:rPr>
              <w:t>Preference unit distributions</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gridSpan w:val="3"/>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1,549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Combined Fixed Charges and preference unit</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line="277"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9"/>
                <w:szCs w:val="29"/>
                <w:b w:val="1"/>
                <w:bCs w:val="1"/>
                <w:color w:val="auto"/>
                <w:vertAlign w:val="superscript"/>
              </w:rPr>
              <w:t>(2)</w:t>
            </w:r>
          </w:p>
        </w:tc>
        <w:tc>
          <w:tcPr>
            <w:tcW w:w="74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gridSpan w:val="3"/>
            <w:vMerge w:val="continue"/>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n/m</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3.51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3.23</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9"/>
              </w:rPr>
              <w:t>Ratio of Earnings to Combined Fixed Charges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920" w:type="dxa"/>
            <w:vAlign w:val="bottom"/>
            <w:gridSpan w:val="2"/>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rPr>
              <w:t>and Preference Unit Distributions</w:t>
            </w:r>
            <w:r>
              <w:rPr>
                <w:rFonts w:ascii="Arial" w:cs="Arial" w:eastAsia="Arial" w:hAnsi="Arial"/>
                <w:sz w:val="29"/>
                <w:szCs w:val="29"/>
                <w:b w:val="1"/>
                <w:bCs w:val="1"/>
                <w:color w:val="auto"/>
                <w:vertAlign w:val="superscript"/>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n/m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Dollar Amount of the Coverage Deficiency</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1,715</w:t>
            </w:r>
          </w:p>
        </w:tc>
        <w:tc>
          <w:tcPr>
            <w:tcW w:w="1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8"/>
                <w:szCs w:val="18"/>
                <w:b w:val="1"/>
                <w:bCs w:val="1"/>
                <w:color w:val="auto"/>
                <w:w w:val="92"/>
              </w:rPr>
              <w:t>n/a</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30"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Restated so as to reflect the historical results of GAS-sixteen Ltd., GAS-seventeen Ltd., GAS-nineteen Ltd., GAS-twenty Ltd., GAS- twenty one Ltd., GAS-seven Ltd. and GAS-eleven Ltd. from their respective dates of incorporation by GasLog. See Note 1 to the audited consolidated financial statements for the year ended December 31, 2016 on our Current Report on Form 6-K filed on September 29, 2017, and Note 1 to the unaudited condensed consolidated financial statements for the three and six months ended June 30, 2016 and 2017 on Form 6-K incorporated herein by reference.</w:t>
      </w:r>
    </w:p>
    <w:p>
      <w:pPr>
        <w:spacing w:after="0" w:line="72" w:lineRule="exact"/>
        <w:rPr>
          <w:rFonts w:ascii="Arial" w:cs="Arial" w:eastAsia="Arial" w:hAnsi="Arial"/>
          <w:sz w:val="11"/>
          <w:szCs w:val="11"/>
          <w:color w:val="auto"/>
        </w:rPr>
      </w:pPr>
    </w:p>
    <w:p>
      <w:pPr>
        <w:ind w:left="1680" w:hanging="531"/>
        <w:spacing w:after="0"/>
        <w:tabs>
          <w:tab w:leader="none" w:pos="1680"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For purposes of calculating the ratios above:</w:t>
      </w:r>
    </w:p>
    <w:p>
      <w:pPr>
        <w:spacing w:after="0" w:line="200" w:lineRule="exact"/>
        <w:rPr>
          <w:rFonts w:ascii="Arial" w:cs="Arial" w:eastAsia="Arial" w:hAnsi="Arial"/>
          <w:sz w:val="22"/>
          <w:szCs w:val="22"/>
          <w:color w:val="auto"/>
          <w:vertAlign w:val="superscript"/>
        </w:rPr>
      </w:pPr>
    </w:p>
    <w:p>
      <w:pPr>
        <w:spacing w:after="0" w:line="248" w:lineRule="exact"/>
        <w:rPr>
          <w:rFonts w:ascii="Arial" w:cs="Arial" w:eastAsia="Arial" w:hAnsi="Arial"/>
          <w:sz w:val="22"/>
          <w:szCs w:val="22"/>
          <w:color w:val="auto"/>
          <w:vertAlign w:val="superscript"/>
        </w:rPr>
      </w:pPr>
    </w:p>
    <w:p>
      <w:pPr>
        <w:ind w:left="2220" w:right="360" w:hanging="531"/>
        <w:spacing w:after="0" w:line="209" w:lineRule="auto"/>
        <w:tabs>
          <w:tab w:leader="none" w:pos="2220" w:val="left"/>
        </w:tabs>
        <w:numPr>
          <w:ilvl w:val="1"/>
          <w:numId w:val="68"/>
        </w:numPr>
        <w:rPr>
          <w:rFonts w:ascii="Arial" w:cs="Arial" w:eastAsia="Arial" w:hAnsi="Arial"/>
          <w:sz w:val="18"/>
          <w:szCs w:val="18"/>
          <w:color w:val="auto"/>
        </w:rPr>
      </w:pPr>
      <w:r>
        <w:rPr>
          <w:rFonts w:ascii="Arial" w:cs="Arial" w:eastAsia="Arial" w:hAnsi="Arial"/>
          <w:sz w:val="14"/>
          <w:szCs w:val="14"/>
          <w:color w:val="auto"/>
        </w:rPr>
        <w:t>"earnings" is the result of adding (a) pre-tax (loss)/income from continuing operations (which includes non-cash unrealized gains and losses on derivative financial instruments) and (b) fixed charges;</w:t>
      </w:r>
    </w:p>
    <w:p>
      <w:pPr>
        <w:spacing w:after="0" w:line="208" w:lineRule="exact"/>
        <w:rPr>
          <w:rFonts w:ascii="Arial" w:cs="Arial" w:eastAsia="Arial" w:hAnsi="Arial"/>
          <w:sz w:val="18"/>
          <w:szCs w:val="18"/>
          <w:color w:val="auto"/>
        </w:rPr>
      </w:pPr>
    </w:p>
    <w:p>
      <w:pPr>
        <w:ind w:left="2220" w:hanging="531"/>
        <w:spacing w:after="0"/>
        <w:tabs>
          <w:tab w:leader="none" w:pos="2220" w:val="left"/>
        </w:tabs>
        <w:numPr>
          <w:ilvl w:val="1"/>
          <w:numId w:val="68"/>
        </w:numPr>
        <w:rPr>
          <w:rFonts w:ascii="Arial" w:cs="Arial" w:eastAsia="Arial" w:hAnsi="Arial"/>
          <w:sz w:val="16"/>
          <w:szCs w:val="16"/>
          <w:color w:val="auto"/>
        </w:rPr>
      </w:pPr>
      <w:r>
        <w:rPr>
          <w:rFonts w:ascii="Arial" w:cs="Arial" w:eastAsia="Arial" w:hAnsi="Arial"/>
          <w:sz w:val="13"/>
          <w:szCs w:val="13"/>
          <w:color w:val="auto"/>
        </w:rPr>
        <w:t>"fixed charges" represent (i) interest incurred (including realized loss on cash flow hedges) and (ii) amortization of capitalized expenses related to indebtedness;</w:t>
      </w:r>
    </w:p>
    <w:p>
      <w:pPr>
        <w:spacing w:after="0" w:line="205" w:lineRule="exact"/>
        <w:rPr>
          <w:rFonts w:ascii="Arial" w:cs="Arial" w:eastAsia="Arial" w:hAnsi="Arial"/>
          <w:sz w:val="16"/>
          <w:szCs w:val="16"/>
          <w:color w:val="auto"/>
        </w:rPr>
      </w:pPr>
    </w:p>
    <w:p>
      <w:pPr>
        <w:ind w:left="2220" w:hanging="531"/>
        <w:spacing w:after="0" w:line="256" w:lineRule="auto"/>
        <w:tabs>
          <w:tab w:leader="none" w:pos="2220" w:val="left"/>
        </w:tabs>
        <w:numPr>
          <w:ilvl w:val="1"/>
          <w:numId w:val="68"/>
        </w:numPr>
        <w:rPr>
          <w:rFonts w:ascii="Arial" w:cs="Arial" w:eastAsia="Arial" w:hAnsi="Arial"/>
          <w:sz w:val="15"/>
          <w:szCs w:val="15"/>
          <w:color w:val="auto"/>
        </w:rPr>
      </w:pPr>
      <w:r>
        <w:rPr>
          <w:rFonts w:ascii="Arial" w:cs="Arial" w:eastAsia="Arial" w:hAnsi="Arial"/>
          <w:sz w:val="12"/>
          <w:szCs w:val="12"/>
          <w:color w:val="auto"/>
        </w:rPr>
        <w:t>"preference unit distributions" represent the amount of pre-tax earnings that is required to pay the cash distributions on outstanding preference units and is computed as the amount of (a) the distribution divided by (b) the result of 1 minus the effective income tax rate applicable to continuing operations. We did not have any preference units outstanding during the years from 2012 to 2016, and the ratio of earnings to combined fixed charges and preference units is equivalent to the ratio of earnings to fixed charges for these years. As of June 30, 2017, we had 5,750,000 outstanding Series A Preference Units. The Series A Preference Units were issued on May 15, 2017.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Unless otherwise set forth in the applicable prospectus, we intend to use the net proceeds received from the sale of the securities we offer by this prospectus for general corporate purposes.</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CAPITALIZATION AND INDEBTEDNESS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capitalization and indebtedness will be set forth in a prospectus supplement to this prospectus or in a report on Form 6-K subsequently furnished to the SEC and specifically incorporated herein by reference.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COMMON UNITS</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 description of our Common Units can be found in our registration statement on Form 8-A (File No. 001-36433), filed with the SEC on April 30, 2014, including any amendment or report filed for the purpose of updating such description.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SERIES A PREFERENCE UNITS</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description of our Series A Preference Units can be found in our registration statement on Form 8-A (File No. 001-36433), filed with the SEC on May 15, 2017, including any amendment or report filed for the purpose of updating such description.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THE OTHER CLASSES OF UNITS</w:t>
      </w:r>
    </w:p>
    <w:p>
      <w:pPr>
        <w:spacing w:after="0" w:line="23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partnership agreement permits us to issue additional classes or series of equity interests at any time and from time to time for consideration on such terms and conditions established by our board of directors without the approval of any of our unitholders, other than the limited approval rights of the holders of the Series A Preference Units. Unless we receive the affirmative vote or consent of the holders of at least two-thirds of the outstanding Series A Preference Units, voting as a class together with holders of any other Parity Securities (as defined in the partnership agreement) (if applicable), we may not (i) issue any Parity Securities if the cumulative distributions on Series A Preference Units are in arrears or (ii) create or issue any Senior Securities (as defined in the partnership agreement). As of September 29, 2017, no classes of limited partnership interests were outstanding other than the Common Units and Series A Preference Units. Should we offer other classes of units under this prospectus, a prospectus supplement relating to the particular class or series of units offered will include the designations, preferences, rights, powers and duties of those units which shall be fixed by the board of directors, including, among other things, the following:</w:t>
      </w:r>
    </w:p>
    <w:p>
      <w:pPr>
        <w:spacing w:after="0" w:line="176"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 to share in partnership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rights upon our dissolution and liquidation;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whether, and the terms and conditions upon which, we may or shall be required to redeem the Other Units (including sinking fund provisions);</w:t>
      </w:r>
    </w:p>
    <w:p>
      <w:pPr>
        <w:spacing w:after="0" w:line="261"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the Other Units are issued with the privilege of conversion or exchange and, if so, the terms and conditions of such conversion or exchange;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terms and conditions upon which Other Units will be issued, evidenced by certificates and assigned or transferred;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method for determining the Percentage Interest (as defined in our partnership agreement) as to such Other Units; and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 if any, of each Other Unit to vote on partnership matters, including matters relating to the relative rights, preferences and privileges of such Other Units.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particular terms of any class or series of any such class of units will also be described in the amendment to our partnership agreement relating to that class or series of such class of units, which will be filed as an exhibit to or incorporated by reference in this prospectus at or before the time of issuance of any such class or series of any such class of units.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Such units will be fully paid and non-assessable (except as such non-assessability may be affected by Sections 30, 41, 51 and 60 of the Marshall Islands Limited Partnership Act) when issued upon full payment of the purchase price therefor. The transfer agent, registrar and distributions disbursement agent for the units will be designated in the applicable prospectus supplement.</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may offer debt securities. 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Units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170"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Units or other securities if specified in the applicable prospectus supplement.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170"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Specified in the Applicable Prospectus Supplement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contain, where applicable, the following terms of, and other information relating to, any offered debt securities:</w:t>
      </w:r>
    </w:p>
    <w:p>
      <w:pPr>
        <w:spacing w:after="0" w:line="262"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specific designation;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their purchase price and denomination;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currency in which the debt securities are denominated and/or in which principal, premium, if any, and/or interest, if any, is payable;</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 of maturity;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interest rate or rates or the method by which the calculation agent will determine the interest rate or rates,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interest payment dates,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place or places for payment of the principal of and any premium and/or interest on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repayment, redemption, prepayment or sinking fund provisions, including any redemption notice provisions;</w:t>
      </w:r>
    </w:p>
    <w:p>
      <w:pPr>
        <w:spacing w:after="0" w:line="238"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we will issue the debt securities in definitive form and under what terms and conditions;</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terms on which holders of the debt securities may convert or exchange these securities into or for Common Units or other securities, any specific terms relating to the adjustment of the conversion or exchange feature and the period during which the holders may make the conversion or exchange;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agents for the debt securities, including trustees, depositaries, authenticating or paying agents, transfer agents or registrars;</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material United States federal income tax or other income tax consequences, including, but not limited to:</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tax considerations applicable to any discounted debt securities or to debt securities issued at par that are treated as having been issued at a discount for United States federal income tax purposes;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tax considerations applicable to any debt securities denominated and payable in non-United States currencies;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whether certain payments on the debt securities will be guaranteed under a financial insurance guarantee policy and the terms of that guarantee;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the debt securities will be secured;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applicable selling restrictions;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Transfer of Debt Securities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Holders may present debt securities for exchange, and holders of registered debt securities may present these securities for transfer, in the manner, at the places and subject to the restrictions 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197"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208"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default is made for more than 30 days in the payment of interest, premium or principal in respect of the securities;</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fail to perform or observe any of our other obligations under the securities and this failure has continued for the period of 60 days next following the service on us of notice requiring the same to be remedied;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our bankruptcy, insolvency or reorganization under any applicable bankruptcy, insolvency or insolvency related reorganization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 up or liquidation of us; or</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the board of directors, if any, under which that series of debt securities is 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of Debt Securities Upon an Event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provides that, unless otherwise set forth in a supplemental indenture:</w:t>
      </w:r>
    </w:p>
    <w:p>
      <w:pPr>
        <w:spacing w:after="0" w:line="239" w:lineRule="exact"/>
        <w:rPr>
          <w:sz w:val="20"/>
          <w:szCs w:val="20"/>
          <w:color w:val="auto"/>
        </w:rPr>
      </w:pPr>
    </w:p>
    <w:p>
      <w:pPr>
        <w:ind w:left="1080" w:right="20" w:hanging="532"/>
        <w:spacing w:after="0" w:line="291"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0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212"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Annulment of Acceleration and Waiver of Defaults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Trustee for Actions Taken on Your Behalf</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Actions by You as an Individual Holder</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19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holder must have previously given written notice to the trustee of the continuing default;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each affected series, treated as one class, must have: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requested the trustee to institute that action;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offered the trustee indemnity satisfactory to 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must have failed to institute that action within 60 days after receipt of the request referred to above; and</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contains a covenant that we will file annually with the trustee a certificate of no default or a certificate specifying any default that exists.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the ability to eliminate most or all of our obligations on any series of debt securities prior to maturity if we comply with the following provisions:</w:t>
      </w:r>
    </w:p>
    <w:p>
      <w:pPr>
        <w:spacing w:after="0" w:line="248" w:lineRule="exact"/>
        <w:rPr>
          <w:sz w:val="20"/>
          <w:szCs w:val="20"/>
          <w:color w:val="auto"/>
        </w:rPr>
      </w:pPr>
    </w:p>
    <w:p>
      <w:pPr>
        <w:ind w:left="360"/>
        <w:spacing w:after="0"/>
        <w:tabs>
          <w:tab w:leader="none" w:pos="2260" w:val="left"/>
        </w:tabs>
        <w:rPr>
          <w:sz w:val="20"/>
          <w:szCs w:val="20"/>
          <w:color w:val="auto"/>
        </w:rPr>
      </w:pPr>
      <w:r>
        <w:rPr>
          <w:rFonts w:ascii="Arial" w:cs="Arial" w:eastAsia="Arial" w:hAnsi="Arial"/>
          <w:sz w:val="18"/>
          <w:szCs w:val="18"/>
          <w:b w:val="1"/>
          <w:bCs w:val="1"/>
          <w:i w:val="1"/>
          <w:iCs w:val="1"/>
          <w:color w:val="auto"/>
        </w:rPr>
        <w:t>Discharge of Indenture.</w:t>
      </w:r>
      <w:r>
        <w:rPr>
          <w:sz w:val="20"/>
          <w:szCs w:val="20"/>
          <w:color w:val="auto"/>
        </w:rPr>
        <w:tab/>
      </w:r>
      <w:r>
        <w:rPr>
          <w:rFonts w:ascii="Arial" w:cs="Arial" w:eastAsia="Arial" w:hAnsi="Arial"/>
          <w:sz w:val="15"/>
          <w:szCs w:val="15"/>
          <w:color w:val="auto"/>
        </w:rPr>
        <w:t>We may discharge all of our obligations, other than as to transfers and exchanges, under the indenture after we have:</w:t>
      </w:r>
    </w:p>
    <w:p>
      <w:pPr>
        <w:spacing w:after="0" w:line="23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paid or caused to be paid the principal of and interest on all of the outstanding debt securities in accordance with their terms;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delivered to the trustee for cancellation all of the outstanding debt securities; or</w:t>
      </w:r>
    </w:p>
    <w:p>
      <w:pPr>
        <w:spacing w:after="0" w:line="238"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 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Defeasance of a Series of Securities at Any Time. </w:t>
      </w:r>
      <w:r>
        <w:rPr>
          <w:rFonts w:ascii="Arial" w:cs="Arial" w:eastAsia="Arial" w:hAnsi="Arial"/>
          <w:sz w:val="18"/>
          <w:szCs w:val="18"/>
          <w:color w:val="auto"/>
        </w:rPr>
        <w:t>We may also discharge all of our obligations, other than as to transfers and exchanges, under any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Defeasance or covenant defeasance may be effected only if, among other things:</w:t>
      </w:r>
    </w:p>
    <w:p>
      <w:pPr>
        <w:spacing w:after="0" w:line="239" w:lineRule="exact"/>
        <w:rPr>
          <w:sz w:val="20"/>
          <w:szCs w:val="20"/>
          <w:color w:val="auto"/>
        </w:rPr>
      </w:pPr>
    </w:p>
    <w:p>
      <w:pPr>
        <w:ind w:left="1080" w:right="300" w:hanging="532"/>
        <w:spacing w:after="0" w:line="306"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irrevocably deposit with the trustee cash or, in the case of debt securities payable only in U.S.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deliver to the trustee an opinion of counsel to the effect that:</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holders of the series of debt securities being defeased will not recognize income, gain or loss for United States federal income tax purposes as a result of the defeasance or covenant defeasance;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defeasance or covenant defeasance will not otherwise alter those holders' United States federal income tax treatment of principal and interest payments on the series of debt securities being defeased; and</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Modification without Consent of Holders. </w:t>
      </w:r>
      <w:r>
        <w:rPr>
          <w:rFonts w:ascii="Arial" w:cs="Arial" w:eastAsia="Arial" w:hAnsi="Arial"/>
          <w:sz w:val="18"/>
          <w:szCs w:val="18"/>
          <w:color w:val="auto"/>
        </w:rPr>
        <w:t>We and the trustee may enter into supplemental indentures without the consent of the holders of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under the indenture to:</w:t>
      </w:r>
    </w:p>
    <w:p>
      <w:pPr>
        <w:spacing w:after="0" w:line="19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cure any ambiguity or correct any inconsistency;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evidence the acceptance of appointment by a successor trustee; or</w:t>
      </w:r>
    </w:p>
    <w:p>
      <w:pPr>
        <w:spacing w:after="0" w:line="252" w:lineRule="exact"/>
        <w:rPr>
          <w:rFonts w:ascii="Arial" w:cs="Arial" w:eastAsia="Arial" w:hAnsi="Arial"/>
          <w:sz w:val="18"/>
          <w:szCs w:val="18"/>
          <w:color w:val="auto"/>
        </w:rPr>
      </w:pPr>
    </w:p>
    <w:p>
      <w:pPr>
        <w:ind w:left="1080" w:right="120" w:hanging="532"/>
        <w:spacing w:after="0" w:line="370" w:lineRule="auto"/>
        <w:tabs>
          <w:tab w:leader="none" w:pos="10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11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Modification with Consent of Holders. </w:t>
      </w:r>
      <w:r>
        <w:rPr>
          <w:rFonts w:ascii="Arial" w:cs="Arial" w:eastAsia="Arial" w:hAnsi="Arial"/>
          <w:sz w:val="16"/>
          <w:szCs w:val="16"/>
          <w:color w:val="auto"/>
        </w:rPr>
        <w:t>We and the trustee, with the consent of the holders of not less than a majority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affected series of outstanding debt securities, voting as one class, may add any provisions to, or change in any manner or eliminate any of the provisions of, the indenture or modify in any manner the rights of the holders of those debt securities. However, we and the trustee may not make any of the following changes to any outstanding debt security without the consent of each holder that would be affected by the change:</w:t>
      </w:r>
    </w:p>
    <w:p>
      <w:pPr>
        <w:spacing w:after="0" w:line="180"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extend the final maturity of the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the principal amount;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change the currency in which the principal, including any amount of original issue discount, premium, or interest on the security is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modify or amend the provisions for conversion of any currency into another currency;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the amount of any original issue discount security payable upon acceleration or provable in bankruptcy;</w:t>
      </w:r>
    </w:p>
    <w:p>
      <w:pPr>
        <w:spacing w:after="0" w:line="238"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alter the terms on which holders of the debt securities may convert or exchange debt securities for Common Units or other securities, other than in accordance with the antidilution provisions or other similar adjustment provisions included in the terms of the debt securities;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impair the right of any holder to institute suit for the enforcement of any payment on any debt security when due;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the percentage of debt securities the consent of whose holders is required for modification of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Debt Security</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153"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registered form, where our obligation runs to the holder of the security named on the face of the security;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bearer form, where our obligation runs to the bearer of the security.</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Registered Global Securities. </w:t>
      </w:r>
      <w:r>
        <w:rPr>
          <w:rFonts w:ascii="Arial" w:cs="Arial" w:eastAsia="Arial" w:hAnsi="Arial"/>
          <w:sz w:val="18"/>
          <w:szCs w:val="18"/>
          <w:color w:val="auto"/>
        </w:rPr>
        <w:t>We may issue the debt securities in the form of one or more fully registered global securities that will be deposited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or its nominee identified in the applicable prospectus supplement and registered in the name of that depositary or nominee. In those cases, one or more registered global securities will be issued in a denomination or aggregate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177"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 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2" w:lineRule="exact"/>
        <w:rPr>
          <w:sz w:val="20"/>
          <w:szCs w:val="20"/>
          <w:color w:val="auto"/>
        </w:rPr>
      </w:pPr>
    </w:p>
    <w:p>
      <w:pPr>
        <w:jc w:val="both"/>
        <w:ind w:right="3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Bearer Global Securities. </w:t>
      </w:r>
      <w:r>
        <w:rPr>
          <w:rFonts w:ascii="Arial" w:cs="Arial" w:eastAsia="Arial" w:hAnsi="Arial"/>
          <w:sz w:val="16"/>
          <w:szCs w:val="16"/>
          <w:color w:val="auto"/>
        </w:rPr>
        <w:t>The securities may also be issued in the form of one or more bearer global securities that will be deposited with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depositary for the Euroclear System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Law to Govern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debt securities will be governed by the laws of the State of New York.</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this prospectus is being delivered:</w:t>
      </w:r>
    </w:p>
    <w:p>
      <w:pPr>
        <w:spacing w:after="0" w:line="262"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25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52"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amount of Warrants outstanding;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248"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7 of this prospectus. We urge you to read the applicable warrant certificate, the applicable warrant agreement and any applicable prospectus supplement in their entirety.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relating to any rights will describe the terms of the offered rights, including, where applicable, the following:</w:t>
      </w:r>
    </w:p>
    <w:p>
      <w:pPr>
        <w:spacing w:after="0" w:line="275"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of Rights issued to each shareholder;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 of Rights outstanding;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extent to which the Rights include an over-subscription privilege with respect to unsubscribed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material terms of any standby underwriting arrangement entered into by us in connection with the Rights offering.</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7 of this prospectus. We urge you to read the applicable rights certificate, the applicable rights agreement and any applicable prospectus supplement in their entirety.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COMBINATION UNITS</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may issue Combination Units consisting of any combination of Common Units, Series A Preference Units, Other Units, debt securities, Warrants and Rights. Each Combination Unit will be issued so that the holder of the Combination Unit is also the holder of each security included in the Combination Unit. Thus, the holder of a Combination Unit will have the rights and obligations of a holder of each included security. The unit agreement under which a Combination Unit is issued may provide that the securities included in the unit may not be held or transferred separately, at any time, or at any time before a specified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applicable prospectus supplement relating to any series of units will describe the terms of the Combination Units, including, where applicable, the following:</w:t>
      </w:r>
    </w:p>
    <w:p>
      <w:pPr>
        <w:spacing w:after="0" w:line="199" w:lineRule="exact"/>
        <w:rPr>
          <w:sz w:val="20"/>
          <w:szCs w:val="20"/>
          <w:color w:val="auto"/>
        </w:rPr>
      </w:pPr>
    </w:p>
    <w:p>
      <w:pPr>
        <w:ind w:left="1080" w:right="26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designation and terms of the Combination Units and of the securities comprising the Combination Units, including whether and under what circumstances those securities may be held or transferred separately;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provisions of the governing unit agreement; and</w:t>
      </w:r>
    </w:p>
    <w:p>
      <w:pPr>
        <w:spacing w:after="0" w:line="238"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Combination Units or of the securities comprising the Combination Units.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description in the applicable prospectus supplement of any Combination Units we offer will not necessarily be complete and will be qualified in its entirety by reference to the applicable unit certificate or unit agreement, which will be filed with the SEC if we offer Combination Units. For more information on how you can obtain copies of any unit certificate or unit agreement if we offer Combination Units, see "Where You Can Find Additional Information" beginning on page 7 of this prospectus. We urge you to read the applicable unit certificate, the applicable unit agreement and any applicable prospectus supplement in their entirety.</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is a summary of the material provisions of our partnership agreement, which is qualified in its entirety by the terms and conditions of the partnership agreement, which is incorporated herein by reference. This summary should be read together with any subsequent amendments of the partnership agreement or reports filed for the purpose of updating the description of the important provisions of our partnership agreement and the rights and privileges of our unitholders. Please read "Where You Can Find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organized on January 23, 2014 and have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Marshall Islands Act.</w:t>
      </w:r>
    </w:p>
    <w:p>
      <w:pPr>
        <w:spacing w:after="0" w:line="186"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31"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Our partnership agreement specifies the manner in which we will make cash distributions to holders of our Common Units and other partnership interests, including to the holders of Series A Preference Units, our incentive distribution rights, as well as to our general partner in respect of its general partner interest. Please see "Our Cash Distribution Policy and Restrictions on Distributions" on page 36 of this prospectus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No holder of Common Units or Series A Preference Units is obligated to make additional capital contributions, except as described below under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following is a summary of the unitholder vote required for approval of the matters specified below. Matters that require the approval of a "Unit Majority" require the approval of a majority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Common Units voting as a single class. In voting their Common Units, our general partner and its affiliates will have no fiduciary duty or obligation whatsoever to us or the limited partners, including any duty to act in good faith or in the best interests of us or the limited partners.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174"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w:t>
      </w:r>
    </w:p>
    <w:p>
      <w:pPr>
        <w:sectPr>
          <w:pgSz w:w="11900" w:h="16838" w:orient="portrait"/>
          <w:cols w:equalWidth="0" w:num="1">
            <w:col w:w="11380"/>
          </w:cols>
          <w:pgMar w:left="240" w:top="131" w:right="279" w:bottom="1440" w:gutter="0" w:footer="0" w:header="0"/>
        </w:sectPr>
      </w:pP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Action</w:t>
      </w:r>
    </w:p>
    <w:p>
      <w:pPr>
        <w:spacing w:after="0" w:line="13" w:lineRule="exact"/>
        <w:rPr>
          <w:sz w:val="20"/>
          <w:szCs w:val="20"/>
          <w:color w:val="auto"/>
        </w:rPr>
      </w:pPr>
    </w:p>
    <w:p>
      <w:pPr>
        <w:ind w:left="1320" w:hanging="179"/>
        <w:spacing w:after="0" w:line="259" w:lineRule="auto"/>
        <w:rPr>
          <w:sz w:val="20"/>
          <w:szCs w:val="20"/>
          <w:color w:val="auto"/>
        </w:rPr>
      </w:pPr>
      <w:r>
        <w:rPr>
          <w:rFonts w:ascii="Arial" w:cs="Arial" w:eastAsia="Arial" w:hAnsi="Arial"/>
          <w:sz w:val="18"/>
          <w:szCs w:val="18"/>
          <w:color w:val="auto"/>
        </w:rPr>
        <w:t>Issuance of additional Common Units or other limited partner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Amendment of the partnership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20" w:hanging="179"/>
        <w:spacing w:after="0" w:line="268"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Dissolution of our partnership</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Reconstitution of our partnership upon dissolution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0</wp:posOffset>
            </wp:positionV>
            <wp:extent cx="27787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Subject to the following paragraph with respect to the</w:t>
      </w:r>
    </w:p>
    <w:p>
      <w:pPr>
        <w:spacing w:after="0" w:line="8" w:lineRule="exact"/>
        <w:rPr>
          <w:sz w:val="20"/>
          <w:szCs w:val="20"/>
          <w:color w:val="auto"/>
        </w:rPr>
      </w:pPr>
    </w:p>
    <w:p>
      <w:pPr>
        <w:ind w:left="280" w:right="1140"/>
        <w:spacing w:after="0" w:line="281" w:lineRule="auto"/>
        <w:rPr>
          <w:sz w:val="20"/>
          <w:szCs w:val="20"/>
          <w:color w:val="auto"/>
        </w:rPr>
      </w:pPr>
      <w:r>
        <w:rPr>
          <w:rFonts w:ascii="Arial" w:cs="Arial" w:eastAsia="Arial" w:hAnsi="Arial"/>
          <w:sz w:val="16"/>
          <w:szCs w:val="16"/>
          <w:color w:val="auto"/>
        </w:rPr>
        <w:t>Series A Preference Units, no approval rights; general partner approval required for all issuances not reasonably expected to be accretive within twelve months of issuance or which would otherwise have a material adverse impact on the general partner or its interest in our partnership.</w:t>
      </w:r>
    </w:p>
    <w:p>
      <w:pPr>
        <w:spacing w:after="0" w:line="3" w:lineRule="exact"/>
        <w:rPr>
          <w:sz w:val="20"/>
          <w:szCs w:val="20"/>
          <w:color w:val="auto"/>
        </w:rPr>
      </w:pPr>
    </w:p>
    <w:p>
      <w:pPr>
        <w:ind w:left="280" w:right="1260"/>
        <w:spacing w:after="0" w:line="300" w:lineRule="auto"/>
        <w:rPr>
          <w:sz w:val="20"/>
          <w:szCs w:val="20"/>
          <w:color w:val="auto"/>
        </w:rPr>
      </w:pPr>
      <w:r>
        <w:rPr>
          <w:rFonts w:ascii="Arial" w:cs="Arial" w:eastAsia="Arial" w:hAnsi="Arial"/>
          <w:sz w:val="15"/>
          <w:szCs w:val="15"/>
          <w:color w:val="auto"/>
        </w:rPr>
        <w:t>Certain amendments may be made by our board of directors without the approval of the unitholders. Other amendments generally require the approval of a Unit Majority. See "— Amendment of the Partnership Agreement".</w:t>
      </w:r>
    </w:p>
    <w:p>
      <w:pPr>
        <w:spacing w:after="0" w:line="2" w:lineRule="exact"/>
        <w:rPr>
          <w:sz w:val="20"/>
          <w:szCs w:val="20"/>
          <w:color w:val="auto"/>
        </w:rPr>
      </w:pPr>
    </w:p>
    <w:p>
      <w:pPr>
        <w:ind w:left="280" w:right="1160"/>
        <w:spacing w:after="0" w:line="250" w:lineRule="auto"/>
        <w:rPr>
          <w:sz w:val="20"/>
          <w:szCs w:val="20"/>
          <w:color w:val="auto"/>
        </w:rPr>
      </w:pPr>
      <w:r>
        <w:rPr>
          <w:rFonts w:ascii="Arial" w:cs="Arial" w:eastAsia="Arial" w:hAnsi="Arial"/>
          <w:sz w:val="18"/>
          <w:szCs w:val="18"/>
          <w:color w:val="auto"/>
        </w:rPr>
        <w:t>Unit Majority and approval of our general partner and our board of directors. See "—Merger, Sale, Conversion or Other Disposition of Assets".</w:t>
      </w:r>
    </w:p>
    <w:p>
      <w:pPr>
        <w:spacing w:after="0" w:line="1" w:lineRule="exact"/>
        <w:rPr>
          <w:sz w:val="20"/>
          <w:szCs w:val="20"/>
          <w:color w:val="auto"/>
        </w:rPr>
      </w:pPr>
    </w:p>
    <w:p>
      <w:pPr>
        <w:jc w:val="both"/>
        <w:ind w:left="280" w:right="1400"/>
        <w:spacing w:after="0" w:line="302" w:lineRule="auto"/>
        <w:rPr>
          <w:sz w:val="20"/>
          <w:szCs w:val="20"/>
          <w:color w:val="auto"/>
        </w:rPr>
      </w:pPr>
      <w:r>
        <w:rPr>
          <w:rFonts w:ascii="Arial" w:cs="Arial" w:eastAsia="Arial" w:hAnsi="Arial"/>
          <w:sz w:val="16"/>
          <w:szCs w:val="16"/>
          <w:color w:val="auto"/>
        </w:rPr>
        <w:t>Unit Majority and approval of our general partner and our board of directors. See "—Termination and Dissolution". Unit Majority. See "—Termination and Dissolution".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80" w:space="140"/>
            <w:col w:w="5760"/>
          </w:cols>
          <w:pgMar w:left="240" w:top="131" w:right="27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Action</w:t>
            </w:r>
          </w:p>
        </w:tc>
        <w:tc>
          <w:tcPr>
            <w:tcW w:w="500" w:type="dxa"/>
            <w:vAlign w:val="bottom"/>
          </w:tcPr>
          <w:p>
            <w:pPr>
              <w:spacing w:after="0"/>
              <w:rPr>
                <w:sz w:val="14"/>
                <w:szCs w:val="14"/>
                <w:color w:val="auto"/>
              </w:rPr>
            </w:pPr>
          </w:p>
        </w:tc>
        <w:tc>
          <w:tcPr>
            <w:tcW w:w="4380" w:type="dxa"/>
            <w:vAlign w:val="bottom"/>
          </w:tcPr>
          <w:p>
            <w:pPr>
              <w:ind w:left="760"/>
              <w:spacing w:after="0"/>
              <w:rPr>
                <w:sz w:val="20"/>
                <w:szCs w:val="20"/>
                <w:color w:val="auto"/>
              </w:rPr>
            </w:pPr>
            <w:r>
              <w:rPr>
                <w:rFonts w:ascii="Arial" w:cs="Arial" w:eastAsia="Arial" w:hAnsi="Arial"/>
                <w:sz w:val="14"/>
                <w:szCs w:val="14"/>
                <w:b w:val="1"/>
                <w:bCs w:val="1"/>
                <w:color w:val="auto"/>
              </w:rPr>
              <w:t>Unitholder Approval Required and Voting 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Withdrawal of our general partner</w:t>
            </w:r>
          </w:p>
        </w:tc>
        <w:tc>
          <w:tcPr>
            <w:tcW w:w="500" w:type="dxa"/>
            <w:vAlign w:val="bottom"/>
            <w:vMerge w:val="continue"/>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w w:val="91"/>
              </w:rPr>
              <w:t>Under most circumstances, the approval of a majority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Common Units, excluding Common Units held by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general partner and its affiliates, is required 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withdrawal of our general partner prior to March 31, 2024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a manner that would cause a dissolution of our partnership.</w:t>
            </w:r>
          </w:p>
        </w:tc>
        <w:tc>
          <w:tcPr>
            <w:tcW w:w="0" w:type="dxa"/>
            <w:vAlign w:val="bottom"/>
          </w:tcPr>
          <w:p>
            <w:pPr>
              <w:spacing w:after="0"/>
              <w:rPr>
                <w:sz w:val="1"/>
                <w:szCs w:val="1"/>
                <w:color w:val="auto"/>
              </w:rPr>
            </w:pPr>
          </w:p>
        </w:tc>
      </w:tr>
      <w:tr>
        <w:trPr>
          <w:trHeight w:val="217"/>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Removal of our general partner</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See "—Withdrawal or Removal of our General Partner".</w:t>
            </w:r>
          </w:p>
        </w:tc>
        <w:tc>
          <w:tcPr>
            <w:tcW w:w="0" w:type="dxa"/>
            <w:vAlign w:val="bottom"/>
          </w:tcPr>
          <w:p>
            <w:pPr>
              <w:spacing w:after="0"/>
              <w:rPr>
                <w:sz w:val="1"/>
                <w:szCs w:val="1"/>
                <w:color w:val="auto"/>
              </w:rPr>
            </w:pPr>
          </w:p>
        </w:tc>
      </w:tr>
      <w:tr>
        <w:trPr>
          <w:trHeight w:val="255"/>
        </w:trPr>
        <w:tc>
          <w:tcPr>
            <w:tcW w:w="4260" w:type="dxa"/>
            <w:vAlign w:val="bottom"/>
            <w:gridSpan w:val="3"/>
            <w:vMerge w:val="continue"/>
          </w:tcPr>
          <w:p>
            <w:pPr>
              <w:spacing w:after="0"/>
              <w:rPr>
                <w:sz w:val="22"/>
                <w:szCs w:val="22"/>
                <w:color w:val="auto"/>
              </w:rPr>
            </w:pPr>
          </w:p>
        </w:tc>
        <w:tc>
          <w:tcPr>
            <w:tcW w:w="4880" w:type="dxa"/>
            <w:vAlign w:val="bottom"/>
            <w:gridSpan w:val="2"/>
          </w:tcPr>
          <w:p>
            <w:pPr>
              <w:ind w:left="500"/>
              <w:spacing w:after="0" w:line="255" w:lineRule="exact"/>
              <w:rPr>
                <w:sz w:val="20"/>
                <w:szCs w:val="20"/>
                <w:color w:val="auto"/>
              </w:rPr>
            </w:pPr>
            <w:r>
              <w:rPr>
                <w:rFonts w:ascii="Arial" w:cs="Arial" w:eastAsia="Arial" w:hAnsi="Arial"/>
                <w:sz w:val="18"/>
                <w:szCs w:val="18"/>
                <w:color w:val="auto"/>
                <w:w w:val="98"/>
              </w:rPr>
              <w:t>Not less than 66</w:t>
            </w:r>
            <w:r>
              <w:rPr>
                <w:rFonts w:ascii="Arial" w:cs="Arial" w:eastAsia="Arial" w:hAnsi="Arial"/>
                <w:sz w:val="29"/>
                <w:szCs w:val="29"/>
                <w:color w:val="auto"/>
                <w:w w:val="98"/>
                <w:vertAlign w:val="superscript"/>
              </w:rPr>
              <w:t>2</w:t>
            </w:r>
            <w:r>
              <w:rPr>
                <w:rFonts w:ascii="Arial" w:cs="Arial" w:eastAsia="Arial" w:hAnsi="Arial"/>
                <w:sz w:val="18"/>
                <w:szCs w:val="18"/>
                <w:color w:val="auto"/>
                <w:w w:val="98"/>
              </w:rPr>
              <w:t>/</w:t>
            </w:r>
            <w:r>
              <w:rPr>
                <w:rFonts w:ascii="Arial" w:cs="Arial" w:eastAsia="Arial" w:hAnsi="Arial"/>
                <w:sz w:val="14"/>
                <w:szCs w:val="14"/>
                <w:color w:val="auto"/>
                <w:w w:val="98"/>
              </w:rPr>
              <w:t>3</w:t>
            </w:r>
            <w:r>
              <w:rPr>
                <w:rFonts w:ascii="Arial" w:cs="Arial" w:eastAsia="Arial" w:hAnsi="Arial"/>
                <w:sz w:val="18"/>
                <w:szCs w:val="18"/>
                <w:color w:val="auto"/>
                <w:w w:val="98"/>
              </w:rPr>
              <w:t>% of the outstanding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9"/>
              </w:rPr>
              <w:t>voting together as a single class. See "—Withdrawal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Removal of our General Partner".</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Transfer of our general partner interest in us</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1"/>
              </w:rPr>
              <w:t>Our general partner may transfer all, but not less than all,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its general partner interest in us without a vote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common unitholders or other limited partners to an affiliate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another person in connection with its merger or consolidation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3"/>
              </w:rPr>
              <w:t>with or into, or sale of all or substantially all of its assets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such person. The approval of a majority of the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Units, excluding Common Units held by our general partner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and its affiliates, is required in other circumstances for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0"/>
              </w:rPr>
              <w:t>transfer of the general partner interest to a third party prior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March 31, 2024. See "—Transfer of General Partner Interest".</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Transfer of incentive distribution rights</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Except for transfers to an affiliate or another person as part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a merger or consolidation with or into, or sale of all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substantially all of the assets to, such person, the approval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4"/>
              </w:rPr>
              <w:t>a majority of the Common Units, excluding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held by our general partner and its affiliates, voting separately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0"/>
              </w:rPr>
              <w:t>as a class, is required in most circumstances for a transfer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the incentive distribution rights to a third party prior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5"/>
              </w:rPr>
              <w:t>March 31, 2019. See "—Transfer of Incentive Distribution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Rights".</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w w:val="99"/>
              </w:rPr>
              <w:t>Transfer of ownership interests in our general partner</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No approval required at any time. See "—Transfer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Ownership Interests in General Partner".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Holders of the Series A Preference Units generally have no voting rights. However, the consent of the holders of at least two-thirds of the outstanding Series A Preference Units, voting as a single class, is required prior to any amendment to the partnership agreement that would have a material adverse effect on the existing terms of the Series A Preference Units. In addition, unless we receive the affirmative vote or consent of the holders of at least two-thirds of the outstanding Series A Preference Units, voting as a class together with holders of any other Parity Securities (as defined in the partnership agreement) (if applicable), we may not (i) issue any Parity Securities if the cumulative distributions on Series A Preference Units are in arrears or (ii) create or issue any Senior Securities (as defined in the partnership agreement). Distributions payable on the Series A Preference Units will be considered to be in arrears for any quarterly period for which full cumulative distributions through the most recent distribution payment date have not been paid on all outstanding Series A Preference Units. In addition, in certain limited instances, the holders of Series A Preference Units will be entitled to</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elect one director to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Marshall Islands law. Our partnership agreement requires that any claims, suits, actions or proceedings:</w:t>
      </w:r>
    </w:p>
    <w:p>
      <w:pPr>
        <w:spacing w:after="0" w:line="262" w:lineRule="exact"/>
        <w:rPr>
          <w:sz w:val="20"/>
          <w:szCs w:val="20"/>
          <w:color w:val="auto"/>
        </w:rPr>
      </w:pPr>
    </w:p>
    <w:p>
      <w:pPr>
        <w:ind w:left="1080" w:right="140" w:hanging="532"/>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limited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Marshall Islands Act;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Common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Common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jc w:val="both"/>
        <w:ind w:right="10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pacing w:after="0" w:line="211"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elect three (or, following the general partner's exercise of its right to transfer the power to elect a majority of our directors to the common unitholders, four) of our seven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Preference Units.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intend to fund acquisitions through borrowings and the issuance of additional Common Units or other equity securities and the issuance of debt securities. Holders of any additional Series A Preference Units we issue will be entitled to share equally with the then- existing holders of Series A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or Series A Preference Units in our net assets and such securities may have priority over Common Units or Series A Preference Units for receipt of distributions.</w:t>
      </w:r>
    </w:p>
    <w:p>
      <w:pPr>
        <w:spacing w:after="0" w:line="170" w:lineRule="exact"/>
        <w:rPr>
          <w:sz w:val="20"/>
          <w:szCs w:val="20"/>
          <w:color w:val="auto"/>
        </w:rPr>
      </w:pPr>
    </w:p>
    <w:p>
      <w:pPr>
        <w:ind w:right="700" w:firstLine="351"/>
        <w:spacing w:after="0" w:line="370" w:lineRule="auto"/>
        <w:rPr>
          <w:sz w:val="20"/>
          <w:szCs w:val="20"/>
          <w:color w:val="auto"/>
        </w:rPr>
      </w:pPr>
      <w:r>
        <w:rPr>
          <w:rFonts w:ascii="Arial" w:cs="Arial" w:eastAsia="Arial" w:hAnsi="Arial"/>
          <w:sz w:val="15"/>
          <w:szCs w:val="15"/>
          <w:color w:val="auto"/>
        </w:rPr>
        <w:t>In accordance with Marshall Islands law and the provisions of our partnership agreement, we may also issue additional partnership interests that, as determined by our board of directors, have special voting or other rights to which the Common Units or the Series A Preference Units are not entitled.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A Preference Units. Our general partner and its affiliates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that existed immediately prior to each issuance. Other holders of Common Units will not have similar pre-emptive rights to acquire additional Common Units or other partnership interests.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Series A Preference Units must approve certain amendments as described under "—Voting Rights." Except as we describe below, an amendment must be approved by a Unit Majority.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3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approved by at least a majority of the type or class of limited partner interests so affected;</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21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(5) above can be amended upon the approval of the holders of at least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90% of the outstanding units voting together as a single class (including units owned by our general partner and its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generally make amendments to our partnership agreement without the approval of any limited partner to reflect:</w:t>
      </w:r>
    </w:p>
    <w:p>
      <w:pPr>
        <w:spacing w:after="0" w:line="262"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38" w:lineRule="exact"/>
        <w:rPr>
          <w:rFonts w:ascii="Arial" w:cs="Arial" w:eastAsia="Arial" w:hAnsi="Arial"/>
          <w:sz w:val="18"/>
          <w:szCs w:val="18"/>
          <w:color w:val="auto"/>
        </w:rPr>
      </w:pPr>
    </w:p>
    <w:p>
      <w:pPr>
        <w:ind w:left="1080" w:right="600" w:hanging="532"/>
        <w:spacing w:after="0" w:line="332"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2" w:lineRule="exact"/>
        <w:rPr>
          <w:rFonts w:ascii="Arial" w:cs="Arial" w:eastAsia="Arial" w:hAnsi="Arial"/>
          <w:sz w:val="16"/>
          <w:szCs w:val="16"/>
          <w:color w:val="auto"/>
        </w:rPr>
      </w:pPr>
    </w:p>
    <w:p>
      <w:pPr>
        <w:ind w:left="1080" w:right="440" w:hanging="532"/>
        <w:spacing w:after="0" w:line="298"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193"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adjustments of the minimum quarterly distribution, first target distribution, second target distribution and third target distribution in connection with the reset of our incentive distribution rights;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implementation of the provisions relating to GasLog's right to reset the incentive distribution rights in exchange for Common Units;</w:t>
      </w:r>
    </w:p>
    <w:p>
      <w:pPr>
        <w:spacing w:after="0" w:line="275" w:lineRule="exact"/>
        <w:rPr>
          <w:rFonts w:ascii="Arial" w:cs="Arial" w:eastAsia="Arial" w:hAnsi="Arial"/>
          <w:sz w:val="16"/>
          <w:szCs w:val="16"/>
          <w:color w:val="auto"/>
        </w:rPr>
      </w:pPr>
    </w:p>
    <w:p>
      <w:pPr>
        <w:ind w:left="1620" w:right="60" w:hanging="532"/>
        <w:spacing w:after="0" w:line="259" w:lineRule="auto"/>
        <w:tabs>
          <w:tab w:leader="none" w:pos="1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the partnership agreement;</w:t>
      </w:r>
    </w:p>
    <w:p>
      <w:pPr>
        <w:spacing w:after="0" w:line="286" w:lineRule="exact"/>
        <w:rPr>
          <w:rFonts w:ascii="Arial" w:cs="Arial" w:eastAsia="Arial" w:hAnsi="Arial"/>
          <w:sz w:val="15"/>
          <w:szCs w:val="15"/>
          <w:color w:val="auto"/>
        </w:rPr>
      </w:pPr>
    </w:p>
    <w:p>
      <w:pPr>
        <w:ind w:left="1080" w:right="66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or our general partner (subject to the limited approval rights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Series A Preference Units and the holders of other Parity Securities (if applicable)) if our board of directors determines that those amendments:</w:t>
      </w:r>
    </w:p>
    <w:p>
      <w:pPr>
        <w:spacing w:after="0" w:line="262"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do not adversely affect the rights of our limited partners (or any particular class of limited partners) or our general partner in any material respect;</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authority or statute;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21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Limited Partner Approval</w:t>
      </w:r>
    </w:p>
    <w:p>
      <w:pPr>
        <w:spacing w:after="0" w:line="225" w:lineRule="exact"/>
        <w:rPr>
          <w:sz w:val="20"/>
          <w:szCs w:val="20"/>
          <w:color w:val="auto"/>
        </w:rPr>
      </w:pPr>
    </w:p>
    <w:p>
      <w:pPr>
        <w:ind w:right="160" w:firstLine="351"/>
        <w:spacing w:after="0" w:line="323" w:lineRule="auto"/>
        <w:rPr>
          <w:sz w:val="20"/>
          <w:szCs w:val="20"/>
          <w:color w:val="auto"/>
        </w:rPr>
      </w:pPr>
      <w:r>
        <w:rPr>
          <w:rFonts w:ascii="Arial" w:cs="Arial" w:eastAsia="Arial" w:hAnsi="Arial"/>
          <w:sz w:val="15"/>
          <w:szCs w:val="15"/>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15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to the above restrictions, any amendment that would have a material adverse effect on the rights or privileges of any type or class or series of outstanding of limited partner interests (other than Series A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will require the approval of at least two-thirds of the outstanding Series A Preference Units.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Conversion or Other Disposition of Assets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and a Unit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election of our general partner and our board of directors to dissolve us, if approved by the holders of units representing a Unit Majority;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any time there are no limited partners, unless we continue without dissolution in accordance with the Marshall Islands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194"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liquidator may defer liquidation or distribution of our assets for a reasonable period or distribute assets to partners in kind if it determines that a sale would be impractical or would cause undue loss to our partners. In the event of any liquidation, dissolution or winding up of our affairs, whether voluntary or involuntary, holders of the Series A Preference Units will generally have the right to receive the liquidation preference of $25.00 per unit plus an amount equal to all accumulated and unpaid distributions thereon to the date of payment, whether or not declared, before any payments are made to holders of our Common Units or general partner units. A consolidation or merger of us with or into any other entity, individually or in a series of transactions, will not be deemed to be a liquidation, dissolution or winding up of our affairs.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some instances to sell or otherwise transfer all of its general partner interest in us without the approval of the unitholders. See "—Transfer of General Partner Interest" and "—Transfer of Incentive Distribution Rights".</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voting as separate classes,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198" w:lineRule="exact"/>
        <w:rPr>
          <w:sz w:val="20"/>
          <w:szCs w:val="20"/>
          <w:color w:val="auto"/>
        </w:rPr>
      </w:pPr>
    </w:p>
    <w:p>
      <w:pPr>
        <w:ind w:right="420" w:firstLine="351"/>
        <w:spacing w:after="0" w:line="255" w:lineRule="auto"/>
        <w:rPr>
          <w:sz w:val="20"/>
          <w:szCs w:val="20"/>
          <w:color w:val="auto"/>
        </w:rPr>
      </w:pPr>
      <w:r>
        <w:rPr>
          <w:rFonts w:ascii="Arial" w:cs="Arial" w:eastAsia="Arial" w:hAnsi="Arial"/>
          <w:sz w:val="15"/>
          <w:szCs w:val="15"/>
          <w:color w:val="auto"/>
        </w:rPr>
        <w:t>Our general partner may not be removed unless that removal is approved by the vote of the holders of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outstanding Common Units, including units held by our general partner and its affiliates, voting together as a single class, and we receive an opinion of counsel regarding limited</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liability. The ownership of more than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w:t>
      </w:r>
    </w:p>
    <w:p>
      <w:pPr>
        <w:spacing w:after="0" w:line="20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72"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142"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for the transfer by our general partner of all, but not less than all, of its general partner interest in us to:</w:t>
      </w:r>
    </w:p>
    <w:p>
      <w:pPr>
        <w:spacing w:after="0" w:line="23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23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 and Series A Preference Units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By transfer of Common Units or Series A Preference Units in accordance with the partnership agreement, each transferee of Common Units or Series A Preference Units automatically is admitted as a limited partner with respect to the Common Units or Series A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211"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 that the transferee has the capacity, power and authority to become bound by the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agree to be bound by the terms and conditions of, and to have executed,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grants power of attorney to officers of our general partner and any liquidator of us as specified in the partnership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give the consents and approvals contained in the partnership agreement.</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are entitled to treat the nominee holder of a Common Unit or a Series A Preference Unit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Common Units and Series A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Until a Common Unit or a Series A Preference Unit has been transferred on our books, we and our transfer agent may treat the record holder of the unit as the absolute owner of such unit for all purposes, except as otherwise required by law or stock exchange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partnership agreement contains specific provisions that are intended to discourage a person or group from attempting to remove GasLog</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16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our general partner will have the right to convert its general partner interest into Common Units or to receive cash in exchange for that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at any time our general partner and its affiliates hold more than 80% of the then-issued and outstanding partnership interests of any class or series, except for the Series A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Common Units to be repurchased by it upon the exercise of this limited call right and has no fiduciary duty in determining whether to exercise this limited call right.</w:t>
      </w:r>
    </w:p>
    <w:p>
      <w:pPr>
        <w:spacing w:after="0" w:line="172" w:lineRule="exact"/>
        <w:rPr>
          <w:sz w:val="20"/>
          <w:szCs w:val="20"/>
          <w:color w:val="auto"/>
        </w:rPr>
      </w:pPr>
    </w:p>
    <w:p>
      <w:pPr>
        <w:jc w:val="both"/>
        <w:ind w:right="340" w:firstLine="341"/>
        <w:spacing w:after="0" w:line="259" w:lineRule="auto"/>
        <w:rPr>
          <w:sz w:val="20"/>
          <w:szCs w:val="20"/>
          <w:color w:val="auto"/>
        </w:rPr>
      </w:pPr>
      <w:r>
        <w:rPr>
          <w:rFonts w:ascii="Arial" w:cs="Arial" w:eastAsia="Arial" w:hAnsi="Arial"/>
          <w:sz w:val="18"/>
          <w:szCs w:val="18"/>
          <w:color w:val="auto"/>
        </w:rPr>
        <w:t>As a result of the general partner's right to purchase outstanding partnership interests, a holder of partnership interests may have the holder's partnership interests (except for the Series A Preference Units) purchased at an undesirable time or price. The tax consequences to a unitholder of the exercise of this call right are the same as a sale by that unitholder of Common Units in the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As of September 29, 2017, our board of directors is comprised of seven persons. Our general partner has appointed four of our seven directors and the common unitholders elected the remaining three directors. Four of our directors meet the independence standards of the NYSE, and three of the four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Under certain limited circumstances, holders of our Series A Preference Units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19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212"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238"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board members.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 entitled to vote on such matter, although additional limited partners interests having special voting rights could be issued. Holders of the Series A Preference Units generally have no voting rights. However, holders of the Series A Preference Units have limited voting rights as described under "—Voting Rights".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194"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We hold a meeting of the limited partners every year to elect one or more members of our board of directors and to vote on any other matters that are properly brought before the meeting. Any action 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w:t>
      </w:r>
    </w:p>
    <w:p>
      <w:pPr>
        <w:spacing w:after="0" w:line="2"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person or by proxy at meetings. The holders of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210"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Series A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178"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Common Units or Series A Preference Units under the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Except as described above under "—Limited Liability", the Common Units and Series A Preference Units will be fully paid, and unitholders will not be required to make additional contributions. By transfer of Common Units or Series A Preference Units in accordance with our partnership agreement, each transferee of units will be admitted as a limited partner with respect to the units transferred when such transfer and admission is reflected in our books and records.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person who is or was an officer, director, member, fiduciary or trustee of any entity described in (1), (2) or (3) above;</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fiduciary or trustee of another person at the request of our board of directors, our general partner or any departing general partner;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166"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and related amendments;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CASH DISTRIBUTION POLICY AND RESTRICTIONS ON DISTRIBUTIONS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Our cash distribution policy reflects a judgment that our unitholders will be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22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There is no guarantee that unitholders will receive quarterly distributions from us. Our distribution policy is subject to certain restrictions and may be changed at any time, including:</w:t>
      </w:r>
    </w:p>
    <w:p>
      <w:pPr>
        <w:spacing w:after="0" w:line="199" w:lineRule="exact"/>
        <w:rPr>
          <w:sz w:val="20"/>
          <w:szCs w:val="20"/>
          <w:color w:val="auto"/>
        </w:rPr>
      </w:pPr>
    </w:p>
    <w:p>
      <w:pPr>
        <w:jc w:val="both"/>
        <w:ind w:left="1080" w:right="44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221"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will be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w:t>
      </w:r>
    </w:p>
    <w:p>
      <w:pPr>
        <w:spacing w:after="0" w:line="210" w:lineRule="exact"/>
        <w:rPr>
          <w:rFonts w:ascii="Arial" w:cs="Arial" w:eastAsia="Arial" w:hAnsi="Arial"/>
          <w:sz w:val="18"/>
          <w:szCs w:val="18"/>
          <w:color w:val="auto"/>
        </w:rPr>
      </w:pPr>
    </w:p>
    <w:p>
      <w:pPr>
        <w:ind w:left="1080" w:right="60" w:hanging="532"/>
        <w:spacing w:after="0" w:line="291"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unitholders.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w:t>
      </w:r>
    </w:p>
    <w:p>
      <w:pPr>
        <w:spacing w:after="0" w:line="187" w:lineRule="exact"/>
        <w:rPr>
          <w:rFonts w:ascii="Arial" w:cs="Arial" w:eastAsia="Arial" w:hAnsi="Arial"/>
          <w:sz w:val="16"/>
          <w:szCs w:val="16"/>
          <w:color w:val="auto"/>
        </w:rPr>
      </w:pPr>
    </w:p>
    <w:p>
      <w:pPr>
        <w:jc w:val="both"/>
        <w:ind w:left="1080" w:right="16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owns approximately 26.1% of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Common Units and indirectly 2.0% of our general partnership units outstanding as of September 29, 2017.</w:t>
      </w:r>
    </w:p>
    <w:p>
      <w:pPr>
        <w:spacing w:after="0" w:line="239" w:lineRule="exact"/>
        <w:rPr>
          <w:sz w:val="20"/>
          <w:szCs w:val="20"/>
          <w:color w:val="auto"/>
        </w:rPr>
      </w:pPr>
    </w:p>
    <w:p>
      <w:pPr>
        <w:ind w:left="1080" w:right="440" w:hanging="532"/>
        <w:spacing w:after="0" w:line="332"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Under Section 51 of the Marshall Islands Act, we may not make a distribution to you if the distribution would cause our liabilities to exceed the fair value of our assets.</w:t>
      </w:r>
    </w:p>
    <w:p>
      <w:pPr>
        <w:spacing w:after="0" w:line="199" w:lineRule="exact"/>
        <w:rPr>
          <w:rFonts w:ascii="Arial" w:cs="Arial" w:eastAsia="Arial" w:hAnsi="Arial"/>
          <w:sz w:val="18"/>
          <w:szCs w:val="18"/>
          <w:color w:val="auto"/>
        </w:rPr>
      </w:pPr>
    </w:p>
    <w:p>
      <w:pPr>
        <w:ind w:left="1080" w:right="40" w:hanging="532"/>
        <w:spacing w:after="0" w:line="335" w:lineRule="auto"/>
        <w:tabs>
          <w:tab w:leader="none" w:pos="10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"Risk Factors" for a discussion of these factors.</w:t>
      </w:r>
    </w:p>
    <w:p>
      <w:pPr>
        <w:spacing w:after="0" w:line="14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Preference Unit Distributions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issued 5,750,000 of our Series A Preference Units on May 15, 2017. The Series A Preference Units are senior to all classes of our Common Units and general partner units. From and including May 15, 2017 to, but excluding, June 15, 2027, the distribution rate for the Series A Preference Units will be 8.625% per annum per $25.00 of liquidation preference per unit (equal to $2.15625 per annum per unit). From and including June 15, 2027, the distribution rate will be a floating rate equal to three-month LIBOR plus a spread of 6.31% per annum per $25.00 of liquidation preference per unit. Distributions on Series A Preference Units are cumulative from May 15, 2017 and will be payable on the 15th of March, June, September and December of each year, commencing on September 15, 2017, when, as and if declared by our board of directors out of legally available funds for such purpose. No distribution may be declared or paid or set apart for payment on any Common Units or general partner units unless full cumulative distributions have been or contemporaneously are being paid or provided for on all outstanding Series A Preference Units through the most recent distribution payment date. Holders of the Series A Preference Units will not be entitled to any distribution, whether payable in cash, property or units, in excess of full cumulative distributions.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Within 45 days after the end of each quarter we will distribute all of our available cash (defined below) to unitholders of record on the applicable record date, subject to distributions with respect to Series A Preference Units as described under "—Series A Preference Unit Distributions".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Available Cash</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Available cash generally means, for each fiscal quarter, all cash on hand at the end of the quarter (including our proportionate share of cash on hand of any subsidiaries we do not wholly own):</w:t>
      </w:r>
    </w:p>
    <w:p>
      <w:pPr>
        <w:spacing w:after="0" w:line="199" w:lineRule="exact"/>
        <w:rPr>
          <w:sz w:val="20"/>
          <w:szCs w:val="20"/>
          <w:color w:val="auto"/>
        </w:rPr>
      </w:pPr>
    </w:p>
    <w:p>
      <w:pPr>
        <w:ind w:left="1080" w:right="6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the amount of cash reserves (including our proportionate share of cash reserves of any subsidiaries we do not wholly own) established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and our subsidiaries to: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comply with applicable law, any of our debt instruments or other agreements;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provide funds for Series A Preference Unit distributions and Series A Preference Unit redemption payments; and/or</w:t>
      </w:r>
    </w:p>
    <w:p>
      <w:pPr>
        <w:spacing w:after="0" w:line="25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provide funds for distributions to our unitholders and to our general partner for any one or more of the next four quarters (except to the extent establishing such reserves would cause us to not be able to distribute the minimum quarterly distribution (plus any arrearage) for such quarter);</w:t>
      </w:r>
    </w:p>
    <w:p>
      <w:pPr>
        <w:spacing w:after="0" w:line="200" w:lineRule="exact"/>
        <w:rPr>
          <w:sz w:val="20"/>
          <w:szCs w:val="20"/>
          <w:color w:val="auto"/>
        </w:rPr>
      </w:pPr>
    </w:p>
    <w:p>
      <w:pPr>
        <w:sectPr>
          <w:pgSz w:w="11900" w:h="16838" w:orient="portrait"/>
          <w:cols w:equalWidth="0" w:num="2">
            <w:col w:w="1260" w:space="360"/>
            <w:col w:w="9780"/>
          </w:cols>
          <w:pgMar w:left="240" w:top="131" w:right="259" w:bottom="1440" w:gutter="0" w:footer="0" w:header="0"/>
        </w:sectPr>
      </w:pPr>
    </w:p>
    <w:p>
      <w:pPr>
        <w:spacing w:after="0" w:line="224" w:lineRule="exact"/>
        <w:rPr>
          <w:sz w:val="20"/>
          <w:szCs w:val="20"/>
          <w:color w:val="auto"/>
        </w:rPr>
      </w:pPr>
    </w:p>
    <w:p>
      <w:pPr>
        <w:ind w:left="1080" w:hanging="532"/>
        <w:spacing w:after="0" w:line="294"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plus</w:t>
      </w:r>
      <w:r>
        <w:rPr>
          <w:rFonts w:ascii="Arial" w:cs="Arial" w:eastAsia="Arial" w:hAnsi="Arial"/>
          <w:sz w:val="16"/>
          <w:szCs w:val="16"/>
          <w:color w:val="auto"/>
        </w:rPr>
        <w:t>, all cash on hand (including our proportionate share of cash on hand of any subsidiaries we do not wholly own) on the date of determination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available cash for the quarter resulting from (1) working capital borrowings made after the end of the quarter and (2) cash distributions received after the end of the quarter from any equity interest in any person (other than a subsidiary of us), which distributions are paid by such person in respect of operations conducted by such person during such quarter. Working capital borrowings are generally borrowings that are made under a revolving credit facility and in all cases are used solely for working capital purposes or to pay distributions to partners.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Intent to Distribute the Minimum Quarterly Distribution</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intend to distribute to the holders of Common Units on a quarterly basis at least the minimum quarterly distribution of $0.375 per unit, or $1.50 per unit per year, to the extent we have sufficient cash on hand to pay the distribution after we establish cash reserves and pay fees and expenses.</w:t>
      </w:r>
    </w:p>
    <w:p>
      <w:pPr>
        <w:spacing w:after="0" w:line="139"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There is no guarantee that we will pay the minimum quarterly distribution on the Common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We will be effectively prohibited from making any distributions to unitholders if it would cause an event of default, or an event of default is then existing, under our financing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Operating Surplus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surplus for any period generally means:</w:t>
      </w:r>
    </w:p>
    <w:p>
      <w:pPr>
        <w:spacing w:after="0" w:line="239"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$19.0 million; </w:t>
      </w:r>
      <w:r>
        <w:rPr>
          <w:rFonts w:ascii="Arial" w:cs="Arial" w:eastAsia="Arial" w:hAnsi="Arial"/>
          <w:sz w:val="18"/>
          <w:szCs w:val="18"/>
          <w:i w:val="1"/>
          <w:iCs w:val="1"/>
          <w:color w:val="auto"/>
        </w:rPr>
        <w:t>plus</w:t>
      </w:r>
    </w:p>
    <w:p>
      <w:pPr>
        <w:spacing w:after="0" w:line="252" w:lineRule="exact"/>
        <w:rPr>
          <w:rFonts w:ascii="Arial" w:cs="Arial" w:eastAsia="Arial" w:hAnsi="Arial"/>
          <w:sz w:val="18"/>
          <w:szCs w:val="18"/>
          <w:color w:val="auto"/>
        </w:rPr>
      </w:pPr>
    </w:p>
    <w:p>
      <w:pPr>
        <w:ind w:left="1080" w:right="40" w:hanging="532"/>
        <w:spacing w:after="0" w:line="302" w:lineRule="auto"/>
        <w:tabs>
          <w:tab w:leader="none" w:pos="108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all of our cash receipts (including our proportionate share of cash receipts of any subsidiaries we do not wholly own; provided, that cash receipts from the termination of an interest rate, currency or commodity hedge contract prior to its specified termination date will be included in operating surplus in equal quarterly installments over the remaining scheduled life of such hedge contract), excluding cash from (1) borrowings, other than working capital borrowings, (2) sales of equity and debt securities, (3) sales or other dispositions of assets outside the ordinary course of business,</w:t>
      </w:r>
    </w:p>
    <w:p>
      <w:pPr>
        <w:spacing w:after="0" w:line="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 xml:space="preserve">(4) capital contributions or (5) corporate reorganizations or restructurings; </w:t>
      </w:r>
      <w:r>
        <w:rPr>
          <w:rFonts w:ascii="Arial" w:cs="Arial" w:eastAsia="Arial" w:hAnsi="Arial"/>
          <w:sz w:val="18"/>
          <w:szCs w:val="18"/>
          <w:i w:val="1"/>
          <w:iCs w:val="1"/>
          <w:color w:val="auto"/>
        </w:rPr>
        <w:t>plus</w:t>
      </w:r>
    </w:p>
    <w:p>
      <w:pPr>
        <w:spacing w:after="0" w:line="232"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working capital borrowings (including our proportionate share of working capital borrowings for any subsidiaries we do not wholly own) made after the end of a quarter but before the date of determination of operating surplus for the quarter;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20"/>
        <w:spacing w:after="0" w:line="370" w:lineRule="auto"/>
        <w:rPr>
          <w:sz w:val="20"/>
          <w:szCs w:val="20"/>
          <w:color w:val="auto"/>
        </w:rPr>
      </w:pPr>
      <w:r>
        <w:rPr>
          <w:rFonts w:ascii="Arial" w:cs="Arial" w:eastAsia="Arial" w:hAnsi="Arial"/>
          <w:sz w:val="15"/>
          <w:szCs w:val="15"/>
          <w:color w:val="auto"/>
        </w:rPr>
        <w:t xml:space="preserve">case, to finance all or any portion of the construction, replacement or improvement of a capital asset (such as a vessel) in respect of the period from such financing until the earlier to occur of the date the capital asset is put into service or the date that it is abandoned or disposed of; </w:t>
      </w:r>
      <w:r>
        <w:rPr>
          <w:rFonts w:ascii="Arial" w:cs="Arial" w:eastAsia="Arial" w:hAnsi="Arial"/>
          <w:sz w:val="15"/>
          <w:szCs w:val="15"/>
          <w:i w:val="1"/>
          <w:iCs w:val="1"/>
          <w:color w:val="auto"/>
        </w:rPr>
        <w:t>plus</w:t>
      </w:r>
    </w:p>
    <w:p>
      <w:pPr>
        <w:spacing w:after="0" w:line="130" w:lineRule="exact"/>
        <w:rPr>
          <w:sz w:val="20"/>
          <w:szCs w:val="20"/>
          <w:color w:val="auto"/>
        </w:rPr>
      </w:pPr>
    </w:p>
    <w:p>
      <w:pPr>
        <w:ind w:left="1080" w:hanging="532"/>
        <w:spacing w:after="0" w:line="294"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pay the construction period interest on debt incurred (including periodic net payments under related interest rate swap agreements), or to pay construction period distributions on equity issued, to finance the construction projects described in the immediately preceding bullet; </w:t>
      </w:r>
      <w:r>
        <w:rPr>
          <w:rFonts w:ascii="Arial" w:cs="Arial" w:eastAsia="Arial" w:hAnsi="Arial"/>
          <w:sz w:val="16"/>
          <w:szCs w:val="16"/>
          <w:i w:val="1"/>
          <w:iCs w:val="1"/>
          <w:color w:val="auto"/>
        </w:rPr>
        <w:t>less</w:t>
      </w:r>
    </w:p>
    <w:p>
      <w:pPr>
        <w:spacing w:after="0" w:line="196"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all of our "operating expenditures" (which includes estimated maintenance and replacement capital expenditures and is further described below) (including our proportionate share of operating expenditures by any subsidiaries we do not wholly own);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the amount of cash reserves (including our proportionate share of cash reserves for any subsidiaries we do not wholly own) established by our board of directors to provide funds for future operating expenditures;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any cash loss realized on dispositions of assets acquired using investment capital expenditures; </w:t>
      </w:r>
      <w:r>
        <w:rPr>
          <w:rFonts w:ascii="Arial" w:cs="Arial" w:eastAsia="Arial" w:hAnsi="Arial"/>
          <w:sz w:val="18"/>
          <w:szCs w:val="18"/>
          <w:i w:val="1"/>
          <w:iCs w:val="1"/>
          <w:color w:val="auto"/>
        </w:rPr>
        <w:t>less</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working capital borrowings (including our proportionate share of working capital borrowings by any subsidiaries we do not wholly own) not repaid within twelve months after having been incurred.</w:t>
      </w:r>
    </w:p>
    <w:p>
      <w:pPr>
        <w:spacing w:after="0" w:line="1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If a working capital borrowing, which increases operating surplus, is not repaid during the twelve-month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16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described above, operating surplus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we receive from non-operating sources.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Operating expenditures generally means all of our cash expenditures, including but not limited to taxes, employee and director compensation, reimbursement of expenses to our general partner, repayment of working capital borrowings, debt service payments and payments made under any interest rate, currency or commodity hedge contracts (provided that payments made in connection with the termination of any hedge contract prior to the expiration of its specified termination date be included in operating expenditures in equal quarterly installments over the remaining scheduled life of such hedge contract) and Series A Preference Unit distributions, provided that operating expenditures will not include:</w:t>
      </w:r>
    </w:p>
    <w:p>
      <w:pPr>
        <w:spacing w:after="0" w:line="183" w:lineRule="exact"/>
        <w:rPr>
          <w:sz w:val="20"/>
          <w:szCs w:val="20"/>
          <w:color w:val="auto"/>
        </w:rPr>
      </w:pPr>
    </w:p>
    <w:p>
      <w:pPr>
        <w:ind w:left="1080" w:right="12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deemed repayments of working capital borrowings deducted from operating surplus pursuant to the last bullet point of the definition of operating surplus above when such repayment actually occurs;</w:t>
      </w:r>
    </w:p>
    <w:p>
      <w:pPr>
        <w:spacing w:after="0" w:line="199" w:lineRule="exact"/>
        <w:rPr>
          <w:rFonts w:ascii="Arial" w:cs="Arial" w:eastAsia="Arial" w:hAnsi="Arial"/>
          <w:sz w:val="18"/>
          <w:szCs w:val="18"/>
          <w:color w:val="auto"/>
        </w:rPr>
      </w:pPr>
    </w:p>
    <w:p>
      <w:pPr>
        <w:ind w:left="5620" w:right="240" w:hanging="5072"/>
        <w:spacing w:after="0" w:line="519" w:lineRule="auto"/>
        <w:tabs>
          <w:tab w:leader="none" w:pos="108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payments (including prepayments and payment penalties) of principal of and premium on indebtedness, other than working capital borrowings;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expansion capital expenditures, investment capital expenditures or actual maintenance and replacement capital expenditures (which are discussed in further detail under "—Capital Expenditures" below);</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payment of transaction expenses (including taxes) relating to interim capital transactions;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Series A Preference Unit redemption payments and payments made to holders of Series A Preference Units to purchase or otherwise acquire preference units;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distributions to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Adjusted Operating Surplus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operating surplus for any period generally means:</w:t>
      </w:r>
    </w:p>
    <w:p>
      <w:pPr>
        <w:spacing w:after="0" w:line="252" w:lineRule="exact"/>
        <w:rPr>
          <w:sz w:val="20"/>
          <w:szCs w:val="20"/>
          <w:color w:val="auto"/>
        </w:rPr>
      </w:pPr>
    </w:p>
    <w:p>
      <w:pPr>
        <w:ind w:left="1080" w:right="2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operating surplus generated with respect to that period (excluding any amounts attributable to the item described in the first bullet point under "— Operating Surplus and Capital Surplus—Definition of Operating Surplus" above);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amount of any net increase in working capital borrowings (including our proportionate share of any changes in working capital borrowings of any subsidiaries we do not wholly own) with respect to that period;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amount of any net reduction in cash reserves for operating expenditures (including our proportionate share of cash reserves of any subsidiaries we do not wholly own) over that period not relating to an operating expenditure made during that period;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amount of any net decrease in working capital borrowings (including our proportionate share of any changes in working capital borrowings of any subsidiaries we do not wholly own) with respect to that period;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the amount of any net increase in cash reserves for operating expenditures (including our proportionate share of cash reserves of any subsidiaries we do not wholly own) over that period required by any debt instrument for the repayment of principal, interest or premium; </w:t>
      </w:r>
      <w:r>
        <w:rPr>
          <w:rFonts w:ascii="Arial" w:cs="Arial" w:eastAsia="Arial" w:hAnsi="Arial"/>
          <w:sz w:val="16"/>
          <w:szCs w:val="16"/>
          <w:i w:val="1"/>
          <w:iCs w:val="1"/>
          <w:color w:val="auto"/>
        </w:rPr>
        <w:t>plus</w:t>
      </w:r>
    </w:p>
    <w:p>
      <w:pPr>
        <w:spacing w:after="0" w:line="152" w:lineRule="exact"/>
        <w:rPr>
          <w:rFonts w:ascii="Arial" w:cs="Arial" w:eastAsia="Arial" w:hAnsi="Arial"/>
          <w:sz w:val="16"/>
          <w:szCs w:val="16"/>
          <w:color w:val="auto"/>
        </w:rPr>
      </w:pPr>
    </w:p>
    <w:p>
      <w:pPr>
        <w:ind w:left="1080" w:right="200" w:hanging="532"/>
        <w:spacing w:after="0" w:line="332"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amount of any net decrease made in subsequent periods to cash reserves for operating expenditures initially established with respect to such period to the extent such decrease results in a reduction in adjusted operating surplus in subsequent periods.</w:t>
      </w:r>
    </w:p>
    <w:p>
      <w:pPr>
        <w:spacing w:after="0" w:line="139"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Adjusted operating surplus is intended to reflect the cash generated from operations during a particular period and therefore excludes net increases in working capital borrowings and net drawdowns of reserves of cash generated in prior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For purposes of determining operating surplus, capital expenditures are classified as either maintenance and replacement capital expenditures, expansion capital expenditures or investment capital expenditures. Maintenance and replacement capital expenditures are those capital expenditures required to maintain, over the long-term, the operating capacity of or the revenue generated by our capital assets.</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Expansion capital expenditures are those capital expenditures that increase the operating capacity of or the revenue generated by our capital assets. To the extent, however, that capital expenditures associated with acquiring a new vessel or improving an existing vessel increase the revenues or the operating capacity of our fleet, those capital expenditures would be classified as expansion capital expenditures.</w:t>
      </w:r>
    </w:p>
    <w:p>
      <w:pPr>
        <w:spacing w:after="0" w:line="194"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Investment capital expenditures are those capital expenditures that are neither maintenance and replacement capital expenditures nor expansion capital expenditures. Investment capital expenditures largely will consist of capital expenditures made for investment purposes. Examples of investment capital expenditures include traditional capital expenditures for investment purposes, such as purchases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of equity securities, as well as other capital expenditures that might be made in lieu of such traditional investment capital expenditures, such as the acquisition of a capital asset for investment purposes.</w:t>
      </w:r>
    </w:p>
    <w:p>
      <w:pPr>
        <w:spacing w:after="0" w:line="186" w:lineRule="exact"/>
        <w:rPr>
          <w:sz w:val="20"/>
          <w:szCs w:val="20"/>
          <w:color w:val="auto"/>
        </w:rPr>
      </w:pPr>
    </w:p>
    <w:p>
      <w:pPr>
        <w:ind w:right="100" w:firstLine="351"/>
        <w:spacing w:after="0" w:line="310" w:lineRule="auto"/>
        <w:rPr>
          <w:sz w:val="20"/>
          <w:szCs w:val="20"/>
          <w:color w:val="auto"/>
        </w:rPr>
      </w:pPr>
      <w:r>
        <w:rPr>
          <w:rFonts w:ascii="Arial" w:cs="Arial" w:eastAsia="Arial" w:hAnsi="Arial"/>
          <w:sz w:val="15"/>
          <w:szCs w:val="15"/>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(including the amount of any incremental distributions made to the holders of our incentive distribution rights) to finance the acquisition or construction of a replacement vessel and paid in respect of the construction period. We define construction period as the period beginning on the date that we enter into a binding acquisition or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(including the amount of any incremental distributions made to the holders of our incentive distribution rights) will also be considered maintenance and replacement capital expenditures.</w:t>
      </w:r>
    </w:p>
    <w:p>
      <w:pPr>
        <w:spacing w:after="0" w:line="16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Because our maintenance and replacement capital expenditures can be very large and vary significantly in timing, the amount of our actual maintenance and replacement capital expenditures may differ substantially from period to period. In order to avoid these fluctuations having a similar effect on operating surplus, adjusted operating surplus and available cash for distribution to our unitholders, our partnership agreement will require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our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will be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will be prospective only. For a discussion of the amounts we have allocated toward estimated maintenance and replacement capital expenditures, see "Our Cash Distribution Policy and Restrictions on Distributions".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use of estimated maintenance and replacement capital expenditures in calculating operating surplus will have the following effects:</w:t>
      </w:r>
    </w:p>
    <w:p>
      <w:pPr>
        <w:spacing w:after="0" w:line="239" w:lineRule="exact"/>
        <w:rPr>
          <w:sz w:val="20"/>
          <w:szCs w:val="20"/>
          <w:color w:val="auto"/>
        </w:rPr>
      </w:pPr>
    </w:p>
    <w:p>
      <w:pPr>
        <w:ind w:left="1080" w:right="360" w:hanging="532"/>
        <w:spacing w:after="0" w:line="332"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it will reduce the risk that actual maintenance and replacement capital expenditures in any one quarter will be large enough to make operating surplus less than the minimum quarterly distribution to be paid on all the units for that quarter and subsequent quarters;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may reduce the need for us to borrow to pay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it will be more difficult for us to raise our distribution above the minimum quarterly distribution and pay incentive distributions to GasLog; and</w:t>
      </w:r>
    </w:p>
    <w:p>
      <w:pPr>
        <w:spacing w:after="0" w:line="261" w:lineRule="exact"/>
        <w:rPr>
          <w:rFonts w:ascii="Arial" w:cs="Arial" w:eastAsia="Arial" w:hAnsi="Arial"/>
          <w:sz w:val="16"/>
          <w:szCs w:val="16"/>
          <w:color w:val="auto"/>
        </w:rPr>
      </w:pPr>
    </w:p>
    <w:p>
      <w:pPr>
        <w:jc w:val="both"/>
        <w:ind w:left="1080" w:right="380" w:hanging="532"/>
        <w:spacing w:after="0" w:line="306"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it will reduce the likelihood that a large maintenance and replacement capital expenditure in a period will prevent GasLog from being able to convert some or all of its subordinated units into Common Units since the effect of an estimate is to spread the expected expense over several periods, mitigating the effect of the actual payment of the expenditure on any single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Capital Surplus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Capital surplus generally will be generated only by:</w:t>
      </w:r>
    </w:p>
    <w:p>
      <w:pPr>
        <w:spacing w:after="0" w:line="252"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Characterization of Cash Distributions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does not reflect actual cash on hand that is available for distribution to our unitholders. For example, it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We do not anticipate that we will make any distributions from capital surplus.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 From Operating Surplus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will make distributions of available cash from operating surplus in the following manner, subject to distributions with respect to Series A Preference Units as described under "—Series A Preference Unit Distributions":</w:t>
      </w:r>
    </w:p>
    <w:p>
      <w:pPr>
        <w:spacing w:after="0" w:line="199" w:lineRule="exact"/>
        <w:rPr>
          <w:sz w:val="20"/>
          <w:szCs w:val="20"/>
          <w:color w:val="auto"/>
        </w:rPr>
      </w:pPr>
    </w:p>
    <w:p>
      <w:pPr>
        <w:ind w:left="1080" w:right="10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unit an amount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minimum quarterly distribution for that quarter;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"—General Partner Interest" and "—Incentive Distribution Rights" below.</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units. Our general partner's 2.0% interest, and the percentage of our cash distributions to which it is entitled, will be proportionately reduced if we issue additional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GasLog will hold the incentive distribution rights following completion of the offering. The incentive distribution rights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2019. Any transfer by GasLog of the incentive distribution rights would not change the percentage allocations of quarterly distributions with respect to such rights.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for any quarter:</w:t>
      </w:r>
    </w:p>
    <w:p>
      <w:pPr>
        <w:spacing w:after="0" w:line="239" w:lineRule="exact"/>
        <w:rPr>
          <w:sz w:val="20"/>
          <w:szCs w:val="20"/>
          <w:color w:val="auto"/>
        </w:rPr>
      </w:pPr>
    </w:p>
    <w:p>
      <w:pPr>
        <w:ind w:left="1080" w:right="22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to the common unitholders in an amount equal to the minimum quarterly distribution; and</w:t>
      </w:r>
    </w:p>
    <w:p>
      <w:pPr>
        <w:spacing w:after="0" w:line="21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on outstanding Common Units in an amount necessary to eliminate any cumulative arrearages in payment of the minimum quarterly distribution; then, we will distribute any additional available cash from operating surplus for that quarter among the unitholders and our general partner in the following manner:</w:t>
      </w:r>
    </w:p>
    <w:p>
      <w:pPr>
        <w:spacing w:after="0" w:line="207"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each unitholder receives a total of $0.43125 per unit for</w:t>
      </w:r>
      <w:r>
        <w:rPr>
          <w:rFonts w:ascii="Arial" w:cs="Arial" w:eastAsia="Arial" w:hAnsi="Arial"/>
          <w:sz w:val="18"/>
          <w:szCs w:val="18"/>
          <w:i w:val="1"/>
          <w:iCs w:val="1"/>
          <w:color w:val="auto"/>
        </w:rPr>
        <w:t xml:space="preserve"> </w:t>
      </w:r>
      <w:r>
        <w:rPr>
          <w:rFonts w:ascii="Arial" w:cs="Arial" w:eastAsia="Arial" w:hAnsi="Arial"/>
          <w:sz w:val="18"/>
          <w:szCs w:val="18"/>
          <w:color w:val="auto"/>
        </w:rPr>
        <w:t>that quarter (the "first target distribution");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85.0% to the common unitholders, pro rata, 2.0% to our general partner and 13.0%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 total of $0.46875 per unit for that quarter (the "second target distribution");</w:t>
      </w:r>
    </w:p>
    <w:p>
      <w:pPr>
        <w:spacing w:after="0" w:line="166"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75.0% to the common unitholders, pro rata, 2.0% to our general partner and 23.0%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 total of $0.5625 per unit for that quarter (the "third target distribution"); and</w:t>
      </w:r>
    </w:p>
    <w:p>
      <w:pPr>
        <w:spacing w:after="0" w:line="152"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the common unitholders, pro rata, 2.0% to our general partner and 48.0% to the holders of the incentive distribution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each case, the amount of the target distribution set forth above is exclusive of any distributions to common unitholders to eliminate any cumulative arrearages in payment of the minimum quarterly distribution. The percentage interests set forth above assume that our general partner maintains its 2.0% general partner interest and that we do not issue additional classes of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Allocations of Available Cash From Operating Surplus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common unitholders, our general partner and the holders of the incentive distribution rights up to the various target distribution levels. The amounts set forth under "Marginal Percentage Interest in Distributions" are the percentage interests of the common unitholders, our general partner and the holders of the incentive distribution rights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common unitholders, our general partner and the holders of the incentive distribution rights for the minimum quarterly distribution are also applicable to quarterly distribution amounts that are less than the minimum quarterly distribution. The percentage interests shown for our general partner include its 2.0% general partner interest only and assume that our general partner has contributed any capital necessary to maintain its 2.0% general partner interest.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Marginal Percentage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Interest in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Total Quarterly</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Distributions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Distribution</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General</w:t>
            </w:r>
          </w:p>
        </w:tc>
        <w:tc>
          <w:tcPr>
            <w:tcW w:w="206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9"/>
              </w:rPr>
              <w:t>Holders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 Amount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Unitholders</w:t>
            </w:r>
          </w:p>
        </w:tc>
        <w:tc>
          <w:tcPr>
            <w:tcW w:w="180" w:type="dxa"/>
            <w:vAlign w:val="bottom"/>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IDRs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860" w:type="dxa"/>
            <w:vAlign w:val="bottom"/>
            <w:gridSpan w:val="3"/>
            <w:shd w:val="clear" w:color="auto" w:fill="CCEEFF"/>
          </w:tcPr>
          <w:p>
            <w:pPr>
              <w:jc w:val="center"/>
              <w:ind w:left="1572"/>
              <w:spacing w:after="0"/>
              <w:rPr>
                <w:sz w:val="20"/>
                <w:szCs w:val="20"/>
                <w:color w:val="auto"/>
              </w:rPr>
            </w:pPr>
            <w:r>
              <w:rPr>
                <w:rFonts w:ascii="Arial" w:cs="Arial" w:eastAsia="Arial" w:hAnsi="Arial"/>
                <w:sz w:val="18"/>
                <w:szCs w:val="18"/>
                <w:color w:val="auto"/>
                <w:w w:val="87"/>
              </w:rPr>
              <w:t>$0.375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up to $0.43125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above $0.43125</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up to $0.46875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6"/>
              </w:rPr>
              <w:t>above $0.46875</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up to $0.5625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above $0.5625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GasLog's Right to Reset Incentive Distribution Levels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GasLog, as the initial holder of our incentive distribution rights, has the right under our partnership agreement to elect to relinquish the right of the holders of our incentive distribution rights to receive incentive distribution payments based on the initial cash target distribution levels and to reset, at higher levels, the minimum quarterly distribution amount and cash target distribution levels upon which the incentive distribution payments to GasLog would be set. GasLog's right to reset the minimum quarterly distribution amount and the cash target distribution levels upon which the incentive distributions payable to GasLog are based may be exercised, without approval of our unitholders or the conflicts committee of our board of directors, at any time when we have made cash distributions to the holders of the incentive distribution rights at the highest level of incentive distribution for each of the prior four consecutive fiscal quarters. If at the time of any election to reset the minimum quarterly distribution amount and the cash target distribution levels GasLog and its affiliates are not the holders of a majority of the incentive distribution rights, then any such election to reset shall be subject to the prior written concurrence of our board of directors that the conditions described in the immediately preceding sentence have been satisfied. The reset minimum quarterly distribution amount and cash target distribution levels will be higher than the minimum quarterly distribution amount and the cash target distribution levels prior to the reset such that there will be no incentive distributions paid under the reset cash target distribution levels until cash distributions per unit following this event increase as described below. We anticipate that GasLog would exercise this reset right in order to facilitate acquisitions or internal growth projects that would otherwise not be sufficiently accretive to cash distributions per Common Unit, taking into account the existing levels of incentive distribution payments being made to GasLog.</w:t>
      </w:r>
    </w:p>
    <w:p>
      <w:pPr>
        <w:spacing w:after="0" w:line="17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connection with the resetting of the minimum quarterly distribution amount and the cash target distribution levels and the corresponding relinquishment by GasLog of incentive distribution payments based on the cash target distribution levels prior to the reset, GasLog will be entitled to receive a number of newly issued Common Units based on a predetermined formula described below that takes into account the "cash parity" value of the average cash distributions related to the incentive distribution rights received by GasLog for the two quarters prior to the reset event as compared to the average cash distributions per Common Unit during this period. We will also issue an additional amount of general partner units in order to maintain the general partner's ownership interest in us relative to the issuance of the additional Common Units.</w:t>
      </w:r>
    </w:p>
    <w:p>
      <w:pPr>
        <w:spacing w:after="0" w:line="17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number of Common Units that GasLog would be entitled to receive from us in connection with a resetting of the minimum quarterly distribution amount and the cash target distribution levels then in effect would be equal to (x) the average amount of cash distributions received by GasLog in respect of its incentive distribution rights during the two consecutive fiscal quarters ended immediately prior to the date of such reset election divided by (y) the average of the amount of cash distributed per Common Unit during each of these two quarters. The issuance of the additional Common Units will be conditioned upon approval of the listing or admission for trading of such Common Units by the national securities exchange on which the Common Units are then listed or admitted for trading.</w:t>
      </w:r>
    </w:p>
    <w:p>
      <w:pPr>
        <w:spacing w:after="0" w:line="170"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Following a reset election, the minimum quarterly distribution amount will be reset to an amount equal to the average cash distribution amount per unit for the two fiscal quarters immediately preceding the reset election (such amount is referred to as the "reset minimum quarterly distribution") and the cash target distribution levels will be reset to be correspondingly higher such that we would distribute all of our available cash from operating surplus for each quarter thereafter as follows:</w:t>
      </w:r>
    </w:p>
    <w:p>
      <w:pPr>
        <w:spacing w:after="0" w:line="211" w:lineRule="exact"/>
        <w:rPr>
          <w:sz w:val="20"/>
          <w:szCs w:val="20"/>
          <w:color w:val="auto"/>
        </w:rPr>
      </w:pPr>
    </w:p>
    <w:p>
      <w:pPr>
        <w:ind w:left="1080" w:right="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each unitholder receives an amount equal to 115.0%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reset minimum quarterly distribution for that quarter;</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85.0% to the common unitholders, pro rata, 2.0% to our general partner and 13.0%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an amount per unit equal to 125.0% of the reset minimum quarterly distribution for that quarter;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332"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75.0% to the common unitholders, pro rata, 2.0% to our general partner and 23.0%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an amount per unit equal to 150.0% of the reset minimum quarterly distribution for that quarter; and</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the common unitholders, pro rata, 2.0% to our general partner and 48.0% to the holders of the incentive distribution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Distributions From Capital Surplus Will Be Made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make distributions of available cash from capital surplus, if any, in the following manner, subject to distributions with respect to Series A Preference Units as described under "—Series A Preference Unit Distributions":</w:t>
      </w:r>
    </w:p>
    <w:p>
      <w:pPr>
        <w:spacing w:after="0" w:line="199" w:lineRule="exact"/>
        <w:rPr>
          <w:sz w:val="20"/>
          <w:szCs w:val="20"/>
          <w:color w:val="auto"/>
        </w:rPr>
      </w:pPr>
    </w:p>
    <w:p>
      <w:pPr>
        <w:ind w:left="1080" w:right="14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the minimum quarterly distribution is reduced to zero,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98.0% to the common unitholders, pro rata, and 2.0% to our general partner, until we distribute for each Common Unit an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cash from capital surplus equal to any unpaid arrearages in payment of the minimum quarterly distribution on the Common Units;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we will make all distributions of available cash from capital surplus as if they were from operating surplus.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 Distribution from Capital Surplus</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partnership agreement treats a distribution of capital surplus as the repayment of the consideration for the issuance of the units, which is a return of capital. Each time a distribution of capital surplus is made, the minimum quarterly distribution and the cash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GasLog to receive incentive distributions. However, any distribution of capital surplus before the minimum quarterly distribution is reduced to zero cannot be applied to the payment of the minimum quarterly distribution or any arrearages.</w:t>
      </w:r>
    </w:p>
    <w:p>
      <w:pPr>
        <w:spacing w:after="0" w:line="19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Once we reduce the minimum quarterly distribution and the cash target distribution levels to zero, we will then make all future distributions 50.0% to the common unitholders, 2.0% to our general partner and 48.0% to the holders of the incentive distribution rights (currently, GasLog). The 2.0% interest shown for our general partner assumes that our general partner maintains its 2.0% general partner interest.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to adjusting the minimum quarterly distribution and cash target distribution levels to reflect a distribution of capital surplus, if we combine our units into fewer units or subdivide our units into a greater number of units, we will proportionately adjust:</w:t>
      </w:r>
    </w:p>
    <w:p>
      <w:pPr>
        <w:spacing w:after="0" w:line="199"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cash target distribution levels;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initial unit price.</w:t>
      </w:r>
    </w:p>
    <w:p>
      <w:pPr>
        <w:spacing w:after="0" w:line="225" w:lineRule="exact"/>
        <w:rPr>
          <w:sz w:val="20"/>
          <w:szCs w:val="20"/>
          <w:color w:val="auto"/>
        </w:rPr>
      </w:pPr>
    </w:p>
    <w:p>
      <w:pPr>
        <w:jc w:val="both"/>
        <w:ind w:right="80" w:firstLine="351"/>
        <w:spacing w:after="0" w:line="332" w:lineRule="auto"/>
        <w:rPr>
          <w:sz w:val="20"/>
          <w:szCs w:val="20"/>
          <w:color w:val="auto"/>
        </w:rPr>
      </w:pPr>
      <w:r>
        <w:rPr>
          <w:rFonts w:ascii="Arial" w:cs="Arial" w:eastAsia="Arial" w:hAnsi="Arial"/>
          <w:sz w:val="16"/>
          <w:szCs w:val="16"/>
          <w:color w:val="auto"/>
        </w:rPr>
        <w:t>For example, if a two-for-one split of the Common Units should occur, the minimum quarterly distribution, the cash target distribution levels and the initial unit price would each be reduced to 50.0% of its initial level. We will not make any adjustment by reason of the issuance of additional units for cash or property.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apply the proceeds of liquidation in the manner set forth below, subject to distributions with respect to Series A Preference Units as described under "—Series A Preference Unit Liquidation Rights".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199" w:lineRule="exact"/>
        <w:rPr>
          <w:sz w:val="20"/>
          <w:szCs w:val="20"/>
          <w:color w:val="auto"/>
        </w:rPr>
      </w:pPr>
    </w:p>
    <w:p>
      <w:pPr>
        <w:ind w:left="1080" w:right="30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any arrearages in payment of the minimum quarterly distribution on the Common Units for any prior quarters during the subordination period;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right="340" w:firstLine="548"/>
        <w:spacing w:after="0" w:line="501"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initial unit price (less any prior capital surplus distributions and any prior cash distributions made in connection with a partial liquidation); then the proceeds of the liquidation will be applied as follows:</w:t>
      </w:r>
    </w:p>
    <w:p>
      <w:pPr>
        <w:spacing w:after="0" w:line="13"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current market price of our common units;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50.0% to the common unitholders, pro rata, 48.0% to holders of incentive distribution rights and 2.0% to our general partner.</w:t>
      </w:r>
    </w:p>
    <w:p>
      <w:pPr>
        <w:spacing w:after="0" w:line="24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as of the date three trading days prior to the announcement of the proposed liquidation, the current market price of our Common Units is equal to or less than the sum of:</w:t>
      </w:r>
    </w:p>
    <w:p>
      <w:pPr>
        <w:spacing w:after="0" w:line="213" w:lineRule="exact"/>
        <w:rPr>
          <w:sz w:val="20"/>
          <w:szCs w:val="20"/>
          <w:color w:val="auto"/>
        </w:rPr>
      </w:pPr>
    </w:p>
    <w:p>
      <w:pPr>
        <w:ind w:left="1080" w:right="30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any arrearages in payment of the minimum quarterly distribution on the Common Units for any prior quarters during the subordination period;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right="340" w:firstLine="548"/>
        <w:spacing w:after="0" w:line="501"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initial unit price (less any prior capital surplus distributions and any prior cash distributions made in connection with a partial liquidation); then the proceeds of the liquidation will be applied as follows:</w:t>
      </w:r>
    </w:p>
    <w:p>
      <w:pPr>
        <w:spacing w:after="0" w:line="13"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initial unit price (less any prior capital surplus distributions and any prior cash distributions made in connection with a partial liquidation);</w:t>
      </w:r>
    </w:p>
    <w:p>
      <w:pPr>
        <w:spacing w:after="0" w:line="221"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any arrearages in payment of the minimum quarterly distribution on the Common Units for any prior quarters during the subordination period;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50.0% to the common unitholders, pro rata, 48.0% to holders of incentive distribution rights and 2.0% to our general partner.</w:t>
      </w:r>
    </w:p>
    <w:p>
      <w:pPr>
        <w:spacing w:after="0" w:line="248"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immediately preceding paragraph is based on the assumption that our general partner maintains its 2.0% general partner interest and that we do not issue additional classes of equity securities (other than the Series A Preference Units, which are discussed in the following section).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Preference Unit Liquidation Rights</w:t>
      </w:r>
    </w:p>
    <w:p>
      <w:pPr>
        <w:spacing w:after="0" w:line="231"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holders of Series A Preference Units will be entitled, in the event of a dissolution,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or any other Junior Securities (as defined in the partnership agreement). In the event that our assets available for distribution to holders of the outstanding Series A Preference Units and any other Parity Securities (if applicable) are insufficient to permit payment of all required amounts, our assets then remaining will be distributed among the Series A Preference Units and any Parity Securities, as applicable, ratably 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basis of their relative aggregate liquidation preferences. After payment of all required amounts to the holders of the outstanding Series A Preference Units and other Parity Securities (if applicable), our remaining assets and funds will be distributed among the holders of the common units and any other Junior Securities then outstanding according to their respective rights.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the material U.S. federal income tax considerations that may be relevant to prospective investors in Common Units. The applicable prospectus supplement may also contain information about any material U.S. federal income tax considerations relating to the securities covered by such prospectus supplement.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Marshall Islands tax consequences that may be relevant to prospective investors in Common Units. The applicable prospectus supplement may also contain information about any non-U.S. tax considerations relating to the securities covered by such prospectus supplement.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19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208" w:lineRule="exact"/>
        <w:rPr>
          <w:sz w:val="20"/>
          <w:szCs w:val="20"/>
          <w:color w:val="auto"/>
        </w:rPr>
      </w:pPr>
    </w:p>
    <w:p>
      <w:pPr>
        <w:ind w:left="1080" w:right="36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the NYSE or any other national securities exchange or U.S. inter-dealer system of a registered national securities association on which our Common Units may be listed or quoted at the time of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 settlement of short sales entered into after the date of the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through broker-dealers, who may act as agents or principals;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through sales "at the market" to or through a market-maker;</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best-efforts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any combination of the above.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effecting sales, brokers or dealers engaged by us may arrange for other brokers or dealers to participate. Broker-dealer transactions may include:</w:t>
      </w:r>
    </w:p>
    <w:p>
      <w:pPr>
        <w:spacing w:after="0" w:line="262" w:lineRule="exact"/>
        <w:rPr>
          <w:sz w:val="20"/>
          <w:szCs w:val="20"/>
          <w:color w:val="auto"/>
        </w:rPr>
      </w:pPr>
    </w:p>
    <w:p>
      <w:pPr>
        <w:ind w:left="1080" w:right="64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purchases of the securities by a broker-dealer as principal and resales of the securities by the broker-dealer for its account pursuant to this prospectus;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ordinary brokerage transactions; or</w:t>
      </w:r>
    </w:p>
    <w:p>
      <w:pPr>
        <w:sectPr>
          <w:pgSz w:w="11900" w:h="16838" w:orient="portrait"/>
          <w:cols w:equalWidth="0" w:num="1">
            <w:col w:w="11380"/>
          </w:cols>
          <w:pgMar w:left="240" w:top="131" w:right="27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transactions in which the broker-dealer solicits purchasers.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we may sell any securities covered by this prospectus in private transactions or under Rule 144 of the Securities Act of 1933, as amended, rather than pursuant to this prospectus.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174"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172"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any discounts, commissions or concessions allowed or reallowed or paid to dealers and the number of securities being offered by them.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7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370" w:lineRule="auto"/>
        <w:rPr>
          <w:sz w:val="20"/>
          <w:szCs w:val="20"/>
          <w:color w:val="auto"/>
        </w:rPr>
      </w:pPr>
      <w:r>
        <w:rPr>
          <w:rFonts w:ascii="Arial" w:cs="Arial" w:eastAsia="Arial" w:hAnsi="Arial"/>
          <w:sz w:val="15"/>
          <w:szCs w:val="15"/>
          <w:color w:val="auto"/>
        </w:rPr>
        <w:t>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116"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Pursuant to a requirement by the Financial Industry Regulatory Authority, or "FINRA",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bear all costs relating to all of the securities being registered under the registration statement of which this prospectus is a part.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are the expenses estimated to be incurred by us in connection with a possible offering of the securities registered under this registration statement.</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86,925</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Printing</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Accountants' Fees and Expenses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Fees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Miscellaneous Costs</w:t>
            </w:r>
          </w:p>
        </w:tc>
        <w:tc>
          <w:tcPr>
            <w:tcW w:w="2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221" w:lineRule="exact"/>
        <w:rPr>
          <w:sz w:val="20"/>
          <w:szCs w:val="20"/>
          <w:color w:val="auto"/>
        </w:rPr>
      </w:pPr>
    </w:p>
    <w:p>
      <w:pPr>
        <w:ind w:left="2260" w:right="260" w:hanging="540"/>
        <w:spacing w:after="0" w:line="268" w:lineRule="auto"/>
        <w:tabs>
          <w:tab w:leader="none" w:pos="2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validity of the securities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consolidated financial statements as of December 31, 2015 and December 31, 2016 and for each of the three years in the period ended December 31, 2016 incorporated in this prospectus by reference from the Company's Current Report on Form 6-K filed on September 29, 2017 have been audited by Deloitte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2 New Street Square, London, EC4A 3BZ, United Kingdom.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80"/>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0"/>
          <w:szCs w:val="20"/>
          <w:color w:val="auto"/>
        </w:rPr>
      </w:pPr>
    </w:p>
    <w:p>
      <w:pPr>
        <w:ind w:left="3660" w:right="2260" w:hanging="360"/>
        <w:spacing w:after="0" w:line="319" w:lineRule="auto"/>
        <w:tabs>
          <w:tab w:leader="none" w:pos="3601" w:val="left"/>
        </w:tabs>
        <w:numPr>
          <w:ilvl w:val="0"/>
          <w:numId w:val="124"/>
        </w:numPr>
        <w:rPr>
          <w:rFonts w:ascii="Arial" w:cs="Arial" w:eastAsia="Arial" w:hAnsi="Arial"/>
          <w:sz w:val="21"/>
          <w:szCs w:val="21"/>
          <w:b w:val="1"/>
          <w:bCs w:val="1"/>
          <w:color w:val="auto"/>
        </w:rPr>
      </w:pPr>
      <w:r>
        <w:rPr>
          <w:rFonts w:ascii="Arial" w:cs="Arial" w:eastAsia="Arial" w:hAnsi="Arial"/>
          <w:sz w:val="21"/>
          <w:szCs w:val="21"/>
          <w:b w:val="1"/>
          <w:bCs w:val="1"/>
          <w:color w:val="auto"/>
        </w:rPr>
        <w:t>Series B Cumulative Redeemable Perpetual Fixed to Floating Rate Preference Units 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847090</wp:posOffset>
            </wp:positionV>
            <wp:extent cx="18954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84455</wp:posOffset>
            </wp:positionV>
            <wp:extent cx="1337945" cy="6261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3794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039"/>
        <w:spacing w:after="0"/>
        <w:tabs>
          <w:tab w:leader="none" w:pos="180" w:val="left"/>
          <w:tab w:leader="none" w:pos="200" w:val="left"/>
        </w:tabs>
        <w:rPr>
          <w:sz w:val="20"/>
          <w:szCs w:val="20"/>
          <w:color w:val="auto"/>
        </w:rPr>
      </w:pPr>
      <w:r>
        <w:rPr>
          <w:rFonts w:ascii="Arial" w:cs="Arial" w:eastAsia="Arial" w:hAnsi="Arial"/>
          <w:sz w:val="22"/>
          <w:szCs w:val="22"/>
          <w:b w:val="1"/>
          <w:bCs w:val="1"/>
          <w:color w:val="auto"/>
        </w:rPr>
        <w:t>P R E L I M I N A R Y</w:t>
        <w:tab/>
        <w:t>P R O S P E C T U S</w:t>
      </w:r>
      <w:r>
        <w:rPr>
          <w:sz w:val="20"/>
          <w:szCs w:val="20"/>
          <w:color w:val="auto"/>
        </w:rPr>
        <w:tab/>
      </w:r>
      <w:r>
        <w:rPr>
          <w:rFonts w:ascii="Arial" w:cs="Arial" w:eastAsia="Arial" w:hAnsi="Arial"/>
          <w:sz w:val="19"/>
          <w:szCs w:val="19"/>
          <w:b w:val="1"/>
          <w:bCs w:val="1"/>
          <w:color w:val="auto"/>
        </w:rPr>
        <w:t>S U P P L E M E N T</w:t>
      </w:r>
    </w:p>
    <w:p>
      <w:pPr>
        <w:spacing w:after="0" w:line="219" w:lineRule="exact"/>
        <w:rPr>
          <w:sz w:val="20"/>
          <w:szCs w:val="20"/>
          <w:color w:val="auto"/>
        </w:rPr>
      </w:pPr>
    </w:p>
    <w:p>
      <w:pPr>
        <w:ind w:left="5080"/>
        <w:spacing w:after="0"/>
        <w:tabs>
          <w:tab w:leader="none" w:pos="5900" w:val="left"/>
        </w:tabs>
        <w:rPr>
          <w:sz w:val="20"/>
          <w:szCs w:val="20"/>
          <w:color w:val="auto"/>
        </w:rPr>
      </w:pPr>
      <w:r>
        <w:rPr>
          <w:rFonts w:ascii="Arial" w:cs="Arial" w:eastAsia="Arial" w:hAnsi="Arial"/>
          <w:sz w:val="18"/>
          <w:szCs w:val="18"/>
          <w:b w:val="1"/>
          <w:bCs w:val="1"/>
          <w:color w:val="auto"/>
        </w:rPr>
        <w:t>January</w:t>
        <w:tab/>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039"/>
        <w:spacing w:after="0"/>
        <w:rPr>
          <w:sz w:val="20"/>
          <w:szCs w:val="20"/>
          <w:color w:val="auto"/>
        </w:rPr>
      </w:pPr>
      <w:r>
        <w:rPr>
          <w:rFonts w:ascii="Arial" w:cs="Arial" w:eastAsia="Arial" w:hAnsi="Arial"/>
          <w:sz w:val="18"/>
          <w:szCs w:val="18"/>
          <w:i w:val="1"/>
          <w:iCs w:val="1"/>
          <w:color w:val="auto"/>
        </w:rPr>
        <w:t>Joint Bookrunners</w:t>
      </w:r>
    </w:p>
    <w:p>
      <w:pPr>
        <w:spacing w:after="0" w:line="205" w:lineRule="exact"/>
        <w:rPr>
          <w:sz w:val="20"/>
          <w:szCs w:val="20"/>
          <w:color w:val="auto"/>
        </w:rPr>
      </w:pPr>
    </w:p>
    <w:p>
      <w:pPr>
        <w:jc w:val="right"/>
        <w:spacing w:after="0"/>
        <w:tabs>
          <w:tab w:leader="none" w:pos="5980" w:val="left"/>
          <w:tab w:leader="none" w:pos="2580" w:val="left"/>
          <w:tab w:leader="none" w:pos="980" w:val="left"/>
        </w:tabs>
        <w:rPr>
          <w:sz w:val="20"/>
          <w:szCs w:val="20"/>
          <w:color w:val="auto"/>
        </w:rPr>
      </w:pP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4"/>
          <w:szCs w:val="24"/>
          <w:b w:val="1"/>
          <w:bCs w:val="1"/>
          <w:color w:val="auto"/>
        </w:rPr>
        <w:t>UBS Investment Bank</w:t>
      </w:r>
      <w:r>
        <w:rPr>
          <w:sz w:val="20"/>
          <w:szCs w:val="20"/>
          <w:color w:val="auto"/>
        </w:rPr>
        <w:tab/>
      </w:r>
      <w:r>
        <w:rPr>
          <w:rFonts w:ascii="Arial" w:cs="Arial" w:eastAsia="Arial" w:hAnsi="Arial"/>
          <w:sz w:val="24"/>
          <w:szCs w:val="24"/>
          <w:b w:val="1"/>
          <w:bCs w:val="1"/>
          <w:color w:val="auto"/>
        </w:rPr>
        <w:t>Stifel</w:t>
      </w:r>
      <w:r>
        <w:rPr>
          <w:sz w:val="20"/>
          <w:szCs w:val="20"/>
          <w:color w:val="auto"/>
        </w:rPr>
        <w:tab/>
      </w:r>
      <w:r>
        <w:rPr>
          <w:rFonts w:ascii="Arial" w:cs="Arial" w:eastAsia="Arial" w:hAnsi="Arial"/>
          <w:sz w:val="22"/>
          <w:szCs w:val="22"/>
          <w:b w:val="1"/>
          <w:bCs w:val="1"/>
          <w:color w:val="auto"/>
        </w:rPr>
        <w:t>Citigroup</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8"/>
          <w:szCs w:val="18"/>
          <w:i w:val="1"/>
          <w:iCs w:val="1"/>
          <w:color w:val="auto"/>
        </w:rPr>
        <w:t>Co-Manager</w:t>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346710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42" w:name="page143"/>
    <w:bookmarkEnd w:id="1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1)"/>
      <w:numFmt w:val="decimal"/>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1)"/>
      <w:numFmt w:val="decimal"/>
      <w:start w:val="1"/>
    </w:lvl>
  </w:abstractNum>
  <w:abstractNum w:abstractNumId="4">
    <w:nsid w:val="5FF87E05"/>
    <w:multiLevelType w:val="hybridMultilevel"/>
    <w:lvl w:ilvl="0">
      <w:lvlJc w:val="left"/>
      <w:lvlText w:val="(%1)"/>
      <w:numFmt w:val="decimal"/>
      <w:start w:val="1"/>
    </w:lvl>
  </w:abstractNum>
  <w:abstractNum w:abstractNumId="5">
    <w:nsid w:val="2F305DEF"/>
    <w:multiLevelType w:val="hybridMultilevel"/>
    <w:lvl w:ilvl="0">
      <w:lvlJc w:val="left"/>
      <w:lvlText w:val="(%1)"/>
      <w:numFmt w:val="decimal"/>
      <w:start w:val="1"/>
    </w:lvl>
  </w:abstractNum>
  <w:abstractNum w:abstractNumId="6">
    <w:nsid w:val="25A70BF7"/>
    <w:multiLevelType w:val="hybridMultilevel"/>
    <w:lvl w:ilvl="0">
      <w:lvlJc w:val="left"/>
      <w:lvlText w:val="(%1)"/>
      <w:numFmt w:val="decimal"/>
      <w:start w:val="1"/>
    </w:lvl>
  </w:abstractNum>
  <w:abstractNum w:abstractNumId="7">
    <w:nsid w:val="1DBABF00"/>
    <w:multiLevelType w:val="hybridMultilevel"/>
    <w:lvl w:ilvl="0">
      <w:lvlJc w:val="left"/>
      <w:lvlText w:val="(%1)"/>
      <w:numFmt w:val="lowerRoman"/>
      <w:start w:val="2"/>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1)"/>
      <w:numFmt w:val="decimal"/>
      <w:start w:val="1"/>
    </w:lvl>
  </w:abstractNum>
  <w:abstractNum w:abstractNumId="11">
    <w:nsid w:val="5DB70AE5"/>
    <w:multiLevelType w:val="hybridMultilevel"/>
    <w:lvl w:ilvl="0">
      <w:lvlJc w:val="left"/>
      <w:lvlText w:val="(%1)"/>
      <w:numFmt w:val="decimal"/>
      <w:start w:val="3"/>
    </w:lvl>
  </w:abstractNum>
  <w:abstractNum w:abstractNumId="12">
    <w:nsid w:val="100F8FCA"/>
    <w:multiLevelType w:val="hybridMultilevel"/>
    <w:lvl w:ilvl="0">
      <w:lvlJc w:val="left"/>
      <w:lvlText w:val="(%1)"/>
      <w:numFmt w:val="lowerRoman"/>
      <w:start w:val="3"/>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1"/>
      <w:numFmt w:val="decimal"/>
      <w:start w:val="1"/>
    </w:lvl>
    <w:lvl w:ilvl="1">
      <w:lvlJc w:val="left"/>
      <w:lvlText w:val="**"/>
      <w:numFmt w:val="bullet"/>
      <w:start w:val="1"/>
    </w:lvl>
  </w:abstractNum>
  <w:abstractNum w:abstractNumId="15">
    <w:nsid w:val="5F5E7FD0"/>
    <w:multiLevelType w:val="hybridMultilevel"/>
    <w:lvl w:ilvl="0">
      <w:lvlJc w:val="left"/>
      <w:lvlText w:val="(%1)"/>
      <w:numFmt w:val="decimal"/>
      <w:start w:val="5"/>
    </w:lvl>
    <w:lvl w:ilvl="1">
      <w:lvlJc w:val="left"/>
      <w:lvlText w:val="***"/>
      <w:numFmt w:val="bullet"/>
      <w:start w:val="1"/>
    </w:lvl>
  </w:abstractNum>
  <w:abstractNum w:abstractNumId="16">
    <w:nsid w:val="98A3148"/>
    <w:multiLevelType w:val="hybridMultilevel"/>
    <w:lvl w:ilvl="0">
      <w:lvlJc w:val="left"/>
      <w:lvlText w:val="(%1)"/>
      <w:numFmt w:val="decimal"/>
      <w:start w:val="10"/>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lvl w:ilvl="1">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1)"/>
      <w:numFmt w:val="decimal"/>
      <w:start w:val="1"/>
    </w:lvl>
    <w:lvl w:ilvl="1">
      <w:lvlJc w:val="left"/>
      <w:lvlText w:val="•"/>
      <w:numFmt w:val="bullet"/>
      <w:start w:val="1"/>
    </w:lvl>
  </w:abstractNum>
  <w:abstractNum w:abstractNumId="26">
    <w:nsid w:val="51D9C564"/>
    <w:multiLevelType w:val="hybridMultilevel"/>
    <w:lvl w:ilvl="0">
      <w:lvlJc w:val="left"/>
      <w:lvlText w:val="•"/>
      <w:numFmt w:val="bullet"/>
      <w:start w:val="1"/>
    </w:lvl>
    <w:lvl w:ilvl="1">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1)"/>
      <w:numFmt w:val="decimal"/>
      <w:start w:val="4"/>
    </w:lvl>
  </w:abstractNum>
  <w:abstractNum w:abstractNumId="32">
    <w:nsid w:val="8F2B15E"/>
    <w:multiLevelType w:val="hybridMultilevel"/>
    <w:lvl w:ilvl="0">
      <w:lvlJc w:val="left"/>
      <w:lvlText w:val="(%1)"/>
      <w:numFmt w:val="lowerRoman"/>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1)"/>
      <w:numFmt w:val="decimal"/>
      <w:start w:val="1"/>
    </w:lvl>
  </w:abstractNum>
  <w:abstractNum w:abstractNumId="37">
    <w:nsid w:val="60B6DF70"/>
    <w:multiLevelType w:val="hybridMultilevel"/>
    <w:lvl w:ilvl="0">
      <w:lvlJc w:val="left"/>
      <w:lvlText w:val="(%1)"/>
      <w:numFmt w:val="decimal"/>
      <w:start w:val="5"/>
    </w:lvl>
  </w:abstractNum>
  <w:abstractNum w:abstractNumId="38">
    <w:nsid w:val="6A5EE64"/>
    <w:multiLevelType w:val="hybridMultilevel"/>
    <w:lvl w:ilvl="0">
      <w:lvlJc w:val="left"/>
      <w:lvlText w:val="(%1)"/>
      <w:numFmt w:val="decimal"/>
      <w:start w:val="1"/>
    </w:lvl>
    <w:lvl w:ilvl="1">
      <w:lvlJc w:val="left"/>
      <w:lvlText w:val="•"/>
      <w:numFmt w:val="bullet"/>
      <w:start w:val="1"/>
    </w:lvl>
  </w:abstractNum>
  <w:abstractNum w:abstractNumId="39">
    <w:nsid w:val="14330624"/>
    <w:multiLevelType w:val="hybridMultilevel"/>
    <w:lvl w:ilvl="0">
      <w:lvlJc w:val="left"/>
      <w:lvlText w:val="(%1)"/>
      <w:numFmt w:val="decimal"/>
      <w:start w:val="8"/>
    </w:lvl>
  </w:abstractNum>
  <w:abstractNum w:abstractNumId="40">
    <w:nsid w:val="7FFFCA11"/>
    <w:multiLevelType w:val="hybridMultilevel"/>
    <w:lvl w:ilvl="0">
      <w:lvlJc w:val="left"/>
      <w:lvlText w:val="(%1)"/>
      <w:numFmt w:val="decimal"/>
      <w:start w:val="1"/>
    </w:lvl>
  </w:abstractNum>
  <w:abstractNum w:abstractNumId="41">
    <w:nsid w:val="1A27709E"/>
    <w:multiLevelType w:val="hybridMultilevel"/>
    <w:lvl w:ilvl="0">
      <w:lvlJc w:val="left"/>
      <w:lvlText w:val="(%1)"/>
      <w:numFmt w:val="decimal"/>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1)"/>
      <w:numFmt w:val="lowerLetter"/>
      <w:start w:val="25"/>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1)"/>
      <w:numFmt w:val="decimal"/>
      <w:start w:val="1"/>
    </w:lvl>
  </w:abstractNum>
  <w:abstractNum w:abstractNumId="49">
    <w:nsid w:val="76272110"/>
    <w:multiLevelType w:val="hybridMultilevel"/>
    <w:lvl w:ilvl="0">
      <w:lvlJc w:val="left"/>
      <w:lvlText w:val="(%1)"/>
      <w:numFmt w:val="decimal"/>
      <w:start w:val="4"/>
    </w:lvl>
  </w:abstractNum>
  <w:abstractNum w:abstractNumId="50">
    <w:nsid w:val="4C04A8AF"/>
    <w:multiLevelType w:val="hybridMultilevel"/>
    <w:lvl w:ilvl="0">
      <w:lvlJc w:val="left"/>
      <w:lvlText w:val="(%1)"/>
      <w:numFmt w:val="decimal"/>
      <w:start w:val="1"/>
    </w:lvl>
  </w:abstractNum>
  <w:abstractNum w:abstractNumId="51">
    <w:nsid w:val="1716703B"/>
    <w:multiLevelType w:val="hybridMultilevel"/>
    <w:lvl w:ilvl="0">
      <w:lvlJc w:val="left"/>
      <w:lvlText w:val="(%1)"/>
      <w:numFmt w:val="lowerRoman"/>
      <w:start w:val="1"/>
    </w:lvl>
  </w:abstractNum>
  <w:abstractNum w:abstractNumId="52">
    <w:nsid w:val="14E17E33"/>
    <w:multiLevelType w:val="hybridMultilevel"/>
    <w:lvl w:ilvl="0">
      <w:lvlJc w:val="left"/>
      <w:lvlText w:val="(%1)"/>
      <w:numFmt w:val="lowerRoman"/>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1)"/>
      <w:numFmt w:val="decimal"/>
      <w:start w:val="2"/>
    </w:lvl>
  </w:abstractNum>
  <w:abstractNum w:abstractNumId="58">
    <w:nsid w:val="4A2AC315"/>
    <w:multiLevelType w:val="hybridMultilevel"/>
    <w:lvl w:ilvl="0">
      <w:lvlJc w:val="left"/>
      <w:lvlText w:val="(%1)"/>
      <w:numFmt w:val="lowerLetter"/>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1)"/>
      <w:numFmt w:val="decimal"/>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1)"/>
      <w:numFmt w:val="decimal"/>
      <w:start w:val="1"/>
    </w:lvl>
    <w:lvl w:ilvl="1">
      <w:lvlJc w:val="left"/>
      <w:lvlText w:val="•"/>
      <w:numFmt w:val="bullet"/>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
      <w:numFmt w:val="bullet"/>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
      <w:numFmt w:val="bullet"/>
      <w:start w:val="1"/>
    </w:lvl>
  </w:abstractNum>
  <w:abstractNum w:abstractNumId="84">
    <w:nsid w:val="71C91298"/>
    <w:multiLevelType w:val="hybridMultilevel"/>
    <w:lvl w:ilvl="0">
      <w:lvlJc w:val="left"/>
      <w:lvlText w:val="•"/>
      <w:numFmt w:val="bullet"/>
      <w:start w:val="1"/>
    </w:lvl>
  </w:abstractNum>
  <w:abstractNum w:abstractNumId="85">
    <w:nsid w:val="9DAF632"/>
    <w:multiLevelType w:val="hybridMultilevel"/>
    <w:lvl w:ilvl="0">
      <w:lvlJc w:val="left"/>
      <w:lvlText w:val="•"/>
      <w:numFmt w:val="bullet"/>
      <w:start w:val="1"/>
    </w:lvl>
  </w:abstractNum>
  <w:abstractNum w:abstractNumId="86">
    <w:nsid w:val="53299938"/>
    <w:multiLevelType w:val="hybridMultilevel"/>
    <w:lvl w:ilvl="0">
      <w:lvlJc w:val="left"/>
      <w:lvlText w:val="•"/>
      <w:numFmt w:val="bullet"/>
      <w:start w:val="1"/>
    </w:lvl>
  </w:abstractNum>
  <w:abstractNum w:abstractNumId="87">
    <w:nsid w:val="1FBFE8E0"/>
    <w:multiLevelType w:val="hybridMultilevel"/>
    <w:lvl w:ilvl="0">
      <w:lvlJc w:val="left"/>
      <w:lvlText w:val="(%1)"/>
      <w:numFmt w:val="decimal"/>
      <w:start w:val="1"/>
    </w:lvl>
  </w:abstractNum>
  <w:abstractNum w:abstractNumId="88">
    <w:nsid w:val="5092CA79"/>
    <w:multiLevelType w:val="hybridMultilevel"/>
    <w:lvl w:ilvl="0">
      <w:lvlJc w:val="left"/>
      <w:lvlText w:val="(%1)"/>
      <w:numFmt w:val="decimal"/>
      <w:start w:val="1"/>
    </w:lvl>
    <w:lvl w:ilvl="1">
      <w:lvlJc w:val="left"/>
      <w:lvlText w:val="•"/>
      <w:numFmt w:val="bullet"/>
      <w:start w:val="1"/>
    </w:lvl>
  </w:abstractNum>
  <w:abstractNum w:abstractNumId="89">
    <w:nsid w:val="1D545C4D"/>
    <w:multiLevelType w:val="hybridMultilevel"/>
    <w:lvl w:ilvl="0">
      <w:lvlJc w:val="left"/>
      <w:lvlText w:val="(%1)"/>
      <w:numFmt w:val="decimal"/>
      <w:start w:val="1"/>
    </w:lvl>
  </w:abstractNum>
  <w:abstractNum w:abstractNumId="90">
    <w:nsid w:val="59ADEA3D"/>
    <w:multiLevelType w:val="hybridMultilevel"/>
    <w:lvl w:ilvl="0">
      <w:lvlJc w:val="left"/>
      <w:lvlText w:val="(%1)"/>
      <w:numFmt w:val="decimal"/>
      <w:start w:val="1"/>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
      <w:numFmt w:val="bullet"/>
      <w:start w:val="1"/>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
      <w:numFmt w:val="bullet"/>
      <w:start w:val="1"/>
    </w:lvl>
  </w:abstractNum>
  <w:abstractNum w:abstractNumId="95">
    <w:nsid w:val="51088277"/>
    <w:multiLevelType w:val="hybridMultilevel"/>
    <w:lvl w:ilvl="0">
      <w:lvlJc w:val="left"/>
      <w:lvlText w:val="•"/>
      <w:numFmt w:val="bullet"/>
      <w:start w:val="1"/>
    </w:lvl>
  </w:abstractNum>
  <w:abstractNum w:abstractNumId="96">
    <w:nsid w:val="1CA0C5FA"/>
    <w:multiLevelType w:val="hybridMultilevel"/>
    <w:lvl w:ilvl="0">
      <w:lvlJc w:val="left"/>
      <w:lvlText w:val="(%1)"/>
      <w:numFmt w:val="decimal"/>
      <w:start w:val="1"/>
    </w:lvl>
  </w:abstractNum>
  <w:abstractNum w:abstractNumId="97">
    <w:nsid w:val="53584BCB"/>
    <w:multiLevelType w:val="hybridMultilevel"/>
    <w:lvl w:ilvl="0">
      <w:lvlJc w:val="left"/>
      <w:lvlText w:val="(%1)"/>
      <w:numFmt w:val="decimal"/>
      <w:start w:val="2"/>
    </w:lvl>
  </w:abstractNum>
  <w:abstractNum w:abstractNumId="98">
    <w:nsid w:val="415E286C"/>
    <w:multiLevelType w:val="hybridMultilevel"/>
    <w:lvl w:ilvl="0">
      <w:lvlJc w:val="left"/>
      <w:lvlText w:val="(%1)"/>
      <w:numFmt w:val="decimal"/>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
      <w:numFmt w:val="bullet"/>
      <w:start w:val="1"/>
    </w:lvl>
  </w:abstractNum>
  <w:abstractNum w:abstractNumId="101">
    <w:nsid w:val="45E6D486"/>
    <w:multiLevelType w:val="hybridMultilevel"/>
    <w:lvl w:ilvl="0">
      <w:lvlJc w:val="left"/>
      <w:lvlText w:val="•"/>
      <w:numFmt w:val="bullet"/>
      <w:start w:val="1"/>
    </w:lvl>
    <w:lvl w:ilvl="1">
      <w:lvlJc w:val="left"/>
      <w:lvlText w:val="•"/>
      <w:numFmt w:val="bullet"/>
      <w:start w:val="1"/>
    </w:lvl>
  </w:abstractNum>
  <w:abstractNum w:abstractNumId="102">
    <w:nsid w:val="5C10FE21"/>
    <w:multiLevelType w:val="hybridMultilevel"/>
    <w:lvl w:ilvl="0">
      <w:lvlJc w:val="left"/>
      <w:lvlText w:val="•"/>
      <w:numFmt w:val="bullet"/>
      <w:start w:val="1"/>
    </w:lvl>
  </w:abstractNum>
  <w:abstractNum w:abstractNumId="103">
    <w:nsid w:val="E7FFA2B"/>
    <w:multiLevelType w:val="hybridMultilevel"/>
    <w:lvl w:ilvl="0">
      <w:lvlJc w:val="left"/>
      <w:lvlText w:val="•"/>
      <w:numFmt w:val="bullet"/>
      <w:start w:val="1"/>
    </w:lvl>
  </w:abstractNum>
  <w:abstractNum w:abstractNumId="104">
    <w:nsid w:val="3C5991AA"/>
    <w:multiLevelType w:val="hybridMultilevel"/>
    <w:lvl w:ilvl="0">
      <w:lvlJc w:val="left"/>
      <w:lvlText w:val="•"/>
      <w:numFmt w:val="bullet"/>
      <w:start w:val="1"/>
    </w:lvl>
  </w:abstractNum>
  <w:abstractNum w:abstractNumId="105">
    <w:nsid w:val="4BD8591A"/>
    <w:multiLevelType w:val="hybridMultilevel"/>
    <w:lvl w:ilvl="0">
      <w:lvlJc w:val="left"/>
      <w:lvlText w:val="•"/>
      <w:numFmt w:val="bullet"/>
      <w:start w:val="1"/>
    </w:lvl>
  </w:abstractNum>
  <w:abstractNum w:abstractNumId="106">
    <w:nsid w:val="78DF6A55"/>
    <w:multiLevelType w:val="hybridMultilevel"/>
    <w:lvl w:ilvl="0">
      <w:lvlJc w:val="left"/>
      <w:lvlText w:val="•"/>
      <w:numFmt w:val="bullet"/>
      <w:start w:val="1"/>
    </w:lvl>
  </w:abstractNum>
  <w:abstractNum w:abstractNumId="107">
    <w:nsid w:val="39B7AAA2"/>
    <w:multiLevelType w:val="hybridMultilevel"/>
    <w:lvl w:ilvl="0">
      <w:lvlJc w:val="left"/>
      <w:lvlText w:val="•"/>
      <w:numFmt w:val="bullet"/>
      <w:start w:val="1"/>
    </w:lvl>
  </w:abstractNum>
  <w:abstractNum w:abstractNumId="108">
    <w:nsid w:val="2B0D8DBE"/>
    <w:multiLevelType w:val="hybridMultilevel"/>
    <w:lvl w:ilvl="0">
      <w:lvlJc w:val="left"/>
      <w:lvlText w:val="•"/>
      <w:numFmt w:val="bullet"/>
      <w:start w:val="1"/>
    </w:lvl>
  </w:abstractNum>
  <w:abstractNum w:abstractNumId="109">
    <w:nsid w:val="6C80EC70"/>
    <w:multiLevelType w:val="hybridMultilevel"/>
    <w:lvl w:ilvl="0">
      <w:lvlJc w:val="left"/>
      <w:lvlText w:val="•"/>
      <w:numFmt w:val="bullet"/>
      <w:start w:val="1"/>
    </w:lvl>
  </w:abstractNum>
  <w:abstractNum w:abstractNumId="110">
    <w:nsid w:val="379E21B5"/>
    <w:multiLevelType w:val="hybridMultilevel"/>
    <w:lvl w:ilvl="0">
      <w:lvlJc w:val="left"/>
      <w:lvlText w:val="•"/>
      <w:numFmt w:val="bullet"/>
      <w:start w:val="1"/>
    </w:lvl>
  </w:abstractNum>
  <w:abstractNum w:abstractNumId="111">
    <w:nsid w:val="69E373"/>
    <w:multiLevelType w:val="hybridMultilevel"/>
    <w:lvl w:ilvl="0">
      <w:lvlJc w:val="left"/>
      <w:lvlText w:val="•"/>
      <w:numFmt w:val="bullet"/>
      <w:start w:val="1"/>
    </w:lvl>
  </w:abstractNum>
  <w:abstractNum w:abstractNumId="112">
    <w:nsid w:val="2C27173B"/>
    <w:multiLevelType w:val="hybridMultilevel"/>
    <w:lvl w:ilvl="0">
      <w:lvlJc w:val="left"/>
      <w:lvlText w:val="•"/>
      <w:numFmt w:val="bullet"/>
      <w:start w:val="1"/>
    </w:lvl>
  </w:abstractNum>
  <w:abstractNum w:abstractNumId="113">
    <w:nsid w:val="4C9B0904"/>
    <w:multiLevelType w:val="hybridMultilevel"/>
    <w:lvl w:ilvl="0">
      <w:lvlJc w:val="left"/>
      <w:lvlText w:val="•"/>
      <w:numFmt w:val="bullet"/>
      <w:start w:val="1"/>
    </w:lvl>
  </w:abstractNum>
  <w:abstractNum w:abstractNumId="114">
    <w:nsid w:val="6AA7B75C"/>
    <w:multiLevelType w:val="hybridMultilevel"/>
    <w:lvl w:ilvl="0">
      <w:lvlJc w:val="left"/>
      <w:lvlText w:val="•"/>
      <w:numFmt w:val="bullet"/>
      <w:start w:val="1"/>
    </w:lvl>
  </w:abstractNum>
  <w:abstractNum w:abstractNumId="115">
    <w:nsid w:val="1DF029D3"/>
    <w:multiLevelType w:val="hybridMultilevel"/>
    <w:lvl w:ilvl="0">
      <w:lvlJc w:val="left"/>
      <w:lvlText w:val="•"/>
      <w:numFmt w:val="bullet"/>
      <w:start w:val="1"/>
    </w:lvl>
  </w:abstractNum>
  <w:abstractNum w:abstractNumId="116">
    <w:nsid w:val="5675FF36"/>
    <w:multiLevelType w:val="hybridMultilevel"/>
    <w:lvl w:ilvl="0">
      <w:lvlJc w:val="left"/>
      <w:lvlText w:val="•"/>
      <w:numFmt w:val="bullet"/>
      <w:start w:val="1"/>
    </w:lvl>
  </w:abstractNum>
  <w:abstractNum w:abstractNumId="117">
    <w:nsid w:val="3DD15094"/>
    <w:multiLevelType w:val="hybridMultilevel"/>
    <w:lvl w:ilvl="0">
      <w:lvlJc w:val="left"/>
      <w:lvlText w:val="•"/>
      <w:numFmt w:val="bullet"/>
      <w:start w:val="1"/>
    </w:lvl>
  </w:abstractNum>
  <w:abstractNum w:abstractNumId="118">
    <w:nsid w:val="3DB012B3"/>
    <w:multiLevelType w:val="hybridMultilevel"/>
    <w:lvl w:ilvl="0">
      <w:lvlJc w:val="left"/>
      <w:lvlText w:val="•"/>
      <w:numFmt w:val="bullet"/>
      <w:start w:val="1"/>
    </w:lvl>
  </w:abstractNum>
  <w:abstractNum w:abstractNumId="119">
    <w:nsid w:val="2708C9AF"/>
    <w:multiLevelType w:val="hybridMultilevel"/>
    <w:lvl w:ilvl="0">
      <w:lvlJc w:val="left"/>
      <w:lvlText w:val="•"/>
      <w:numFmt w:val="bullet"/>
      <w:start w:val="1"/>
    </w:lvl>
  </w:abstractNum>
  <w:abstractNum w:abstractNumId="120">
    <w:nsid w:val="5B25ACE2"/>
    <w:multiLevelType w:val="hybridMultilevel"/>
    <w:lvl w:ilvl="0">
      <w:lvlJc w:val="left"/>
      <w:lvlText w:val="•"/>
      <w:numFmt w:val="bullet"/>
      <w:start w:val="1"/>
    </w:lvl>
  </w:abstractNum>
  <w:abstractNum w:abstractNumId="121">
    <w:nsid w:val="175DFCF0"/>
    <w:multiLevelType w:val="hybridMultilevel"/>
    <w:lvl w:ilvl="0">
      <w:lvlJc w:val="left"/>
      <w:lvlText w:val="•"/>
      <w:numFmt w:val="bullet"/>
      <w:start w:val="1"/>
    </w:lvl>
  </w:abstractNum>
  <w:abstractNum w:abstractNumId="122">
    <w:nsid w:val="4F97E3E4"/>
    <w:multiLevelType w:val="hybridMultilevel"/>
    <w:lvl w:ilvl="0">
      <w:lvlJc w:val="left"/>
      <w:lvlText w:val="*"/>
      <w:numFmt w:val="bullet"/>
      <w:start w:val="1"/>
    </w:lvl>
  </w:abstractNum>
  <w:abstractNum w:abstractNumId="123">
    <w:nsid w:val="53B0A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2019-12-08T09:24:01Z</dcterms:created>
  <dcterms:modified xsi:type="dcterms:W3CDTF">2019-12-08T09:24:01Z</dcterms:modified>
</cp:coreProperties>
</file>