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40" w:val="left"/>
          <w:tab w:leader="none" w:pos="2040" w:val="left"/>
        </w:tabs>
        <w:rPr>
          <w:sz w:val="20"/>
          <w:szCs w:val="20"/>
          <w:color w:val="auto"/>
        </w:rPr>
      </w:pPr>
      <w:r>
        <w:rPr>
          <w:rFonts w:ascii="Arial" w:cs="Arial" w:eastAsia="Arial" w:hAnsi="Arial"/>
          <w:sz w:val="18"/>
          <w:szCs w:val="18"/>
          <w:color w:val="auto"/>
        </w:rPr>
        <w:t>Form 20-F</w:t>
        <w:tab/>
        <w:t>þ 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The press release issued by GasLog Partners LP. on February 22, 2021 relating to its 2021 Annual Meeting of Limited Partners is attached hereto as Exhibit 99.1.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Paul A. Wogan</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2021 Annual Meeting of Limited Partners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Piraeus – February 22, 2021 - </w:t>
      </w:r>
      <w:r>
        <w:rPr>
          <w:rFonts w:ascii="Arial" w:cs="Arial" w:eastAsia="Arial" w:hAnsi="Arial"/>
          <w:sz w:val="18"/>
          <w:szCs w:val="18"/>
          <w:color w:val="auto"/>
        </w:rPr>
        <w:t>GasLog Partners LP (“GasLog Partners”) (NYSE: GLOP) announced today that its Board of Directors has called an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limited partners to be held virtually on Thursday, May 13, 2021.</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Unitholders of record at the close of business on Monday March 22, 2021 will be entitled to receive notice of, and to vote at, the annual meeting and at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Formal notice of the meeting and GasLog Partners’ proxy statement will be sent to unitholders of GasLog Partners in due course.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w:t>
      </w:r>
      <w:r>
        <w:rPr>
          <w:rFonts w:ascii="Arial" w:cs="Arial" w:eastAsia="Arial" w:hAnsi="Arial"/>
          <w:sz w:val="18"/>
          <w:szCs w:val="18"/>
          <w:u w:val="single" w:color="auto"/>
          <w:color w:val="0000FF"/>
        </w:rPr>
        <w:t>http://www.gaslogmlp.com.</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2021-02-22T05:52:03Z</dcterms:created>
  <dcterms:modified xsi:type="dcterms:W3CDTF">2021-02-22T05:52:03Z</dcterms:modified>
</cp:coreProperties>
</file>