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GasLog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Y2687W108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Y2687W108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80"/>
              <w:spacing w:after="0"/>
              <w:rPr>
                <w:sz w:val="20"/>
                <w:szCs w:val="20"/>
                <w:color w:val="auto"/>
              </w:rPr>
            </w:pPr>
            <w:r>
              <w:rPr>
                <w:rFonts w:ascii="Arial" w:cs="Arial" w:eastAsia="Arial" w:hAnsi="Arial"/>
                <w:sz w:val="22"/>
                <w:szCs w:val="22"/>
                <w:color w:val="auto"/>
              </w:rPr>
              <w:t>NAMES OF REPORTING PERSONS</w:t>
            </w: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Invesco Ltd.</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98-0557567</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2.</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(a) [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740" w:type="dxa"/>
            <w:vAlign w:val="bottom"/>
          </w:tcPr>
          <w:p>
            <w:pPr>
              <w:spacing w:after="0"/>
              <w:rPr>
                <w:sz w:val="23"/>
                <w:szCs w:val="23"/>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 [ ]</w:t>
            </w:r>
          </w:p>
        </w:tc>
        <w:tc>
          <w:tcPr>
            <w:tcW w:w="5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80"/>
              <w:spacing w:after="0"/>
              <w:rPr>
                <w:sz w:val="20"/>
                <w:szCs w:val="20"/>
                <w:color w:val="auto"/>
              </w:rPr>
            </w:pPr>
            <w:r>
              <w:rPr>
                <w:rFonts w:ascii="Arial" w:cs="Arial" w:eastAsia="Arial" w:hAnsi="Arial"/>
                <w:sz w:val="22"/>
                <w:szCs w:val="22"/>
                <w:color w:val="auto"/>
              </w:rPr>
              <w:t>SEC USE ONLY</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4.</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Bermuda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4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5920" w:type="dxa"/>
            <w:vAlign w:val="bottom"/>
          </w:tcPr>
          <w:p>
            <w:pPr>
              <w:ind w:left="360"/>
              <w:spacing w:after="0"/>
              <w:rPr>
                <w:sz w:val="20"/>
                <w:szCs w:val="20"/>
                <w:color w:val="auto"/>
              </w:rPr>
            </w:pPr>
            <w:r>
              <w:rPr>
                <w:rFonts w:ascii="Arial" w:cs="Arial" w:eastAsia="Arial" w:hAnsi="Arial"/>
                <w:sz w:val="22"/>
                <w:szCs w:val="22"/>
                <w:color w:val="auto"/>
              </w:rPr>
              <w:t>2,495,648</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40"/>
              <w:spacing w:after="0" w:line="243" w:lineRule="exact"/>
              <w:rPr>
                <w:sz w:val="20"/>
                <w:szCs w:val="20"/>
                <w:color w:val="auto"/>
              </w:rPr>
            </w:pPr>
            <w:r>
              <w:rPr>
                <w:rFonts w:ascii="Arial" w:cs="Arial" w:eastAsia="Arial" w:hAnsi="Arial"/>
                <w:sz w:val="22"/>
                <w:szCs w:val="22"/>
                <w:color w:val="auto"/>
              </w:rPr>
              <w:t>6. SHARED VOTING POWER</w:t>
            </w:r>
          </w:p>
        </w:tc>
        <w:tc>
          <w:tcPr>
            <w:tcW w:w="5920" w:type="dxa"/>
            <w:vAlign w:val="bottom"/>
          </w:tcPr>
          <w:p>
            <w:pPr>
              <w:ind w:left="36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2,495,648</w:t>
            </w: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5920" w:type="dxa"/>
            <w:vAlign w:val="bottom"/>
            <w:vMerge w:val="restart"/>
          </w:tcPr>
          <w:p>
            <w:pPr>
              <w:ind w:left="36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9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2,495,648</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 ]</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968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5.3%</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80"/>
              <w:spacing w:after="0"/>
              <w:rPr>
                <w:sz w:val="20"/>
                <w:szCs w:val="20"/>
                <w:color w:val="auto"/>
              </w:rPr>
            </w:pPr>
            <w:r>
              <w:rPr>
                <w:rFonts w:ascii="Arial" w:cs="Arial" w:eastAsia="Arial" w:hAnsi="Arial"/>
                <w:sz w:val="22"/>
                <w:szCs w:val="22"/>
                <w:color w:val="auto"/>
              </w:rPr>
              <w:t>TYPE OF REPORTING PERSON</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Arial" w:cs="Arial" w:eastAsia="Arial" w:hAnsi="Arial"/>
                <w:sz w:val="22"/>
                <w:szCs w:val="22"/>
                <w:color w:val="auto"/>
              </w:rPr>
              <w:t>HC, IA</w:t>
            </w:r>
          </w:p>
        </w:tc>
        <w:tc>
          <w:tcPr>
            <w:tcW w:w="5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Item 1.</w:t>
      </w:r>
    </w:p>
    <w:p>
      <w:pPr>
        <w:spacing w:after="0" w:line="125" w:lineRule="exact"/>
        <w:rPr>
          <w:sz w:val="20"/>
          <w:szCs w:val="20"/>
          <w:color w:val="auto"/>
        </w:rPr>
      </w:pPr>
    </w:p>
    <w:p>
      <w:pPr>
        <w:ind w:left="1520" w:right="7980" w:hanging="593"/>
        <w:spacing w:after="0" w:line="335" w:lineRule="auto"/>
        <w:tabs>
          <w:tab w:leader="none" w:pos="152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GasLog Partners LP</w:t>
      </w:r>
    </w:p>
    <w:p>
      <w:pPr>
        <w:spacing w:after="0" w:line="11" w:lineRule="exact"/>
        <w:rPr>
          <w:rFonts w:ascii="Arial" w:cs="Arial" w:eastAsia="Arial" w:hAnsi="Arial"/>
          <w:sz w:val="19"/>
          <w:szCs w:val="19"/>
          <w:b w:val="1"/>
          <w:bCs w:val="1"/>
          <w:color w:val="auto"/>
        </w:rPr>
      </w:pPr>
    </w:p>
    <w:p>
      <w:pPr>
        <w:ind w:left="1520" w:hanging="593"/>
        <w:spacing w:after="0"/>
        <w:tabs>
          <w:tab w:leader="none" w:pos="1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20"/>
        <w:spacing w:after="0"/>
        <w:rPr>
          <w:rFonts w:ascii="Arial" w:cs="Arial" w:eastAsia="Arial" w:hAnsi="Arial"/>
          <w:sz w:val="22"/>
          <w:szCs w:val="22"/>
          <w:b w:val="1"/>
          <w:bCs w:val="1"/>
          <w:color w:val="auto"/>
        </w:rPr>
      </w:pPr>
      <w:r>
        <w:rPr>
          <w:rFonts w:ascii="Arial" w:cs="Arial" w:eastAsia="Arial" w:hAnsi="Arial"/>
          <w:sz w:val="22"/>
          <w:szCs w:val="22"/>
          <w:color w:val="auto"/>
        </w:rPr>
        <w:t>Gildo Pastor Center, 7 Rue du Gabian, MC 98000, Monaco, MC 98000, MC</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20" w:right="720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1" w:lineRule="exact"/>
        <w:rPr>
          <w:rFonts w:ascii="Arial" w:cs="Arial" w:eastAsia="Arial" w:hAnsi="Arial"/>
          <w:sz w:val="19"/>
          <w:szCs w:val="19"/>
          <w:b w:val="1"/>
          <w:bCs w:val="1"/>
          <w:color w:val="auto"/>
        </w:rPr>
      </w:pPr>
    </w:p>
    <w:p>
      <w:pPr>
        <w:ind w:left="1520" w:right="434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1" w:lineRule="exact"/>
        <w:rPr>
          <w:rFonts w:ascii="Arial" w:cs="Arial" w:eastAsia="Arial" w:hAnsi="Arial"/>
          <w:sz w:val="19"/>
          <w:szCs w:val="19"/>
          <w:b w:val="1"/>
          <w:bCs w:val="1"/>
          <w:color w:val="auto"/>
        </w:rPr>
      </w:pPr>
    </w:p>
    <w:p>
      <w:pPr>
        <w:ind w:left="1520" w:right="870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1" w:lineRule="exact"/>
        <w:rPr>
          <w:rFonts w:ascii="Arial" w:cs="Arial" w:eastAsia="Arial" w:hAnsi="Arial"/>
          <w:sz w:val="19"/>
          <w:szCs w:val="19"/>
          <w:b w:val="1"/>
          <w:bCs w:val="1"/>
          <w:color w:val="auto"/>
        </w:rPr>
      </w:pPr>
    </w:p>
    <w:p>
      <w:pPr>
        <w:ind w:left="1520" w:right="734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520" w:right="8260" w:hanging="593"/>
        <w:spacing w:after="0" w:line="335" w:lineRule="auto"/>
        <w:tabs>
          <w:tab w:leader="none" w:pos="15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Y2687W108</w:t>
      </w:r>
    </w:p>
    <w:p>
      <w:pPr>
        <w:spacing w:after="0" w:line="1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260"/>
          </w:cols>
          <w:pgMar w:left="320" w:top="423" w:right="319" w:bottom="0" w:gutter="0" w:footer="0" w:header="0"/>
        </w:sectPr>
      </w:pPr>
    </w:p>
    <w:p>
      <w:pPr>
        <w:spacing w:after="0" w:line="131"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7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1813);</w:t>
      </w:r>
    </w:p>
    <w:p>
      <w:pPr>
        <w:spacing w:after="0" w:line="107"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2000" w:space="340"/>
            <w:col w:w="8920"/>
          </w:cols>
          <w:pgMar w:left="320" w:top="423" w:right="319" w:bottom="0" w:gutter="0" w:footer="0" w:header="0"/>
          <w:type w:val="continuous"/>
        </w:sect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20" w:right="8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2,495,648 shares of the Issuer which are held of record by clients of Invesco Ltd. ..</w:t>
      </w:r>
    </w:p>
    <w:p>
      <w:pPr>
        <w:spacing w:after="0" w:line="24" w:lineRule="exact"/>
        <w:rPr>
          <w:rFonts w:ascii="Arial" w:cs="Arial" w:eastAsia="Arial" w:hAnsi="Arial"/>
          <w:sz w:val="22"/>
          <w:szCs w:val="22"/>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20"/>
        <w:spacing w:after="0"/>
        <w:rPr>
          <w:rFonts w:ascii="Arial" w:cs="Arial" w:eastAsia="Arial" w:hAnsi="Arial"/>
          <w:sz w:val="22"/>
          <w:szCs w:val="22"/>
          <w:color w:val="auto"/>
        </w:rPr>
      </w:pPr>
      <w:r>
        <w:rPr>
          <w:rFonts w:ascii="Arial" w:cs="Arial" w:eastAsia="Arial" w:hAnsi="Arial"/>
          <w:sz w:val="22"/>
          <w:szCs w:val="22"/>
          <w:color w:val="auto"/>
        </w:rPr>
        <w:t>5.3%</w:t>
      </w:r>
    </w:p>
    <w:p>
      <w:pPr>
        <w:spacing w:after="0" w:line="125" w:lineRule="exact"/>
        <w:rPr>
          <w:rFonts w:ascii="Arial" w:cs="Arial" w:eastAsia="Arial" w:hAnsi="Arial"/>
          <w:sz w:val="22"/>
          <w:szCs w:val="22"/>
          <w:color w:val="auto"/>
        </w:rPr>
      </w:pPr>
    </w:p>
    <w:p>
      <w:pPr>
        <w:ind w:left="1520" w:hanging="593"/>
        <w:spacing w:after="0"/>
        <w:tabs>
          <w:tab w:leader="none" w:pos="1520" w:val="left"/>
        </w:tabs>
        <w:numPr>
          <w:ilvl w:val="0"/>
          <w:numId w:val="4"/>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ectPr>
          <w:pgSz w:w="11900" w:h="16838" w:orient="portrait"/>
          <w:cols w:equalWidth="0" w:num="1">
            <w:col w:w="11260"/>
          </w:cols>
          <w:pgMar w:left="320" w:top="423" w:right="319" w:bottom="0" w:gutter="0" w:footer="0" w:header="0"/>
          <w:type w:val="continuous"/>
        </w:sectPr>
      </w:pPr>
    </w:p>
    <w:p>
      <w:pPr>
        <w:spacing w:after="0" w:line="125" w:lineRule="exact"/>
        <w:rPr>
          <w:sz w:val="20"/>
          <w:szCs w:val="20"/>
          <w:color w:val="auto"/>
        </w:rPr>
      </w:pPr>
    </w:p>
    <w:p>
      <w:pPr>
        <w:ind w:left="2340" w:hanging="818"/>
        <w:spacing w:after="0"/>
        <w:tabs>
          <w:tab w:leader="none" w:pos="2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40" w:hanging="818"/>
        <w:spacing w:after="0"/>
        <w:tabs>
          <w:tab w:leader="none" w:pos="2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40" w:hanging="818"/>
        <w:spacing w:after="0" w:line="183" w:lineRule="auto"/>
        <w:tabs>
          <w:tab w:leader="none" w:pos="2340" w:val="left"/>
        </w:tabs>
        <w:numPr>
          <w:ilvl w:val="0"/>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40" w:right="800" w:hanging="818"/>
        <w:spacing w:after="0" w:line="183" w:lineRule="auto"/>
        <w:tabs>
          <w:tab w:leader="none" w:pos="2340" w:val="left"/>
        </w:tabs>
        <w:numPr>
          <w:ilvl w:val="0"/>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2,495,648</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2,495,648</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40" w:space="320"/>
            <w:col w:w="4400"/>
          </w:cols>
          <w:pgMar w:left="320" w:top="423" w:right="319" w:bottom="0" w:gutter="0" w:footer="0" w:header="0"/>
          <w:type w:val="continuous"/>
        </w:sectPr>
      </w:pPr>
    </w:p>
    <w:p>
      <w:pPr>
        <w:ind w:left="920" w:right="5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60"/>
          </w:cols>
          <w:pgMar w:left="320" w:top="423" w:right="31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right="10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480" w:hanging="917"/>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140"/>
          </w:cols>
          <w:pgMar w:left="320" w:top="112" w:right="4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8890"/>
                    </a:xfrm>
                    <a:prstGeom prst="rect">
                      <a:avLst/>
                    </a:prstGeom>
                    <a:noFill/>
                  </pic:spPr>
                </pic:pic>
              </a:graphicData>
            </a:graphic>
          </wp:anchor>
        </w:drawing>
        <w:t>SIGNATURE</w:t>
      </w:r>
    </w:p>
    <w:p>
      <w:pPr>
        <w:spacing w:after="0" w:line="334" w:lineRule="exact"/>
        <w:rPr>
          <w:sz w:val="20"/>
          <w:szCs w:val="20"/>
          <w:color w:val="auto"/>
        </w:rPr>
      </w:pPr>
    </w:p>
    <w:p>
      <w:pPr>
        <w:ind w:right="2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Nancy L. Tomassone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Date: February 13, 2020</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Name: Nancy L. Tomassone</w:t>
      </w:r>
    </w:p>
    <w:p>
      <w:pPr>
        <w:spacing w:after="0" w:line="44"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Title: Global Assurance Officer</w:t>
      </w:r>
    </w:p>
    <w:p>
      <w:pPr>
        <w:sectPr>
          <w:pgSz w:w="11900" w:h="16838" w:orient="portrait"/>
          <w:cols w:equalWidth="0" w:num="1">
            <w:col w:w="9019"/>
          </w:cols>
          <w:pgMar w:left="1440" w:top="409" w:right="1440" w:bottom="1440" w:gutter="0" w:footer="0" w:header="0"/>
        </w:sectPr>
      </w:pPr>
    </w:p>
    <w:bookmarkStart w:id="5" w:name="page6"/>
    <w:bookmarkEnd w:id="5"/>
    <w:p>
      <w:pPr>
        <w:spacing w:after="0" w:line="3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02/10/2020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Nancy Tomassone</w:t>
      </w:r>
    </w:p>
    <w:p>
      <w:pPr>
        <w:spacing w:after="0" w:line="230" w:lineRule="auto"/>
        <w:rPr>
          <w:sz w:val="20"/>
          <w:szCs w:val="20"/>
          <w:color w:val="auto"/>
        </w:rPr>
      </w:pPr>
      <w:r>
        <w:rPr>
          <w:rFonts w:ascii="Arial" w:cs="Arial" w:eastAsia="Arial" w:hAnsi="Arial"/>
          <w:sz w:val="22"/>
          <w:szCs w:val="22"/>
          <w:color w:val="auto"/>
        </w:rPr>
        <w:t>Name: Nancy Tomassone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R. Leveille</w:t>
      </w:r>
    </w:p>
    <w:p>
      <w:pPr>
        <w:spacing w:after="0" w:line="230" w:lineRule="auto"/>
        <w:rPr>
          <w:sz w:val="20"/>
          <w:szCs w:val="20"/>
          <w:color w:val="auto"/>
        </w:rPr>
      </w:pPr>
      <w:r>
        <w:rPr>
          <w:rFonts w:ascii="Arial" w:cs="Arial" w:eastAsia="Arial" w:hAnsi="Arial"/>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Kate Archibald</w:t>
      </w:r>
    </w:p>
    <w:p>
      <w:pPr>
        <w:spacing w:after="0" w:line="230" w:lineRule="auto"/>
        <w:rPr>
          <w:sz w:val="20"/>
          <w:szCs w:val="20"/>
          <w:color w:val="auto"/>
        </w:rPr>
      </w:pPr>
      <w:r>
        <w:rPr>
          <w:rFonts w:ascii="Arial" w:cs="Arial" w:eastAsia="Arial" w:hAnsi="Arial"/>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SVP, Head of Compliance, and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Odeh Stevens</w:t>
      </w:r>
    </w:p>
    <w:p>
      <w:pPr>
        <w:spacing w:after="0" w:line="230" w:lineRule="auto"/>
        <w:rPr>
          <w:sz w:val="20"/>
          <w:szCs w:val="20"/>
          <w:color w:val="auto"/>
        </w:rPr>
      </w:pPr>
      <w:r>
        <w:rPr>
          <w:rFonts w:ascii="Arial" w:cs="Arial" w:eastAsia="Arial" w:hAnsi="Arial"/>
          <w:sz w:val="22"/>
          <w:szCs w:val="22"/>
          <w:color w:val="auto"/>
        </w:rPr>
        <w:t>Name: Odeh Stevens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Stephanie Ehrenfried</w:t>
      </w:r>
    </w:p>
    <w:p>
      <w:pPr>
        <w:spacing w:after="0" w:line="230" w:lineRule="auto"/>
        <w:rPr>
          <w:sz w:val="20"/>
          <w:szCs w:val="20"/>
          <w:color w:val="auto"/>
        </w:rPr>
      </w:pPr>
      <w:r>
        <w:rPr>
          <w:rFonts w:ascii="Arial" w:cs="Arial" w:eastAsia="Arial" w:hAnsi="Arial"/>
          <w:sz w:val="22"/>
          <w:szCs w:val="22"/>
          <w:color w:val="auto"/>
        </w:rPr>
        <w:t>Name: Stephanie Ehrenfried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Legal Continental Europe &amp; Cross-Border Funds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Director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Laurent Vitel-Lepinay</w:t>
      </w:r>
    </w:p>
    <w:p>
      <w:pPr>
        <w:spacing w:after="0" w:line="230" w:lineRule="auto"/>
        <w:rPr>
          <w:sz w:val="20"/>
          <w:szCs w:val="20"/>
          <w:color w:val="auto"/>
        </w:rPr>
      </w:pPr>
      <w:r>
        <w:rPr>
          <w:rFonts w:ascii="Arial" w:cs="Arial" w:eastAsia="Arial" w:hAnsi="Arial"/>
          <w:sz w:val="22"/>
          <w:szCs w:val="22"/>
          <w:color w:val="auto"/>
        </w:rPr>
        <w:t>Name: Laurent Vitel-Lepinay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Deputy CEO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Bernard Aybran</w:t>
      </w:r>
    </w:p>
    <w:p>
      <w:pPr>
        <w:spacing w:after="0" w:line="230" w:lineRule="auto"/>
        <w:rPr>
          <w:sz w:val="20"/>
          <w:szCs w:val="20"/>
          <w:color w:val="auto"/>
        </w:rPr>
      </w:pPr>
      <w:r>
        <w:rPr>
          <w:rFonts w:ascii="Arial" w:cs="Arial" w:eastAsia="Arial" w:hAnsi="Arial"/>
          <w:sz w:val="22"/>
          <w:szCs w:val="22"/>
          <w:color w:val="auto"/>
        </w:rPr>
        <w:t>Name: Bernard Aybran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Multi-Management CIO</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Jacky Hsiao</w:t>
      </w:r>
    </w:p>
    <w:p>
      <w:pPr>
        <w:spacing w:after="0" w:line="230" w:lineRule="auto"/>
        <w:rPr>
          <w:sz w:val="20"/>
          <w:szCs w:val="20"/>
          <w:color w:val="auto"/>
        </w:rPr>
      </w:pPr>
      <w:r>
        <w:rPr>
          <w:rFonts w:ascii="Arial" w:cs="Arial" w:eastAsia="Arial" w:hAnsi="Arial"/>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Manager</w:t>
      </w:r>
    </w:p>
    <w:p>
      <w:pPr>
        <w:sectPr>
          <w:pgSz w:w="11900" w:h="16877" w:orient="portrait"/>
          <w:cols w:equalWidth="0" w:num="1">
            <w:col w:w="11120"/>
          </w:cols>
          <w:pgMar w:left="340" w:top="111" w:right="439" w:bottom="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Invesco Asset Management (Japan)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Tsuyoshi Mochiyama</w:t>
      </w:r>
    </w:p>
    <w:p>
      <w:pPr>
        <w:spacing w:after="0" w:line="230" w:lineRule="auto"/>
        <w:rPr>
          <w:sz w:val="20"/>
          <w:szCs w:val="20"/>
          <w:color w:val="auto"/>
        </w:rPr>
      </w:pPr>
      <w:r>
        <w:rPr>
          <w:rFonts w:ascii="Arial" w:cs="Arial" w:eastAsia="Arial" w:hAnsi="Arial"/>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Capital Management,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Melanie Zimdars</w:t>
      </w:r>
    </w:p>
    <w:p>
      <w:pPr>
        <w:spacing w:after="0" w:line="230" w:lineRule="auto"/>
        <w:rPr>
          <w:sz w:val="20"/>
          <w:szCs w:val="20"/>
          <w:color w:val="auto"/>
        </w:rPr>
      </w:pPr>
      <w:r>
        <w:rPr>
          <w:rFonts w:ascii="Arial" w:cs="Arial" w:eastAsia="Arial" w:hAnsi="Arial"/>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ICM &amp; ETFs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Trisha B Hancock</w:t>
      </w:r>
    </w:p>
    <w:p>
      <w:pPr>
        <w:spacing w:after="0" w:line="230" w:lineRule="auto"/>
        <w:rPr>
          <w:sz w:val="20"/>
          <w:szCs w:val="20"/>
          <w:color w:val="auto"/>
        </w:rPr>
      </w:pPr>
      <w:r>
        <w:rPr>
          <w:rFonts w:ascii="Arial" w:cs="Arial" w:eastAsia="Arial" w:hAnsi="Arial"/>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Broker-Dealers and UITs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Joslyn Telford</w:t>
      </w:r>
    </w:p>
    <w:p>
      <w:pPr>
        <w:spacing w:after="0" w:line="230" w:lineRule="auto"/>
        <w:rPr>
          <w:sz w:val="20"/>
          <w:szCs w:val="20"/>
          <w:color w:val="auto"/>
        </w:rPr>
      </w:pPr>
      <w:r>
        <w:rPr>
          <w:rFonts w:ascii="Arial" w:cs="Arial" w:eastAsia="Arial" w:hAnsi="Arial"/>
          <w:sz w:val="22"/>
          <w:szCs w:val="22"/>
          <w:color w:val="auto"/>
        </w:rPr>
        <w:t>Name: Joslyn Telford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Compliance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Private Capital,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Josh E Levit</w:t>
      </w:r>
    </w:p>
    <w:p>
      <w:pPr>
        <w:spacing w:after="0" w:line="230" w:lineRule="auto"/>
        <w:rPr>
          <w:sz w:val="20"/>
          <w:szCs w:val="20"/>
          <w:color w:val="auto"/>
        </w:rPr>
      </w:pPr>
      <w:r>
        <w:rPr>
          <w:rFonts w:ascii="Arial" w:cs="Arial" w:eastAsia="Arial" w:hAnsi="Arial"/>
          <w:sz w:val="22"/>
          <w:szCs w:val="22"/>
          <w:color w:val="auto"/>
        </w:rPr>
        <w:t>Name: Josh E Levit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sectPr>
      <w:pgSz w:w="11900" w:h="16838" w:orient="portrait"/>
      <w:cols w:equalWidth="0" w:num="1">
        <w:col w:w="10119"/>
      </w:cols>
      <w:pgMar w:left="34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2020-02-13T12:55:37Z</dcterms:created>
  <dcterms:modified xsi:type="dcterms:W3CDTF">2020-02-13T12:55:37Z</dcterms:modified>
</cp:coreProperties>
</file>