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April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tabs>
          <w:tab w:leader="none" w:pos="9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435"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Partners LP and GasLog Ltd. on April 2, 2019 announcing GasLog Partners LP’s closing of the GasLog Glasgow Acquisition from GasLog Ltd. is included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00"/>
          </w:cols>
          <w:pgMar w:left="240" w:top="341" w:right="8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2019</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Andrew Orekar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1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Partners LP Announces Closing of the </w:t>
      </w:r>
      <w:r>
        <w:rPr>
          <w:rFonts w:ascii="Arial" w:cs="Arial" w:eastAsia="Arial" w:hAnsi="Arial"/>
          <w:sz w:val="18"/>
          <w:szCs w:val="18"/>
          <w:b w:val="1"/>
          <w:bCs w:val="1"/>
          <w:i w:val="1"/>
          <w:iCs w:val="1"/>
          <w:color w:val="auto"/>
        </w:rPr>
        <w:t>GasLog Glasgow</w:t>
      </w:r>
      <w:r>
        <w:rPr>
          <w:rFonts w:ascii="Arial" w:cs="Arial" w:eastAsia="Arial" w:hAnsi="Arial"/>
          <w:sz w:val="18"/>
          <w:szCs w:val="18"/>
          <w:b w:val="1"/>
          <w:bCs w:val="1"/>
          <w:color w:val="auto"/>
        </w:rPr>
        <w:t xml:space="preserve"> Acquisition from GasLog Ltd.</w:t>
      </w:r>
    </w:p>
    <w:p>
      <w:pPr>
        <w:spacing w:after="0" w:line="22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MONACO — April 2, 2019 — </w:t>
      </w:r>
      <w:r>
        <w:rPr>
          <w:rFonts w:ascii="Arial" w:cs="Arial" w:eastAsia="Arial" w:hAnsi="Arial"/>
          <w:sz w:val="16"/>
          <w:szCs w:val="16"/>
          <w:color w:val="auto"/>
        </w:rPr>
        <w:t>GasLog Partners LP (NYSE:GLOP) (“GasLog Partners” or the “Partnership”) and GasLog Ltd. (NYSE:GLOG) (“GasLog”)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announced today the closing of the Partnership’s acquisition from GasLog of 100% of the shares in the entity that owns and charters the </w:t>
      </w:r>
      <w:r>
        <w:rPr>
          <w:rFonts w:ascii="Arial" w:cs="Arial" w:eastAsia="Arial" w:hAnsi="Arial"/>
          <w:sz w:val="16"/>
          <w:szCs w:val="16"/>
          <w:i w:val="1"/>
          <w:iCs w:val="1"/>
          <w:color w:val="auto"/>
        </w:rPr>
        <w:t>GasLog Glasgow</w:t>
      </w:r>
      <w:r>
        <w:rPr>
          <w:rFonts w:ascii="Arial" w:cs="Arial" w:eastAsia="Arial" w:hAnsi="Arial"/>
          <w:sz w:val="16"/>
          <w:szCs w:val="16"/>
          <w:color w:val="auto"/>
        </w:rPr>
        <w:t>.</w:t>
      </w:r>
    </w:p>
    <w:p>
      <w:pPr>
        <w:spacing w:after="0" w:line="1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is a 174,000 cubic meter tri-fuel diesel electric liquefied natural gas (“LNG”) carrier built in 2016 and operated by GasLog since delivery. The vessel is currently on a multi-year time charter with a wholly owned subsidiary of Royal Dutch Shell plc (“Shell”) through June 2026. Shell has the option to extend the charter for a period of five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34 LNG carriers (26 ships on the water and 8 on order). GasLog also has an additional LNG carrier which was sold to a subsidiary of Mitsui Co. Ltd. and leased back under a long-term bareboat charter. GasLog’s consolidated fleet includes 15 LNG carriers in operation owned by GasLog’s subsidiary, GasLog Partners. GasLog’s principal executive offices are at Gildo Pastor Center, 7 Rue du Gabian, MC 98000, Monaco. Visit GasLog’s website at </w:t>
      </w:r>
      <w:r>
        <w:rPr>
          <w:rFonts w:ascii="Arial" w:cs="Arial" w:eastAsia="Arial" w:hAnsi="Arial"/>
          <w:sz w:val="18"/>
          <w:szCs w:val="18"/>
          <w:u w:val="single" w:color="auto"/>
          <w:color w:val="0000FF"/>
        </w:rPr>
        <w:t>http://www.gaslogltd.com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2019-12-03T16:37:26Z</dcterms:created>
  <dcterms:modified xsi:type="dcterms:W3CDTF">2019-12-03T16:37:26Z</dcterms:modified>
</cp:coreProperties>
</file>