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8">
        <w:r>
          <w:rPr>
            <w:rFonts w:ascii="Arial" w:cs="Arial" w:eastAsia="Arial" w:hAnsi="Arial"/>
            <w:sz w:val="22"/>
            <w:szCs w:val="22"/>
            <w:u w:val="single" w:color="auto"/>
            <w:color w:val="0000EE"/>
          </w:rPr>
          <w:t>GASLOG PARTNERS LP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33806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135890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(Mark One)</w:t>
      </w:r>
    </w:p>
    <w:p>
      <w:pPr>
        <w:spacing w:after="0" w:line="240" w:lineRule="exact"/>
        <w:rPr>
          <w:sz w:val="24"/>
          <w:szCs w:val="24"/>
          <w:color w:val="auto"/>
        </w:rPr>
      </w:pPr>
    </w:p>
    <w:p>
      <w:pPr>
        <w:ind w:left="940" w:hanging="591"/>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940" w:right="2060" w:hanging="591"/>
        <w:spacing w:after="0" w:line="275"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201" w:lineRule="exact"/>
        <w:rPr>
          <w:sz w:val="24"/>
          <w:szCs w:val="24"/>
          <w:color w:val="auto"/>
        </w:rPr>
      </w:pPr>
    </w:p>
    <w:p>
      <w:pPr>
        <w:ind w:left="940" w:hanging="59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940" w:hanging="59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Partners LP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Republic of the Marshall Islands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 GasLog Monaco S.A.M.</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Gildo Pastor Center</w:t>
      </w:r>
    </w:p>
    <w:p>
      <w:pPr>
        <w:jc w:val="center"/>
        <w:spacing w:after="0"/>
        <w:rPr>
          <w:sz w:val="20"/>
          <w:szCs w:val="20"/>
          <w:color w:val="auto"/>
        </w:rPr>
      </w:pPr>
      <w:r>
        <w:rPr>
          <w:rFonts w:ascii="Arial" w:cs="Arial" w:eastAsia="Arial" w:hAnsi="Arial"/>
          <w:sz w:val="13"/>
          <w:szCs w:val="13"/>
          <w:color w:val="auto"/>
        </w:rPr>
        <w:t>7 Rue du Gabian</w:t>
      </w:r>
    </w:p>
    <w:p>
      <w:pPr>
        <w:jc w:val="center"/>
        <w:spacing w:after="0"/>
        <w:rPr>
          <w:sz w:val="20"/>
          <w:szCs w:val="20"/>
          <w:color w:val="auto"/>
        </w:rPr>
      </w:pPr>
      <w:r>
        <w:rPr>
          <w:rFonts w:ascii="Arial" w:cs="Arial" w:eastAsia="Arial" w:hAnsi="Arial"/>
          <w:sz w:val="13"/>
          <w:szCs w:val="13"/>
          <w:color w:val="auto"/>
        </w:rPr>
        <w:t>MC 98000, Monaco</w:t>
      </w: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Nicola Lloyd, General Counsel</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 GasLog Monaco S.A.M.</w:t>
      </w:r>
    </w:p>
    <w:p>
      <w:pPr>
        <w:jc w:val="center"/>
        <w:spacing w:after="0"/>
        <w:rPr>
          <w:sz w:val="20"/>
          <w:szCs w:val="20"/>
          <w:color w:val="auto"/>
        </w:rPr>
      </w:pPr>
      <w:r>
        <w:rPr>
          <w:rFonts w:ascii="Arial" w:cs="Arial" w:eastAsia="Arial" w:hAnsi="Arial"/>
          <w:sz w:val="13"/>
          <w:szCs w:val="13"/>
          <w:color w:val="auto"/>
        </w:rPr>
        <w:t>Gildo Pastor Center</w:t>
      </w:r>
    </w:p>
    <w:p>
      <w:pPr>
        <w:jc w:val="center"/>
        <w:spacing w:after="0"/>
        <w:rPr>
          <w:sz w:val="20"/>
          <w:szCs w:val="20"/>
          <w:color w:val="auto"/>
        </w:rPr>
      </w:pPr>
      <w:r>
        <w:rPr>
          <w:rFonts w:ascii="Arial" w:cs="Arial" w:eastAsia="Arial" w:hAnsi="Arial"/>
          <w:sz w:val="13"/>
          <w:szCs w:val="13"/>
          <w:color w:val="auto"/>
        </w:rPr>
        <w:t>7 Rue du Gabian</w:t>
      </w:r>
    </w:p>
    <w:p>
      <w:pPr>
        <w:jc w:val="center"/>
        <w:spacing w:after="0"/>
        <w:rPr>
          <w:sz w:val="20"/>
          <w:szCs w:val="20"/>
          <w:color w:val="auto"/>
        </w:rPr>
      </w:pPr>
      <w:r>
        <w:rPr>
          <w:rFonts w:ascii="Arial" w:cs="Arial" w:eastAsia="Arial" w:hAnsi="Arial"/>
          <w:sz w:val="13"/>
          <w:szCs w:val="13"/>
          <w:color w:val="auto"/>
        </w:rPr>
        <w:t>MC 98000, Monaco</w:t>
      </w:r>
    </w:p>
    <w:p>
      <w:pPr>
        <w:jc w:val="center"/>
        <w:spacing w:after="0"/>
        <w:rPr>
          <w:sz w:val="20"/>
          <w:szCs w:val="20"/>
          <w:color w:val="auto"/>
        </w:rPr>
      </w:pPr>
      <w:r>
        <w:rPr>
          <w:rFonts w:ascii="Arial" w:cs="Arial" w:eastAsia="Arial" w:hAnsi="Arial"/>
          <w:sz w:val="13"/>
          <w:szCs w:val="13"/>
          <w:color w:val="auto"/>
        </w:rPr>
        <w:t>Telephone: +377 97 97 51 15 Facsimile: +377 97 97 51 24</w:t>
      </w:r>
    </w:p>
    <w:p>
      <w:pPr>
        <w:jc w:val="center"/>
        <w:spacing w:after="0"/>
        <w:rPr>
          <w:sz w:val="20"/>
          <w:szCs w:val="20"/>
          <w:color w:val="auto"/>
        </w:rPr>
      </w:pPr>
      <w:r>
        <w:rPr>
          <w:rFonts w:ascii="Arial" w:cs="Arial" w:eastAsia="Arial" w:hAnsi="Arial"/>
          <w:sz w:val="13"/>
          <w:szCs w:val="13"/>
          <w:b w:val="1"/>
          <w:bCs w:val="1"/>
          <w:color w:val="auto"/>
        </w:rPr>
        <w:t>(Name, Telephone, E-mail and/or Facsimile number and Address of Registrant contact person)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tc>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1"/>
        </w:trPr>
        <w:tc>
          <w:tcPr>
            <w:tcW w:w="7580" w:type="dxa"/>
            <w:vAlign w:val="bottom"/>
            <w:gridSpan w:val="3"/>
          </w:tcPr>
          <w:p>
            <w:pPr>
              <w:jc w:val="center"/>
              <w:ind w:right="2580"/>
              <w:spacing w:after="0"/>
              <w:rPr>
                <w:sz w:val="20"/>
                <w:szCs w:val="20"/>
                <w:color w:val="auto"/>
              </w:rPr>
            </w:pPr>
            <w:r>
              <w:rPr>
                <w:rFonts w:ascii="Arial" w:cs="Arial" w:eastAsia="Arial" w:hAnsi="Arial"/>
                <w:sz w:val="13"/>
                <w:szCs w:val="13"/>
                <w:b w:val="1"/>
                <w:bCs w:val="1"/>
                <w:color w:val="auto"/>
                <w:w w:val="93"/>
              </w:rPr>
              <w:t>Title of Each Class</w:t>
            </w:r>
          </w:p>
        </w:tc>
        <w:tc>
          <w:tcPr>
            <w:tcW w:w="3660" w:type="dxa"/>
            <w:vAlign w:val="bottom"/>
          </w:tcPr>
          <w:p>
            <w:pPr>
              <w:jc w:val="center"/>
              <w:ind w:right="593"/>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320" w:type="dxa"/>
            <w:vAlign w:val="bottom"/>
          </w:tcPr>
          <w:p>
            <w:pPr>
              <w:spacing w:after="0"/>
              <w:rPr>
                <w:sz w:val="24"/>
                <w:szCs w:val="24"/>
                <w:color w:val="auto"/>
              </w:rPr>
            </w:pPr>
          </w:p>
        </w:tc>
      </w:tr>
      <w:tr>
        <w:trPr>
          <w:trHeight w:val="131"/>
        </w:trPr>
        <w:tc>
          <w:tcPr>
            <w:tcW w:w="49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5"/>
              </w:rPr>
              <w:t>Common Units representing limited partner interests</w:t>
            </w:r>
          </w:p>
        </w:tc>
        <w:tc>
          <w:tcPr>
            <w:tcW w:w="16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660" w:type="dxa"/>
            <w:vAlign w:val="bottom"/>
            <w:tcBorders>
              <w:top w:val="single" w:sz="8" w:color="auto"/>
            </w:tcBorders>
          </w:tcPr>
          <w:p>
            <w:pPr>
              <w:jc w:val="center"/>
              <w:ind w:right="573"/>
              <w:spacing w:after="0" w:line="131" w:lineRule="exact"/>
              <w:rPr>
                <w:sz w:val="20"/>
                <w:szCs w:val="20"/>
                <w:color w:val="auto"/>
              </w:rPr>
            </w:pPr>
            <w:r>
              <w:rPr>
                <w:rFonts w:ascii="Arial" w:cs="Arial" w:eastAsia="Arial" w:hAnsi="Arial"/>
                <w:sz w:val="13"/>
                <w:szCs w:val="13"/>
                <w:color w:val="auto"/>
                <w:w w:val="94"/>
              </w:rPr>
              <w:t>New York Stock Exchange</w:t>
            </w:r>
          </w:p>
        </w:tc>
        <w:tc>
          <w:tcPr>
            <w:tcW w:w="320" w:type="dxa"/>
            <w:vAlign w:val="bottom"/>
            <w:tcBorders>
              <w:top w:val="single" w:sz="8" w:color="auto"/>
            </w:tcBorders>
          </w:tcPr>
          <w:p>
            <w:pPr>
              <w:spacing w:after="0"/>
              <w:rPr>
                <w:sz w:val="11"/>
                <w:szCs w:val="11"/>
                <w:color w:val="auto"/>
              </w:rPr>
            </w:pPr>
          </w:p>
        </w:tc>
      </w:tr>
      <w:tr>
        <w:trPr>
          <w:trHeight w:val="149"/>
        </w:trPr>
        <w:tc>
          <w:tcPr>
            <w:tcW w:w="7580" w:type="dxa"/>
            <w:vAlign w:val="bottom"/>
            <w:gridSpan w:val="3"/>
          </w:tcPr>
          <w:p>
            <w:pPr>
              <w:jc w:val="center"/>
              <w:ind w:right="2600"/>
              <w:spacing w:after="0"/>
              <w:rPr>
                <w:sz w:val="20"/>
                <w:szCs w:val="20"/>
                <w:color w:val="auto"/>
              </w:rPr>
            </w:pPr>
            <w:r>
              <w:rPr>
                <w:rFonts w:ascii="Arial" w:cs="Arial" w:eastAsia="Arial" w:hAnsi="Arial"/>
                <w:sz w:val="13"/>
                <w:szCs w:val="13"/>
                <w:color w:val="auto"/>
                <w:w w:val="92"/>
              </w:rPr>
              <w:t>Series A Preference Units</w:t>
            </w:r>
          </w:p>
        </w:tc>
        <w:tc>
          <w:tcPr>
            <w:tcW w:w="3660" w:type="dxa"/>
            <w:vAlign w:val="bottom"/>
          </w:tcPr>
          <w:p>
            <w:pPr>
              <w:jc w:val="center"/>
              <w:ind w:right="573"/>
              <w:spacing w:after="0"/>
              <w:rPr>
                <w:sz w:val="20"/>
                <w:szCs w:val="20"/>
                <w:color w:val="auto"/>
              </w:rPr>
            </w:pPr>
            <w:r>
              <w:rPr>
                <w:rFonts w:ascii="Arial" w:cs="Arial" w:eastAsia="Arial" w:hAnsi="Arial"/>
                <w:sz w:val="13"/>
                <w:szCs w:val="13"/>
                <w:color w:val="auto"/>
                <w:w w:val="94"/>
              </w:rPr>
              <w:t>New York Stock Exchange</w:t>
            </w:r>
          </w:p>
        </w:tc>
        <w:tc>
          <w:tcPr>
            <w:tcW w:w="320" w:type="dxa"/>
            <w:vAlign w:val="bottom"/>
          </w:tcPr>
          <w:p>
            <w:pPr>
              <w:spacing w:after="0"/>
              <w:rPr>
                <w:sz w:val="12"/>
                <w:szCs w:val="12"/>
                <w:color w:val="auto"/>
              </w:rPr>
            </w:pPr>
          </w:p>
        </w:tc>
      </w:tr>
      <w:tr>
        <w:trPr>
          <w:trHeight w:val="149"/>
        </w:trPr>
        <w:tc>
          <w:tcPr>
            <w:tcW w:w="7580" w:type="dxa"/>
            <w:vAlign w:val="bottom"/>
            <w:gridSpan w:val="3"/>
          </w:tcPr>
          <w:p>
            <w:pPr>
              <w:jc w:val="center"/>
              <w:ind w:right="2600"/>
              <w:spacing w:after="0"/>
              <w:rPr>
                <w:sz w:val="20"/>
                <w:szCs w:val="20"/>
                <w:color w:val="auto"/>
              </w:rPr>
            </w:pPr>
            <w:r>
              <w:rPr>
                <w:rFonts w:ascii="Arial" w:cs="Arial" w:eastAsia="Arial" w:hAnsi="Arial"/>
                <w:sz w:val="13"/>
                <w:szCs w:val="13"/>
                <w:color w:val="auto"/>
                <w:w w:val="92"/>
              </w:rPr>
              <w:t>Series B Preference Units</w:t>
            </w:r>
          </w:p>
        </w:tc>
        <w:tc>
          <w:tcPr>
            <w:tcW w:w="3660" w:type="dxa"/>
            <w:vAlign w:val="bottom"/>
          </w:tcPr>
          <w:p>
            <w:pPr>
              <w:jc w:val="center"/>
              <w:ind w:right="573"/>
              <w:spacing w:after="0"/>
              <w:rPr>
                <w:sz w:val="20"/>
                <w:szCs w:val="20"/>
                <w:color w:val="auto"/>
              </w:rPr>
            </w:pPr>
            <w:r>
              <w:rPr>
                <w:rFonts w:ascii="Arial" w:cs="Arial" w:eastAsia="Arial" w:hAnsi="Arial"/>
                <w:sz w:val="13"/>
                <w:szCs w:val="13"/>
                <w:color w:val="auto"/>
                <w:w w:val="94"/>
              </w:rPr>
              <w:t>New York Stock Exchange</w:t>
            </w:r>
          </w:p>
        </w:tc>
        <w:tc>
          <w:tcPr>
            <w:tcW w:w="320" w:type="dxa"/>
            <w:vAlign w:val="bottom"/>
          </w:tcPr>
          <w:p>
            <w:pPr>
              <w:spacing w:after="0"/>
              <w:rPr>
                <w:sz w:val="12"/>
                <w:szCs w:val="12"/>
                <w:color w:val="auto"/>
              </w:rPr>
            </w:pPr>
          </w:p>
        </w:tc>
      </w:tr>
      <w:tr>
        <w:trPr>
          <w:trHeight w:val="172"/>
        </w:trPr>
        <w:tc>
          <w:tcPr>
            <w:tcW w:w="7580" w:type="dxa"/>
            <w:vAlign w:val="bottom"/>
            <w:gridSpan w:val="3"/>
          </w:tcPr>
          <w:p>
            <w:pPr>
              <w:jc w:val="center"/>
              <w:ind w:right="2600"/>
              <w:spacing w:after="0"/>
              <w:rPr>
                <w:sz w:val="20"/>
                <w:szCs w:val="20"/>
                <w:color w:val="auto"/>
              </w:rPr>
            </w:pPr>
            <w:r>
              <w:rPr>
                <w:rFonts w:ascii="Arial" w:cs="Arial" w:eastAsia="Arial" w:hAnsi="Arial"/>
                <w:sz w:val="13"/>
                <w:szCs w:val="13"/>
                <w:color w:val="auto"/>
                <w:w w:val="91"/>
              </w:rPr>
              <w:t>Series C Preference Units</w:t>
            </w:r>
          </w:p>
        </w:tc>
        <w:tc>
          <w:tcPr>
            <w:tcW w:w="3660" w:type="dxa"/>
            <w:vAlign w:val="bottom"/>
          </w:tcPr>
          <w:p>
            <w:pPr>
              <w:jc w:val="center"/>
              <w:ind w:right="573"/>
              <w:spacing w:after="0"/>
              <w:rPr>
                <w:sz w:val="20"/>
                <w:szCs w:val="20"/>
                <w:color w:val="auto"/>
              </w:rPr>
            </w:pPr>
            <w:r>
              <w:rPr>
                <w:rFonts w:ascii="Arial" w:cs="Arial" w:eastAsia="Arial" w:hAnsi="Arial"/>
                <w:sz w:val="13"/>
                <w:szCs w:val="13"/>
                <w:color w:val="auto"/>
                <w:w w:val="94"/>
              </w:rPr>
              <w:t>New York Stock Exchange</w:t>
            </w:r>
          </w:p>
        </w:tc>
        <w:tc>
          <w:tcPr>
            <w:tcW w:w="320" w:type="dxa"/>
            <w:vAlign w:val="bottom"/>
          </w:tcPr>
          <w:p>
            <w:pPr>
              <w:spacing w:after="0"/>
              <w:rPr>
                <w:sz w:val="14"/>
                <w:szCs w:val="14"/>
                <w:color w:val="auto"/>
              </w:rPr>
            </w:pPr>
          </w:p>
        </w:tc>
      </w:tr>
      <w:tr>
        <w:trPr>
          <w:trHeight w:val="365"/>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4"/>
        </w:trPr>
        <w:tc>
          <w:tcPr>
            <w:tcW w:w="758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FOR WHICH THERE IS A REPORTING OBLIGATION PURSUANT TO SECTION 15(d) OF THE ACT: </w:t>
            </w:r>
            <w:r>
              <w:rPr>
                <w:rFonts w:ascii="Arial" w:cs="Arial" w:eastAsia="Arial" w:hAnsi="Arial"/>
                <w:sz w:val="13"/>
                <w:szCs w:val="13"/>
                <w:color w:val="auto"/>
              </w:rPr>
              <w:t>None</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5"/>
        </w:trPr>
        <w:tc>
          <w:tcPr>
            <w:tcW w:w="11240" w:type="dxa"/>
            <w:vAlign w:val="bottom"/>
            <w:gridSpan w:val="4"/>
          </w:tcPr>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tc>
        <w:tc>
          <w:tcPr>
            <w:tcW w:w="320" w:type="dxa"/>
            <w:vAlign w:val="bottom"/>
          </w:tcPr>
          <w:p>
            <w:pPr>
              <w:spacing w:after="0"/>
              <w:rPr>
                <w:sz w:val="24"/>
                <w:szCs w:val="24"/>
                <w:color w:val="auto"/>
              </w:rPr>
            </w:pPr>
          </w:p>
        </w:tc>
      </w:tr>
      <w:tr>
        <w:trPr>
          <w:trHeight w:val="364"/>
        </w:trPr>
        <w:tc>
          <w:tcPr>
            <w:tcW w:w="11240" w:type="dxa"/>
            <w:vAlign w:val="bottom"/>
            <w:gridSpan w:val="4"/>
          </w:tcPr>
          <w:p>
            <w:pPr>
              <w:spacing w:after="0"/>
              <w:rPr>
                <w:sz w:val="20"/>
                <w:szCs w:val="20"/>
                <w:color w:val="auto"/>
              </w:rPr>
            </w:pPr>
            <w:r>
              <w:rPr>
                <w:rFonts w:ascii="Arial" w:cs="Arial" w:eastAsia="Arial" w:hAnsi="Arial"/>
                <w:sz w:val="13"/>
                <w:szCs w:val="13"/>
                <w:color w:val="auto"/>
                <w:w w:val="94"/>
              </w:rPr>
              <w:t>As of December 31, 2018, there were 45,448,993 Partnership common units, 5,750,000 Series A Preference Units, 4,600,000 Series B Preference Units and 4,000,000 Series C Preference Units outstanding.</w:t>
            </w:r>
          </w:p>
        </w:tc>
        <w:tc>
          <w:tcPr>
            <w:tcW w:w="320" w:type="dxa"/>
            <w:vAlign w:val="bottom"/>
          </w:tcPr>
          <w:p>
            <w:pPr>
              <w:spacing w:after="0"/>
              <w:rPr>
                <w:sz w:val="24"/>
                <w:szCs w:val="24"/>
                <w:color w:val="auto"/>
              </w:rPr>
            </w:pPr>
          </w:p>
        </w:tc>
      </w:tr>
      <w:tr>
        <w:trPr>
          <w:trHeight w:val="364"/>
        </w:trPr>
        <w:tc>
          <w:tcPr>
            <w:tcW w:w="7580" w:type="dxa"/>
            <w:vAlign w:val="bottom"/>
            <w:gridSpan w:val="3"/>
          </w:tcPr>
          <w:p>
            <w:pPr>
              <w:spacing w:after="0"/>
              <w:rPr>
                <w:sz w:val="20"/>
                <w:szCs w:val="20"/>
                <w:color w:val="auto"/>
              </w:rPr>
            </w:pPr>
            <w:r>
              <w:rPr>
                <w:rFonts w:ascii="Arial" w:cs="Arial" w:eastAsia="Arial" w:hAnsi="Arial"/>
                <w:sz w:val="13"/>
                <w:szCs w:val="13"/>
                <w:color w:val="auto"/>
              </w:rPr>
              <w:t>Indicate by check mark if the Company is a well-known seasoned issuer, as defined in Rule 405 of the Securities Act.</w:t>
            </w: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4"/>
        </w:trPr>
        <w:tc>
          <w:tcPr>
            <w:tcW w:w="4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ind w:left="3280"/>
              <w:spacing w:after="0"/>
              <w:rPr>
                <w:sz w:val="20"/>
                <w:szCs w:val="20"/>
                <w:color w:val="auto"/>
              </w:rPr>
            </w:pPr>
            <w:r>
              <w:rPr>
                <w:rFonts w:ascii="Arial" w:cs="Arial" w:eastAsia="Arial" w:hAnsi="Arial"/>
                <w:sz w:val="13"/>
                <w:szCs w:val="13"/>
                <w:color w:val="auto"/>
              </w:rPr>
              <w:t>Yes ý</w:t>
            </w:r>
          </w:p>
        </w:tc>
        <w:tc>
          <w:tcPr>
            <w:tcW w:w="320" w:type="dxa"/>
            <w:vAlign w:val="bottom"/>
          </w:tcPr>
          <w:p>
            <w:pPr>
              <w:ind w:left="60"/>
              <w:spacing w:after="0"/>
              <w:rPr>
                <w:sz w:val="20"/>
                <w:szCs w:val="20"/>
                <w:color w:val="auto"/>
              </w:rPr>
            </w:pPr>
            <w:r>
              <w:rPr>
                <w:rFonts w:ascii="Arial" w:cs="Arial" w:eastAsia="Arial" w:hAnsi="Arial"/>
                <w:sz w:val="13"/>
                <w:szCs w:val="13"/>
                <w:color w:val="auto"/>
                <w:w w:val="87"/>
              </w:rPr>
              <w:t>No o</w:t>
            </w:r>
          </w:p>
        </w:tc>
      </w:tr>
      <w:tr>
        <w:trPr>
          <w:trHeight w:val="364"/>
        </w:trPr>
        <w:tc>
          <w:tcPr>
            <w:tcW w:w="11240" w:type="dxa"/>
            <w:vAlign w:val="bottom"/>
            <w:gridSpan w:val="4"/>
          </w:tcPr>
          <w:p>
            <w:pPr>
              <w:spacing w:after="0"/>
              <w:rPr>
                <w:sz w:val="20"/>
                <w:szCs w:val="20"/>
                <w:color w:val="auto"/>
              </w:rPr>
            </w:pPr>
            <w:r>
              <w:rPr>
                <w:rFonts w:ascii="Arial" w:cs="Arial" w:eastAsia="Arial" w:hAnsi="Arial"/>
                <w:sz w:val="13"/>
                <w:szCs w:val="13"/>
                <w:color w:val="auto"/>
              </w:rPr>
              <w:t>If this report is an annual or transition report, indicate by check mark if the Company is not required to file reports pursuant to Section 13 or 15(d) of the Securities Exchange Act of 1934.</w:t>
            </w:r>
          </w:p>
        </w:tc>
        <w:tc>
          <w:tcPr>
            <w:tcW w:w="320" w:type="dxa"/>
            <w:vAlign w:val="bottom"/>
          </w:tcPr>
          <w:p>
            <w:pPr>
              <w:spacing w:after="0"/>
              <w:rPr>
                <w:sz w:val="24"/>
                <w:szCs w:val="24"/>
                <w:color w:val="auto"/>
              </w:rPr>
            </w:pPr>
          </w:p>
        </w:tc>
      </w:tr>
      <w:tr>
        <w:trPr>
          <w:trHeight w:val="364"/>
        </w:trPr>
        <w:tc>
          <w:tcPr>
            <w:tcW w:w="4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ind w:left="3280"/>
              <w:spacing w:after="0"/>
              <w:rPr>
                <w:sz w:val="20"/>
                <w:szCs w:val="20"/>
                <w:color w:val="auto"/>
              </w:rPr>
            </w:pPr>
            <w:r>
              <w:rPr>
                <w:rFonts w:ascii="Arial" w:cs="Arial" w:eastAsia="Arial" w:hAnsi="Arial"/>
                <w:sz w:val="13"/>
                <w:szCs w:val="13"/>
                <w:color w:val="auto"/>
              </w:rPr>
              <w:t>Yes o</w:t>
            </w:r>
          </w:p>
        </w:tc>
        <w:tc>
          <w:tcPr>
            <w:tcW w:w="320" w:type="dxa"/>
            <w:vAlign w:val="bottom"/>
          </w:tcPr>
          <w:p>
            <w:pPr>
              <w:ind w:left="60"/>
              <w:spacing w:after="0"/>
              <w:rPr>
                <w:sz w:val="20"/>
                <w:szCs w:val="20"/>
                <w:color w:val="auto"/>
              </w:rPr>
            </w:pPr>
            <w:r>
              <w:rPr>
                <w:rFonts w:ascii="Arial" w:cs="Arial" w:eastAsia="Arial" w:hAnsi="Arial"/>
                <w:sz w:val="13"/>
                <w:szCs w:val="13"/>
                <w:color w:val="auto"/>
                <w:w w:val="89"/>
              </w:rPr>
              <w:t>No ý</w:t>
            </w:r>
          </w:p>
        </w:tc>
      </w:tr>
    </w:tbl>
    <w:p>
      <w:pPr>
        <w:spacing w:after="0" w:line="192" w:lineRule="exact"/>
        <w:rPr>
          <w:sz w:val="24"/>
          <w:szCs w:val="24"/>
          <w:color w:val="auto"/>
        </w:rPr>
      </w:pPr>
    </w:p>
    <w:p>
      <w:pPr>
        <w:ind w:right="120"/>
        <w:spacing w:after="0" w:line="274" w:lineRule="auto"/>
        <w:rPr>
          <w:sz w:val="20"/>
          <w:szCs w:val="20"/>
          <w:color w:val="auto"/>
        </w:rPr>
      </w:pPr>
      <w:r>
        <w:rPr>
          <w:rFonts w:ascii="Arial" w:cs="Arial" w:eastAsia="Arial" w:hAnsi="Arial"/>
          <w:sz w:val="13"/>
          <w:szCs w:val="13"/>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2" w:lineRule="exact"/>
        <w:rPr>
          <w:sz w:val="24"/>
          <w:szCs w:val="24"/>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ý</w:t>
      </w:r>
      <w:r>
        <w:rPr>
          <w:sz w:val="20"/>
          <w:szCs w:val="20"/>
          <w:color w:val="auto"/>
        </w:rPr>
        <w:tab/>
      </w:r>
      <w:r>
        <w:rPr>
          <w:rFonts w:ascii="Arial" w:cs="Arial" w:eastAsia="Arial" w:hAnsi="Arial"/>
          <w:sz w:val="12"/>
          <w:szCs w:val="12"/>
          <w:color w:val="auto"/>
        </w:rPr>
        <w:t>No o</w:t>
      </w:r>
    </w:p>
    <w:p>
      <w:pPr>
        <w:sectPr>
          <w:pgSz w:w="11900" w:h="16838" w:orient="portrait"/>
          <w:cols w:equalWidth="0" w:num="1">
            <w:col w:w="11560"/>
          </w:cols>
          <w:pgMar w:left="160" w:top="605" w:right="179" w:bottom="0" w:gutter="0" w:footer="0" w:header="0"/>
        </w:sectPr>
      </w:pPr>
    </w:p>
    <w:bookmarkStart w:id="1" w:name="page2"/>
    <w:bookmarkEnd w:id="1"/>
    <w:p>
      <w:pPr>
        <w:ind w:right="500"/>
        <w:spacing w:after="0" w:line="274" w:lineRule="auto"/>
        <w:rPr>
          <w:sz w:val="20"/>
          <w:szCs w:val="20"/>
          <w:color w:val="auto"/>
        </w:rPr>
      </w:pPr>
      <w:r>
        <w:rPr>
          <w:rFonts w:ascii="Arial" w:cs="Arial" w:eastAsia="Arial" w:hAnsi="Arial"/>
          <w:sz w:val="13"/>
          <w:szCs w:val="13"/>
          <w:color w:val="auto"/>
        </w:rPr>
        <w:t>Indicate by check mark whether the Company has submitted electronically every Interactive Data File required to be submitted pursuant to Rule 405 of Regulation S-T (§232.405 of this chapter) during the preceding 12 months (or for such shorter period that the Company was required to submit such files).</w:t>
      </w:r>
    </w:p>
    <w:p>
      <w:pPr>
        <w:spacing w:after="0" w:line="17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ý</w:t>
      </w:r>
      <w:r>
        <w:rPr>
          <w:sz w:val="20"/>
          <w:szCs w:val="20"/>
          <w:color w:val="auto"/>
        </w:rPr>
        <w:tab/>
      </w:r>
      <w:r>
        <w:rPr>
          <w:rFonts w:ascii="Arial" w:cs="Arial" w:eastAsia="Arial" w:hAnsi="Arial"/>
          <w:sz w:val="12"/>
          <w:szCs w:val="12"/>
          <w:color w:val="auto"/>
        </w:rPr>
        <w:t>No o</w:t>
      </w:r>
    </w:p>
    <w:p>
      <w:pPr>
        <w:spacing w:after="0" w:line="215" w:lineRule="exact"/>
        <w:rPr>
          <w:sz w:val="20"/>
          <w:szCs w:val="20"/>
          <w:color w:val="auto"/>
        </w:rPr>
      </w:pPr>
    </w:p>
    <w:p>
      <w:pPr>
        <w:ind w:right="2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72" w:lineRule="exact"/>
        <w:rPr>
          <w:sz w:val="20"/>
          <w:szCs w:val="20"/>
          <w:color w:val="auto"/>
        </w:rPr>
      </w:pPr>
    </w:p>
    <w:p>
      <w:pPr>
        <w:ind w:left="740"/>
        <w:spacing w:after="0"/>
        <w:tabs>
          <w:tab w:leader="none" w:pos="3800" w:val="left"/>
          <w:tab w:leader="none" w:pos="6600" w:val="left"/>
          <w:tab w:leader="none" w:pos="9380" w:val="left"/>
        </w:tabs>
        <w:rPr>
          <w:sz w:val="20"/>
          <w:szCs w:val="20"/>
          <w:color w:val="auto"/>
        </w:rPr>
      </w:pPr>
      <w:r>
        <w:rPr>
          <w:rFonts w:ascii="Arial" w:cs="Arial" w:eastAsia="Arial" w:hAnsi="Arial"/>
          <w:sz w:val="13"/>
          <w:szCs w:val="13"/>
          <w:color w:val="auto"/>
        </w:rPr>
        <w:t>Large accelerated filer ý</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provided pursuant to Section 13(a) of the Exchange Act. 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which basis of accounting the Company has used to prepare the financial statements included in this filing.</w:t>
      </w:r>
    </w:p>
    <w:p>
      <w:pPr>
        <w:spacing w:after="0" w:line="215" w:lineRule="exact"/>
        <w:rPr>
          <w:sz w:val="20"/>
          <w:szCs w:val="20"/>
          <w:color w:val="auto"/>
        </w:rPr>
      </w:pPr>
    </w:p>
    <w:p>
      <w:pPr>
        <w:ind w:left="740"/>
        <w:spacing w:after="0"/>
        <w:tabs>
          <w:tab w:leader="none" w:pos="4320" w:val="left"/>
          <w:tab w:leader="none" w:pos="10240" w:val="left"/>
        </w:tabs>
        <w:rPr>
          <w:sz w:val="20"/>
          <w:szCs w:val="20"/>
          <w:color w:val="auto"/>
        </w:rPr>
      </w:pPr>
      <w:r>
        <w:rPr>
          <w:rFonts w:ascii="Arial" w:cs="Arial" w:eastAsia="Arial" w:hAnsi="Arial"/>
          <w:sz w:val="13"/>
          <w:szCs w:val="13"/>
          <w:color w:val="auto"/>
        </w:rPr>
        <w:t>U.S. GAAP o</w:t>
      </w:r>
      <w:r>
        <w:rPr>
          <w:sz w:val="20"/>
          <w:szCs w:val="20"/>
          <w:color w:val="auto"/>
        </w:rPr>
        <w:tab/>
      </w:r>
      <w:r>
        <w:rPr>
          <w:rFonts w:ascii="Arial" w:cs="Arial" w:eastAsia="Arial" w:hAnsi="Arial"/>
          <w:sz w:val="13"/>
          <w:szCs w:val="13"/>
          <w:color w:val="auto"/>
        </w:rPr>
        <w:t>International Financial Reporting Standards as issued</w:t>
      </w:r>
      <w:r>
        <w:rPr>
          <w:sz w:val="20"/>
          <w:szCs w:val="20"/>
          <w:color w:val="auto"/>
        </w:rPr>
        <w:tab/>
      </w:r>
      <w:r>
        <w:rPr>
          <w:rFonts w:ascii="Arial" w:cs="Arial" w:eastAsia="Arial" w:hAnsi="Arial"/>
          <w:sz w:val="12"/>
          <w:szCs w:val="12"/>
          <w:color w:val="auto"/>
        </w:rPr>
        <w:t>Other 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 the International Accounting Standards Board ý</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Company has elected to follow.</w:t>
      </w:r>
    </w:p>
    <w:p>
      <w:pPr>
        <w:spacing w:after="0" w:line="21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3"/>
          <w:szCs w:val="13"/>
          <w:color w:val="auto"/>
        </w:rPr>
        <w:t>Item 17 o</w:t>
      </w:r>
      <w:r>
        <w:rPr>
          <w:sz w:val="20"/>
          <w:szCs w:val="20"/>
          <w:color w:val="auto"/>
        </w:rPr>
        <w:tab/>
      </w:r>
      <w:r>
        <w:rPr>
          <w:rFonts w:ascii="Arial" w:cs="Arial" w:eastAsia="Arial" w:hAnsi="Arial"/>
          <w:sz w:val="12"/>
          <w:szCs w:val="12"/>
          <w:color w:val="auto"/>
        </w:rPr>
        <w:t>Item 18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Company is a shell company (as defined in Rule 12b-2 of the Exchange Act).</w:t>
      </w:r>
    </w:p>
    <w:p>
      <w:pPr>
        <w:spacing w:after="0" w:line="21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No ý</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33806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3418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9" w:right="1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760" w:type="dxa"/>
            <w:vAlign w:val="bottom"/>
            <w:gridSpan w:val="9"/>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REPORT</w:t>
              </w:r>
            </w:hyperlink>
          </w:p>
        </w:tc>
        <w:tc>
          <w:tcPr>
            <w:tcW w:w="6820" w:type="dxa"/>
            <w:vAlign w:val="bottom"/>
            <w:gridSpan w:val="26"/>
            <w:vMerge w:val="restart"/>
          </w:tcPr>
          <w:p>
            <w:pPr>
              <w:spacing w:after="0"/>
              <w:rPr>
                <w:sz w:val="14"/>
                <w:szCs w:val="1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0000EE"/>
            </w:tcBorders>
            <w:gridSpan w:val="9"/>
            <w:vMerge w:val="continue"/>
          </w:tcPr>
          <w:p>
            <w:pPr>
              <w:spacing w:after="0"/>
              <w:rPr>
                <w:sz w:val="14"/>
                <w:szCs w:val="14"/>
                <w:color w:val="auto"/>
              </w:rPr>
            </w:pPr>
          </w:p>
        </w:tc>
        <w:tc>
          <w:tcPr>
            <w:tcW w:w="6820" w:type="dxa"/>
            <w:vAlign w:val="bottom"/>
            <w:gridSpan w:val="26"/>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0000EE"/>
            </w:tcBorders>
            <w:gridSpan w:val="2"/>
          </w:tcPr>
          <w:p>
            <w:pPr>
              <w:jc w:val="right"/>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3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360" w:type="dxa"/>
            <w:vAlign w:val="bottom"/>
          </w:tcPr>
          <w:p>
            <w:pPr>
              <w:spacing w:after="0"/>
              <w:rPr>
                <w:sz w:val="17"/>
                <w:szCs w:val="17"/>
                <w:color w:val="auto"/>
              </w:rPr>
            </w:pPr>
          </w:p>
        </w:tc>
        <w:tc>
          <w:tcPr>
            <w:tcW w:w="160" w:type="dxa"/>
            <w:vAlign w:val="bottom"/>
            <w:gridSpan w:val="3"/>
          </w:tcPr>
          <w:p>
            <w:pPr>
              <w:jc w:val="right"/>
              <w:ind w:right="20"/>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 I</w:t>
              </w:r>
            </w:hyperlink>
          </w:p>
        </w:tc>
        <w:tc>
          <w:tcPr>
            <w:tcW w:w="600" w:type="dxa"/>
            <w:vAlign w:val="bottom"/>
            <w:tcBorders>
              <w:top w:val="single" w:sz="8" w:color="0000EE"/>
            </w:tcBorders>
            <w:gridSpan w:val="6"/>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1.</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2.</w:t>
              </w:r>
            </w:hyperlink>
          </w:p>
        </w:tc>
        <w:tc>
          <w:tcPr>
            <w:tcW w:w="540" w:type="dxa"/>
            <w:vAlign w:val="bottom"/>
            <w:gridSpan w:val="5"/>
          </w:tcPr>
          <w:p>
            <w:pPr>
              <w:spacing w:after="0"/>
              <w:rPr>
                <w:sz w:val="17"/>
                <w:szCs w:val="17"/>
                <w:color w:val="auto"/>
              </w:rPr>
            </w:pPr>
          </w:p>
        </w:tc>
        <w:tc>
          <w:tcPr>
            <w:tcW w:w="54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1980" w:type="dxa"/>
            <w:vAlign w:val="bottom"/>
            <w:gridSpan w:val="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3.</w:t>
              </w:r>
            </w:hyperlink>
          </w:p>
        </w:tc>
        <w:tc>
          <w:tcPr>
            <w:tcW w:w="540" w:type="dxa"/>
            <w:vAlign w:val="bottom"/>
            <w:gridSpan w:val="5"/>
          </w:tcPr>
          <w:p>
            <w:pPr>
              <w:spacing w:after="0"/>
              <w:rPr>
                <w:sz w:val="17"/>
                <w:szCs w:val="17"/>
                <w:color w:val="auto"/>
              </w:rPr>
            </w:pPr>
          </w:p>
        </w:tc>
        <w:tc>
          <w:tcPr>
            <w:tcW w:w="1620" w:type="dxa"/>
            <w:vAlign w:val="bottom"/>
            <w:gridSpan w:val="6"/>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KEY INFORMATION</w:t>
              </w:r>
            </w:hyperlink>
          </w:p>
        </w:tc>
        <w:tc>
          <w:tcPr>
            <w:tcW w:w="2240" w:type="dxa"/>
            <w:vAlign w:val="bottom"/>
            <w:gridSpan w:val="11"/>
          </w:tcPr>
          <w:p>
            <w:pPr>
              <w:spacing w:after="0"/>
              <w:rPr>
                <w:sz w:val="17"/>
                <w:szCs w:val="17"/>
                <w:color w:val="auto"/>
              </w:rPr>
            </w:pPr>
          </w:p>
        </w:tc>
        <w:tc>
          <w:tcPr>
            <w:tcW w:w="3580" w:type="dxa"/>
            <w:vAlign w:val="bottom"/>
            <w:gridSpan w:val="11"/>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ITEM 4.</w:t>
              </w:r>
            </w:hyperlink>
          </w:p>
        </w:tc>
        <w:tc>
          <w:tcPr>
            <w:tcW w:w="540" w:type="dxa"/>
            <w:vAlign w:val="bottom"/>
            <w:gridSpan w:val="5"/>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INFORMATION ON THE PARTNERSHIP</w:t>
              </w:r>
            </w:hyperlink>
          </w:p>
        </w:tc>
        <w:tc>
          <w:tcPr>
            <w:tcW w:w="434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4.A.</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UNRESOLVED STAFF COMMENTS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69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360" w:type="dxa"/>
            <w:vAlign w:val="bottom"/>
            <w:gridSpan w:val="3"/>
          </w:tcPr>
          <w:p>
            <w:pPr>
              <w:spacing w:after="0"/>
              <w:rPr>
                <w:sz w:val="17"/>
                <w:szCs w:val="17"/>
                <w:color w:val="auto"/>
              </w:rPr>
            </w:pPr>
          </w:p>
        </w:tc>
        <w:tc>
          <w:tcPr>
            <w:tcW w:w="45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OPERATING AND FINANCIAL REVIEW AND PROSPECTS</w:t>
              </w:r>
            </w:hyperlink>
          </w:p>
        </w:tc>
        <w:tc>
          <w:tcPr>
            <w:tcW w:w="288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69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ITEM 6.</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DIRECTORS, SENIOR MANAGEMENT AND EMPLOYEES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ITEM 7.</w:t>
              </w:r>
            </w:hyperlink>
          </w:p>
        </w:tc>
        <w:tc>
          <w:tcPr>
            <w:tcW w:w="540" w:type="dxa"/>
            <w:vAlign w:val="bottom"/>
            <w:gridSpan w:val="5"/>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MAJOR UNITHOLDERS AND RELATED PARTY TRANSACTIONS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ITEM 8.</w:t>
              </w:r>
            </w:hyperlink>
          </w:p>
        </w:tc>
        <w:tc>
          <w:tcPr>
            <w:tcW w:w="540" w:type="dxa"/>
            <w:vAlign w:val="bottom"/>
            <w:gridSpan w:val="5"/>
          </w:tcPr>
          <w:p>
            <w:pPr>
              <w:spacing w:after="0"/>
              <w:rPr>
                <w:sz w:val="17"/>
                <w:szCs w:val="17"/>
                <w:color w:val="auto"/>
              </w:rPr>
            </w:pPr>
          </w:p>
        </w:tc>
        <w:tc>
          <w:tcPr>
            <w:tcW w:w="5080" w:type="dxa"/>
            <w:vAlign w:val="bottom"/>
            <w:gridSpan w:val="2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FINANCIAL INFORMATION</w:t>
              </w:r>
            </w:hyperlink>
          </w:p>
        </w:tc>
        <w:tc>
          <w:tcPr>
            <w:tcW w:w="2360" w:type="dxa"/>
            <w:vAlign w:val="bottom"/>
            <w:gridSpan w:val="6"/>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ITEM 9.</w:t>
              </w:r>
            </w:hyperlink>
          </w:p>
        </w:tc>
        <w:tc>
          <w:tcPr>
            <w:tcW w:w="540" w:type="dxa"/>
            <w:vAlign w:val="bottom"/>
            <w:gridSpan w:val="5"/>
          </w:tcPr>
          <w:p>
            <w:pPr>
              <w:spacing w:after="0"/>
              <w:rPr>
                <w:sz w:val="17"/>
                <w:szCs w:val="17"/>
                <w:color w:val="auto"/>
              </w:rPr>
            </w:pPr>
          </w:p>
        </w:tc>
        <w:tc>
          <w:tcPr>
            <w:tcW w:w="2200" w:type="dxa"/>
            <w:vAlign w:val="bottom"/>
            <w:gridSpan w:val="10"/>
          </w:tcPr>
          <w:p>
            <w:pPr>
              <w:spacing w:after="0" w:line="196"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THE OFFER AND LISTING</w:t>
              </w:r>
            </w:hyperlink>
          </w:p>
        </w:tc>
        <w:tc>
          <w:tcPr>
            <w:tcW w:w="5240" w:type="dxa"/>
            <w:vAlign w:val="bottom"/>
            <w:gridSpan w:val="18"/>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10.</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ADDITIONAL INFORMATION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84"/>
              </w:rPr>
            </w:pPr>
            <w:hyperlink w:anchor="page146">
              <w:r>
                <w:rPr>
                  <w:rFonts w:ascii="Arial" w:cs="Arial" w:eastAsia="Arial" w:hAnsi="Arial"/>
                  <w:sz w:val="18"/>
                  <w:szCs w:val="18"/>
                  <w:color w:val="0000EE"/>
                  <w:w w:val="84"/>
                </w:rPr>
                <w:t>ITEM 11.</w:t>
              </w:r>
            </w:hyperlink>
          </w:p>
        </w:tc>
        <w:tc>
          <w:tcPr>
            <w:tcW w:w="480" w:type="dxa"/>
            <w:vAlign w:val="bottom"/>
            <w:gridSpan w:val="4"/>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QUANTITATIVE AND QUALITATIVE DISCLOSURES ABOUT MARKET RISK</w:t>
              </w:r>
            </w:hyperlink>
          </w:p>
        </w:tc>
        <w:tc>
          <w:tcPr>
            <w:tcW w:w="144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ITEM 12.</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DESCRIPTION OF SECURITIES OTHER THAN EQUITY SECURITIES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139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PART II</w:t>
              </w:r>
            </w:hyperlink>
          </w:p>
        </w:tc>
        <w:tc>
          <w:tcPr>
            <w:tcW w:w="60" w:type="dxa"/>
            <w:vAlign w:val="bottom"/>
          </w:tcPr>
          <w:p>
            <w:pPr>
              <w:spacing w:after="0"/>
              <w:rPr>
                <w:sz w:val="17"/>
                <w:szCs w:val="17"/>
                <w:color w:val="auto"/>
              </w:rPr>
            </w:pPr>
          </w:p>
        </w:tc>
        <w:tc>
          <w:tcPr>
            <w:tcW w:w="4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13.</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DEFAULTS, DIVIDEND ARREARAGES AND DELINQUENCIES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14.</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MATERIAL MODIFICATIONS TO THE RIGHTS OF SECURITY HOLDERS AND USE OF</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gridSpan w:val="3"/>
          </w:tcPr>
          <w:p>
            <w:pPr>
              <w:spacing w:after="0" w:line="196" w:lineRule="exact"/>
              <w:rPr>
                <w:rFonts w:ascii="Arial" w:cs="Arial" w:eastAsia="Arial" w:hAnsi="Arial"/>
                <w:sz w:val="18"/>
                <w:szCs w:val="18"/>
                <w:color w:val="0000EE"/>
                <w:w w:val="79"/>
              </w:rPr>
            </w:pPr>
            <w:hyperlink w:anchor="page147">
              <w:r>
                <w:rPr>
                  <w:rFonts w:ascii="Arial" w:cs="Arial" w:eastAsia="Arial" w:hAnsi="Arial"/>
                  <w:sz w:val="18"/>
                  <w:szCs w:val="18"/>
                  <w:color w:val="0000EE"/>
                  <w:w w:val="79"/>
                </w:rPr>
                <w:t>PROCEEDS</w:t>
              </w:r>
            </w:hyperlink>
          </w:p>
        </w:tc>
        <w:tc>
          <w:tcPr>
            <w:tcW w:w="5700" w:type="dxa"/>
            <w:vAlign w:val="bottom"/>
            <w:tcBorders>
              <w:top w:val="single" w:sz="8" w:color="0000EE"/>
            </w:tcBorders>
            <w:gridSpan w:val="22"/>
          </w:tcPr>
          <w:p>
            <w:pPr>
              <w:spacing w:after="0"/>
              <w:rPr>
                <w:sz w:val="17"/>
                <w:szCs w:val="17"/>
                <w:color w:val="auto"/>
              </w:rPr>
            </w:pPr>
          </w:p>
        </w:tc>
        <w:tc>
          <w:tcPr>
            <w:tcW w:w="720" w:type="dxa"/>
            <w:vAlign w:val="bottom"/>
            <w:gridSpan w:val="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15.</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CONTROLS AND PROCEDURES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ITEM 16.</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[RESERVED]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ITEM 16.A.</w:t>
              </w:r>
            </w:hyperlink>
          </w:p>
        </w:tc>
        <w:tc>
          <w:tcPr>
            <w:tcW w:w="320" w:type="dxa"/>
            <w:vAlign w:val="bottom"/>
            <w:gridSpan w:val="2"/>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AUDIT COMMITTEE FINANCIAL EXPERT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ITEM 16.B.</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1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CODE OF ETHICS</w:t>
              </w:r>
            </w:hyperlink>
          </w:p>
        </w:tc>
        <w:tc>
          <w:tcPr>
            <w:tcW w:w="412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ITEM 16.C.</w:t>
              </w:r>
            </w:hyperlink>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PRINCIPAL ACCOUNTANT FEES AND SERVICES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ITEM 16.D.</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EXEMPTIONS FROM THE LISTING STANDARDS FOR AUDIT COMMITTEES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ITEM 16.E.</w:t>
              </w:r>
            </w:hyperlink>
          </w:p>
        </w:tc>
        <w:tc>
          <w:tcPr>
            <w:tcW w:w="320" w:type="dxa"/>
            <w:vAlign w:val="bottom"/>
            <w:gridSpan w:val="2"/>
          </w:tcPr>
          <w:p>
            <w:pPr>
              <w:spacing w:after="0"/>
              <w:rPr>
                <w:sz w:val="17"/>
                <w:szCs w:val="17"/>
                <w:color w:val="auto"/>
              </w:rPr>
            </w:pPr>
          </w:p>
        </w:tc>
        <w:tc>
          <w:tcPr>
            <w:tcW w:w="6980" w:type="dxa"/>
            <w:vAlign w:val="bottom"/>
            <w:gridSpan w:val="27"/>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PURCHASES OF EQUITY SECURITIES BY THE ISSUER AND AFFILIATED PURCHASERS</w:t>
              </w:r>
            </w:hyperlink>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ITEM 16.F.</w:t>
              </w:r>
            </w:hyperlink>
          </w:p>
        </w:tc>
        <w:tc>
          <w:tcPr>
            <w:tcW w:w="320" w:type="dxa"/>
            <w:vAlign w:val="bottom"/>
            <w:gridSpan w:val="2"/>
          </w:tcPr>
          <w:p>
            <w:pPr>
              <w:spacing w:after="0"/>
              <w:rPr>
                <w:sz w:val="17"/>
                <w:szCs w:val="17"/>
                <w:color w:val="auto"/>
              </w:rPr>
            </w:pPr>
          </w:p>
        </w:tc>
        <w:tc>
          <w:tcPr>
            <w:tcW w:w="6980" w:type="dxa"/>
            <w:vAlign w:val="bottom"/>
            <w:gridSpan w:val="2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CHANGE IN PARTNERSHIP'S CERTIFYING ACCOUNTANT</w:t>
              </w:r>
            </w:hyperlink>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ITEM 16.G.</w:t>
              </w:r>
            </w:hyperlink>
          </w:p>
        </w:tc>
        <w:tc>
          <w:tcPr>
            <w:tcW w:w="240" w:type="dxa"/>
            <w:vAlign w:val="bottom"/>
          </w:tcPr>
          <w:p>
            <w:pPr>
              <w:spacing w:after="0"/>
              <w:rPr>
                <w:sz w:val="17"/>
                <w:szCs w:val="17"/>
                <w:color w:val="auto"/>
              </w:rPr>
            </w:pPr>
          </w:p>
        </w:tc>
        <w:tc>
          <w:tcPr>
            <w:tcW w:w="2280" w:type="dxa"/>
            <w:vAlign w:val="bottom"/>
            <w:gridSpan w:val="11"/>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CORPORATE GOVERNANCE</w:t>
              </w:r>
            </w:hyperlink>
          </w:p>
        </w:tc>
        <w:tc>
          <w:tcPr>
            <w:tcW w:w="5160" w:type="dxa"/>
            <w:vAlign w:val="bottom"/>
            <w:gridSpan w:val="1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2">
              <w:r>
                <w:rPr>
                  <w:rFonts w:ascii="Arial" w:cs="Arial" w:eastAsia="Arial" w:hAnsi="Arial"/>
                  <w:sz w:val="18"/>
                  <w:szCs w:val="18"/>
                  <w:color w:val="0000EE"/>
                  <w:w w:val="85"/>
                </w:rPr>
                <w:t>ITEM 16.H.</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MINE SAFETY DISCLOSURE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PART III</w:t>
              </w:r>
            </w:hyperlink>
          </w:p>
        </w:tc>
        <w:tc>
          <w:tcPr>
            <w:tcW w:w="1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17.</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18.</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19.</w:t>
              </w:r>
            </w:hyperlink>
          </w:p>
        </w:tc>
        <w:tc>
          <w:tcPr>
            <w:tcW w:w="7440" w:type="dxa"/>
            <w:vAlign w:val="bottom"/>
            <w:gridSpan w:val="2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EXHIBITS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0" w:type="dxa"/>
            <w:vAlign w:val="bottom"/>
            <w:gridSpan w:val="12"/>
          </w:tcPr>
          <w:p>
            <w:pPr>
              <w:spacing w:after="0" w:line="20" w:lineRule="exact"/>
              <w:rPr>
                <w:sz w:val="1"/>
                <w:szCs w:val="1"/>
                <w:color w:val="auto"/>
              </w:rPr>
            </w:pPr>
          </w:p>
        </w:tc>
        <w:tc>
          <w:tcPr>
            <w:tcW w:w="4240" w:type="dxa"/>
            <w:vAlign w:val="bottom"/>
            <w:gridSpan w:val="1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35"/>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INDEX TO CONSOLIDATED FINANCIAL STATEMENTS</w:t>
              </w:r>
            </w:hyperlink>
          </w:p>
        </w:tc>
        <w:tc>
          <w:tcPr>
            <w:tcW w:w="360" w:type="dxa"/>
            <w:vAlign w:val="bottom"/>
          </w:tcPr>
          <w:p>
            <w:pPr>
              <w:spacing w:after="0"/>
              <w:rPr>
                <w:sz w:val="17"/>
                <w:szCs w:val="17"/>
                <w:color w:val="auto"/>
              </w:rPr>
            </w:pPr>
          </w:p>
        </w:tc>
        <w:tc>
          <w:tcPr>
            <w:tcW w:w="160" w:type="dxa"/>
            <w:vAlign w:val="bottom"/>
            <w:gridSpan w:val="3"/>
          </w:tcPr>
          <w:p>
            <w:pPr>
              <w:jc w:val="right"/>
              <w:ind w:right="20"/>
              <w:spacing w:after="0"/>
              <w:rPr>
                <w:rFonts w:ascii="Arial" w:cs="Arial" w:eastAsia="Arial" w:hAnsi="Arial"/>
                <w:sz w:val="11"/>
                <w:szCs w:val="11"/>
                <w:color w:val="0000EE"/>
                <w:w w:val="72"/>
              </w:rPr>
            </w:pPr>
            <w:hyperlink w:anchor="page158">
              <w:r>
                <w:rPr>
                  <w:rFonts w:ascii="Arial" w:cs="Arial" w:eastAsia="Arial" w:hAnsi="Arial"/>
                  <w:sz w:val="11"/>
                  <w:szCs w:val="11"/>
                  <w:color w:val="0000EE"/>
                  <w:w w:val="72"/>
                </w:rPr>
                <w:t>F-1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"GasLog", depending on the context, refers to GasLog Ltd. and to any one or more of its direct and indirect subsidiaries, other than GasLog Partners;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Group", refers to GasLog Ltd. and to any one or more of its direct and indirect subsidiaries, including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general partner" refers to GasLog Partners GP LLC, the general partner of GasLog Partners and a wholly owned subsidiary of GasLog;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Carriers" refers to GasLog Carriers Ltd.,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Holdings" refers to GasLog Partners Holdings LLC,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"Cheniere" refers to Cheniere Marketing International LLP, a wholly owned subsidiary of Cheniere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"ATM Programme" refers to our at-the-market common equity offering programme which commenced in May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"Series A Preference Units" refers to our 8.625% Series A Cumulative Redeemable Perpetual Fixed to Floating Rate Preference Units;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"Series B Preference Units" refers to our 8.200% Series B Cumulative Redeemable Perpetual Fixed to Floating Rate Preference Units;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"Series C Preference Units" refers to our 8.500% Series C Cumulative Redeemable Perpetual Fixed to Floating Rate Preference Units;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 Units" refers to our Series A Preference Units, our Series B Preference Units and our Series C Preference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"IPO" refers to the initial public offering of GasLog Partners on May 12, 2014;</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"LP-2S" refers to low pressure dual fuel two-stroke engine propulsion;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"cbm" refers to cubic meters;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33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38"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exchange rates, especially the U.S. dollar and Euro;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New Sponsor Credit Facility (as defined below)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IFRS Common Control Reported Results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following table presents, in each case for the periods and as of the dates indicated, selected historical financial and operating data. The selected historical financial data as of December 31, 2017 and 2018 and for each of the years in the three-year period ended December 31, 2018 has been derived from our audited consolidated financial statements included in "Item 18. Financial Statements". The selected historical financial data as of December 31, 2014, 2015 and 2016 and for each of the years ended December 31, 2014 and 2015 is a summary of and is derived from our audited consolidated financial statements after retroactive restatement for the transfer of vessels from GasLog to the Partnership that are not included in this report. The financial statements have been prepared in accordance with IFRS, as issued by the IASB.</w:t>
      </w:r>
    </w:p>
    <w:p>
      <w:pPr>
        <w:spacing w:after="0" w:line="19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Date</w:t>
            </w: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Vessel(s) Transferred</w:t>
            </w:r>
          </w:p>
        </w:tc>
        <w:tc>
          <w:tcPr>
            <w:tcW w:w="118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12, 2014</w:t>
            </w:r>
          </w:p>
        </w:tc>
        <w:tc>
          <w:tcPr>
            <w:tcW w:w="6800" w:type="dxa"/>
            <w:vAlign w:val="bottom"/>
            <w:gridSpan w:val="2"/>
            <w:shd w:val="clear" w:color="auto" w:fill="CCEEFF"/>
          </w:tcPr>
          <w:p>
            <w:pPr>
              <w:ind w:left="1000"/>
              <w:spacing w:after="0"/>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Sydney</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September 29, 2014</w:t>
            </w:r>
          </w:p>
        </w:tc>
        <w:tc>
          <w:tcPr>
            <w:tcW w:w="6800" w:type="dxa"/>
            <w:vAlign w:val="bottom"/>
            <w:gridSpan w:val="2"/>
          </w:tcPr>
          <w:p>
            <w:pPr>
              <w:ind w:left="100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Rita Andrea</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6800" w:type="dxa"/>
            <w:vAlign w:val="bottom"/>
            <w:gridSpan w:val="2"/>
            <w:shd w:val="clear" w:color="auto" w:fill="CCEEFF"/>
          </w:tcPr>
          <w:p>
            <w:pPr>
              <w:ind w:left="1000"/>
              <w:spacing w:after="0"/>
              <w:rPr>
                <w:sz w:val="20"/>
                <w:szCs w:val="20"/>
                <w:color w:val="auto"/>
              </w:rPr>
            </w:pPr>
            <w:r>
              <w:rPr>
                <w:rFonts w:ascii="Arial" w:cs="Arial" w:eastAsia="Arial" w:hAnsi="Arial"/>
                <w:sz w:val="18"/>
                <w:szCs w:val="18"/>
                <w:i w:val="1"/>
                <w:iCs w:val="1"/>
                <w:color w:val="auto"/>
                <w:w w:val="91"/>
              </w:rPr>
              <w:t xml:space="preserve">Methane Alison Victoria, Methane Heather Sally </w:t>
            </w:r>
            <w:r>
              <w:rPr>
                <w:rFonts w:ascii="Arial" w:cs="Arial" w:eastAsia="Arial" w:hAnsi="Arial"/>
                <w:sz w:val="18"/>
                <w:szCs w:val="18"/>
                <w:color w:val="auto"/>
                <w:w w:val="91"/>
              </w:rPr>
              <w:t>and</w:t>
            </w:r>
            <w:r>
              <w:rPr>
                <w:rFonts w:ascii="Arial" w:cs="Arial" w:eastAsia="Arial" w:hAnsi="Arial"/>
                <w:sz w:val="18"/>
                <w:szCs w:val="18"/>
                <w:i w:val="1"/>
                <w:iCs w:val="1"/>
                <w:color w:val="auto"/>
                <w:w w:val="91"/>
              </w:rPr>
              <w:t xml:space="preserve"> Methane Shirley Elisabeth</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November 1, 2016</w:t>
            </w:r>
          </w:p>
        </w:tc>
        <w:tc>
          <w:tcPr>
            <w:tcW w:w="6800" w:type="dxa"/>
            <w:vAlign w:val="bottom"/>
            <w:gridSpan w:val="2"/>
          </w:tcPr>
          <w:p>
            <w:pPr>
              <w:ind w:left="1000"/>
              <w:spacing w:after="0"/>
              <w:rPr>
                <w:sz w:val="20"/>
                <w:szCs w:val="20"/>
                <w:color w:val="auto"/>
              </w:rPr>
            </w:pPr>
            <w:r>
              <w:rPr>
                <w:rFonts w:ascii="Arial" w:cs="Arial" w:eastAsia="Arial" w:hAnsi="Arial"/>
                <w:sz w:val="18"/>
                <w:szCs w:val="18"/>
                <w:i w:val="1"/>
                <w:iCs w:val="1"/>
                <w:color w:val="auto"/>
              </w:rPr>
              <w:t>GasLog Seattle</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6800" w:type="dxa"/>
            <w:vAlign w:val="bottom"/>
            <w:gridSpan w:val="2"/>
            <w:shd w:val="clear" w:color="auto" w:fill="CCEEFF"/>
          </w:tcPr>
          <w:p>
            <w:pPr>
              <w:ind w:left="1000"/>
              <w:spacing w:after="0"/>
              <w:rPr>
                <w:sz w:val="20"/>
                <w:szCs w:val="20"/>
                <w:color w:val="auto"/>
              </w:rPr>
            </w:pPr>
            <w:r>
              <w:rPr>
                <w:rFonts w:ascii="Arial" w:cs="Arial" w:eastAsia="Arial" w:hAnsi="Arial"/>
                <w:sz w:val="18"/>
                <w:szCs w:val="18"/>
                <w:i w:val="1"/>
                <w:iCs w:val="1"/>
                <w:color w:val="auto"/>
              </w:rPr>
              <w:t>GasLog Greece</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6800" w:type="dxa"/>
            <w:vAlign w:val="bottom"/>
            <w:gridSpan w:val="2"/>
          </w:tcPr>
          <w:p>
            <w:pPr>
              <w:ind w:left="1000"/>
              <w:spacing w:after="0"/>
              <w:rPr>
                <w:sz w:val="20"/>
                <w:szCs w:val="20"/>
                <w:color w:val="auto"/>
              </w:rPr>
            </w:pPr>
            <w:r>
              <w:rPr>
                <w:rFonts w:ascii="Arial" w:cs="Arial" w:eastAsia="Arial" w:hAnsi="Arial"/>
                <w:sz w:val="18"/>
                <w:szCs w:val="18"/>
                <w:i w:val="1"/>
                <w:iCs w:val="1"/>
                <w:color w:val="auto"/>
              </w:rPr>
              <w:t>GasLog Geneva</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 2017</w:t>
            </w:r>
          </w:p>
        </w:tc>
        <w:tc>
          <w:tcPr>
            <w:tcW w:w="6800" w:type="dxa"/>
            <w:vAlign w:val="bottom"/>
            <w:gridSpan w:val="2"/>
            <w:shd w:val="clear" w:color="auto" w:fill="CCEEFF"/>
          </w:tcPr>
          <w:p>
            <w:pPr>
              <w:ind w:left="1000"/>
              <w:spacing w:after="0"/>
              <w:rPr>
                <w:sz w:val="20"/>
                <w:szCs w:val="20"/>
                <w:color w:val="auto"/>
              </w:rPr>
            </w:pPr>
            <w:r>
              <w:rPr>
                <w:rFonts w:ascii="Arial" w:cs="Arial" w:eastAsia="Arial" w:hAnsi="Arial"/>
                <w:sz w:val="18"/>
                <w:szCs w:val="18"/>
                <w:i w:val="1"/>
                <w:iCs w:val="1"/>
                <w:color w:val="auto"/>
              </w:rPr>
              <w:t>Solaris</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April 26, 2018</w:t>
            </w:r>
          </w:p>
        </w:tc>
        <w:tc>
          <w:tcPr>
            <w:tcW w:w="6800" w:type="dxa"/>
            <w:vAlign w:val="bottom"/>
            <w:gridSpan w:val="2"/>
          </w:tcPr>
          <w:p>
            <w:pPr>
              <w:ind w:left="1000"/>
              <w:spacing w:after="0"/>
              <w:rPr>
                <w:sz w:val="20"/>
                <w:szCs w:val="20"/>
                <w:color w:val="auto"/>
              </w:rPr>
            </w:pPr>
            <w:r>
              <w:rPr>
                <w:rFonts w:ascii="Arial" w:cs="Arial" w:eastAsia="Arial" w:hAnsi="Arial"/>
                <w:sz w:val="18"/>
                <w:szCs w:val="18"/>
                <w:i w:val="1"/>
                <w:iCs w:val="1"/>
                <w:color w:val="auto"/>
              </w:rPr>
              <w:t>GasLog Gibraltar</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14, 2018</w:t>
            </w:r>
          </w:p>
        </w:tc>
        <w:tc>
          <w:tcPr>
            <w:tcW w:w="6800" w:type="dxa"/>
            <w:vAlign w:val="bottom"/>
            <w:gridSpan w:val="2"/>
            <w:shd w:val="clear" w:color="auto" w:fill="CCEEFF"/>
          </w:tcPr>
          <w:p>
            <w:pPr>
              <w:ind w:left="1000"/>
              <w:spacing w:after="0"/>
              <w:rPr>
                <w:sz w:val="20"/>
                <w:szCs w:val="20"/>
                <w:color w:val="auto"/>
              </w:rPr>
            </w:pPr>
            <w:r>
              <w:rPr>
                <w:rFonts w:ascii="Arial" w:cs="Arial" w:eastAsia="Arial" w:hAnsi="Arial"/>
                <w:sz w:val="18"/>
                <w:szCs w:val="18"/>
                <w:i w:val="1"/>
                <w:iCs w:val="1"/>
                <w:color w:val="auto"/>
              </w:rPr>
              <w:t>Methane Becki Anne</w:t>
            </w:r>
          </w:p>
        </w:tc>
        <w:tc>
          <w:tcPr>
            <w:tcW w:w="118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800" w:type="dxa"/>
            <w:vAlign w:val="bottom"/>
            <w:gridSpan w:val="2"/>
          </w:tcPr>
          <w:p>
            <w:pPr>
              <w:ind w:left="2160"/>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center"/>
              <w:ind w:left="334"/>
              <w:spacing w:after="0"/>
              <w:rPr>
                <w:sz w:val="20"/>
                <w:szCs w:val="20"/>
                <w:color w:val="auto"/>
              </w:rPr>
            </w:pPr>
            <w:r>
              <w:rPr>
                <w:rFonts w:ascii="Arial" w:cs="Arial" w:eastAsia="Arial" w:hAnsi="Arial"/>
                <w:sz w:val="13"/>
                <w:szCs w:val="13"/>
                <w:b w:val="1"/>
                <w:bCs w:val="1"/>
                <w:color w:val="auto"/>
                <w:w w:val="92"/>
              </w:rPr>
              <w:t>Year Ended December 31,</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80" w:type="dxa"/>
            <w:vAlign w:val="bottom"/>
            <w:gridSpan w:val="13"/>
          </w:tcPr>
          <w:p>
            <w:pPr>
              <w:jc w:val="center"/>
              <w:spacing w:after="0"/>
              <w:rPr>
                <w:sz w:val="20"/>
                <w:szCs w:val="20"/>
                <w:color w:val="auto"/>
              </w:rPr>
            </w:pPr>
            <w:r>
              <w:rPr>
                <w:rFonts w:ascii="Arial" w:cs="Arial" w:eastAsia="Arial" w:hAnsi="Arial"/>
                <w:sz w:val="13"/>
                <w:szCs w:val="13"/>
                <w:b w:val="1"/>
                <w:bCs w:val="1"/>
                <w:color w:val="auto"/>
                <w:w w:val="92"/>
              </w:rPr>
              <w:t>(in thousands of U.S. dollars, except per unit data)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196,482</w:t>
            </w:r>
          </w:p>
        </w:tc>
        <w:tc>
          <w:tcPr>
            <w:tcW w:w="120" w:type="dxa"/>
            <w:vAlign w:val="bottom"/>
          </w:tcPr>
          <w:p>
            <w:pPr>
              <w:spacing w:after="0"/>
              <w:rPr>
                <w:sz w:val="18"/>
                <w:szCs w:val="18"/>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269,077</w:t>
            </w:r>
          </w:p>
        </w:tc>
        <w:tc>
          <w:tcPr>
            <w:tcW w:w="120" w:type="dxa"/>
            <w:vAlign w:val="bottom"/>
          </w:tcPr>
          <w:p>
            <w:pPr>
              <w:spacing w:after="0"/>
              <w:rPr>
                <w:sz w:val="18"/>
                <w:szCs w:val="18"/>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317,489</w:t>
            </w:r>
          </w:p>
        </w:tc>
        <w:tc>
          <w:tcPr>
            <w:tcW w:w="100" w:type="dxa"/>
            <w:vAlign w:val="bottom"/>
          </w:tcPr>
          <w:p>
            <w:pPr>
              <w:spacing w:after="0"/>
              <w:rPr>
                <w:sz w:val="18"/>
                <w:szCs w:val="18"/>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371,146</w:t>
            </w: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(57,877)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(63,076)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(71,369)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(42,433)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(61,406)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(70,290)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(81,089)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(81,590)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(12,065)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(13,206)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(15,311)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105,968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134,085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198,727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179,435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(42,035)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(60,247)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(65,122)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Financial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(58,495)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(47,889)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(66,875)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(63,982)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(63,922)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47,473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99,709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134,745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115,513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277" w:lineRule="exact"/>
              <w:rPr>
                <w:sz w:val="20"/>
                <w:szCs w:val="20"/>
                <w:color w:val="auto"/>
              </w:rPr>
            </w:pPr>
            <w:r>
              <w:rPr>
                <w:rFonts w:ascii="Arial" w:cs="Arial" w:eastAsia="Arial" w:hAnsi="Arial"/>
                <w:sz w:val="18"/>
                <w:szCs w:val="18"/>
                <w:b w:val="1"/>
                <w:bCs w:val="1"/>
                <w:color w:val="auto"/>
              </w:rPr>
              <w:t>Profit attributable to GasLog's operations</w:t>
            </w:r>
            <w:r>
              <w:rPr>
                <w:rFonts w:ascii="Arial" w:cs="Arial" w:eastAsia="Arial" w:hAnsi="Arial"/>
                <w:sz w:val="29"/>
                <w:szCs w:val="29"/>
                <w:b w:val="1"/>
                <w:bCs w:val="1"/>
                <w:color w:val="auto"/>
                <w:vertAlign w:val="superscript"/>
              </w:rPr>
              <w:t>(2)</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32,929</w:t>
            </w:r>
          </w:p>
        </w:tc>
        <w:tc>
          <w:tcPr>
            <w:tcW w:w="120" w:type="dxa"/>
            <w:vAlign w:val="bottom"/>
          </w:tcPr>
          <w:p>
            <w:pPr>
              <w:spacing w:after="0"/>
              <w:rPr>
                <w:sz w:val="20"/>
                <w:szCs w:val="20"/>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21,156</w:t>
            </w:r>
          </w:p>
        </w:tc>
        <w:tc>
          <w:tcPr>
            <w:tcW w:w="120" w:type="dxa"/>
            <w:vAlign w:val="bottom"/>
          </w:tcPr>
          <w:p>
            <w:pPr>
              <w:spacing w:after="0"/>
              <w:rPr>
                <w:sz w:val="20"/>
                <w:szCs w:val="20"/>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22,439</w:t>
            </w:r>
          </w:p>
        </w:tc>
        <w:tc>
          <w:tcPr>
            <w:tcW w:w="100" w:type="dxa"/>
            <w:vAlign w:val="bottom"/>
          </w:tcPr>
          <w:p>
            <w:pPr>
              <w:spacing w:after="0"/>
              <w:rPr>
                <w:sz w:val="20"/>
                <w:szCs w:val="20"/>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40,628</w:t>
            </w:r>
          </w:p>
        </w:tc>
        <w:tc>
          <w:tcPr>
            <w:tcW w:w="14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12,916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Partnership's profit</w:t>
            </w:r>
            <w:r>
              <w:rPr>
                <w:rFonts w:ascii="Arial" w:cs="Arial" w:eastAsia="Arial" w:hAnsi="Arial"/>
                <w:sz w:val="29"/>
                <w:szCs w:val="29"/>
                <w:b w:val="1"/>
                <w:bCs w:val="1"/>
                <w:color w:val="auto"/>
                <w:vertAlign w:val="superscript"/>
              </w:rPr>
              <w:t>(2)</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14,544</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65,040</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94,117</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102,597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Arial" w:cs="Arial" w:eastAsia="Arial" w:hAnsi="Arial"/>
                <w:sz w:val="18"/>
                <w:szCs w:val="18"/>
                <w:b w:val="1"/>
                <w:bCs w:val="1"/>
                <w:color w:val="auto"/>
              </w:rPr>
              <w:t>EARNINGS PER UNIT ATTRIBUTABLE TO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220" w:type="dxa"/>
            <w:vAlign w:val="bottom"/>
          </w:tcPr>
          <w:p>
            <w:pPr>
              <w:ind w:left="18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(3)</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Common units (basic)</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Common units (diluted)</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General partner units</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As of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6"/>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7"/>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6"/>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6"/>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8"/>
          </w:tcPr>
          <w:p>
            <w:pPr>
              <w:jc w:val="center"/>
              <w:ind w:right="76"/>
              <w:spacing w:after="0"/>
              <w:rPr>
                <w:sz w:val="20"/>
                <w:szCs w:val="20"/>
                <w:color w:val="auto"/>
              </w:rPr>
            </w:pPr>
            <w:r>
              <w:rPr>
                <w:rFonts w:ascii="Arial" w:cs="Arial" w:eastAsia="Arial" w:hAnsi="Arial"/>
                <w:sz w:val="13"/>
                <w:szCs w:val="13"/>
                <w:b w:val="1"/>
                <w:bCs w:val="1"/>
                <w:color w:val="auto"/>
                <w:w w:val="93"/>
              </w:rPr>
              <w:t>(in thousands of U.S. dollars, except per unit data)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116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FINANCIAL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POSITION DATA</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52,313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70,279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64,173</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149,455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129,125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Vessels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1,706,619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1,887,316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2,439,092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2,363,668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2,315,823</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1,833,649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2,084,955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2,543,545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2,528,263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2,488,638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429,437</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1,028,193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1,278,931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805,560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1,179,659</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NUMBER OF UNITS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927,532</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Common units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14,322,358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21,822,358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24,572,358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41,002,121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45,448,993</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9,822,358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r>
      <w:tr>
        <w:trPr>
          <w:trHeight w:val="222"/>
        </w:trPr>
        <w:tc>
          <w:tcPr>
            <w:tcW w:w="11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Preference Units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14,350,000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158"/>
              <w:spacing w:after="0" w:line="14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96"/>
              </w:rPr>
              <w:t>2017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2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40" w:type="dxa"/>
            <w:vAlign w:val="bottom"/>
            <w:tcBorders>
              <w:top w:val="single" w:sz="8" w:color="auto"/>
            </w:tcBorders>
            <w:gridSpan w:val="4"/>
          </w:tcPr>
          <w:p>
            <w:pPr>
              <w:jc w:val="right"/>
              <w:ind w:right="2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3"/>
              </w:rPr>
              <w:t>(in thousands of U.S. dollars)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140,961</w:t>
            </w:r>
          </w:p>
        </w:tc>
        <w:tc>
          <w:tcPr>
            <w:tcW w:w="10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143,402</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204,930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242,827</w:t>
            </w:r>
          </w:p>
        </w:tc>
        <w:tc>
          <w:tcPr>
            <w:tcW w:w="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185,107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cash (used in)/provided by investing activities</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(955,708)</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(219,169)</w:t>
            </w:r>
          </w:p>
        </w:tc>
        <w:tc>
          <w:tcPr>
            <w:tcW w:w="10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(506,428)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(31,851)</w:t>
            </w:r>
          </w:p>
        </w:tc>
        <w:tc>
          <w:tcPr>
            <w:tcW w:w="40" w:type="dxa"/>
            <w:vAlign w:val="bottom"/>
            <w:shd w:val="clear" w:color="auto" w:fill="CCEEFF"/>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w w:val="97"/>
              </w:rPr>
              <w:t>Net cash provided by/(used in) financing activities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846,943</w:t>
            </w:r>
          </w:p>
        </w:tc>
        <w:tc>
          <w:tcPr>
            <w:tcW w:w="10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93,733</w:t>
            </w:r>
          </w:p>
        </w:tc>
        <w:tc>
          <w:tcPr>
            <w:tcW w:w="1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295,392</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(160,926)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(173,586)</w:t>
            </w:r>
          </w:p>
        </w:tc>
        <w:tc>
          <w:tcPr>
            <w:tcW w:w="40" w:type="dxa"/>
            <w:vAlign w:val="bottom"/>
          </w:tcPr>
          <w:p>
            <w:pPr>
              <w:spacing w:after="0"/>
              <w:rPr>
                <w:sz w:val="19"/>
                <w:szCs w:val="19"/>
                <w:color w:val="auto"/>
              </w:rPr>
            </w:pPr>
          </w:p>
        </w:tc>
      </w:tr>
      <w:tr>
        <w:trPr>
          <w:trHeight w:val="844"/>
        </w:trPr>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3"/>
                <w:szCs w:val="13"/>
                <w:b w:val="1"/>
                <w:bCs w:val="1"/>
                <w:color w:val="auto"/>
                <w:w w:val="95"/>
              </w:rPr>
              <w:t>Year Ended 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83"/>
              <w:spacing w:after="0" w:line="142" w:lineRule="exact"/>
              <w:rPr>
                <w:sz w:val="20"/>
                <w:szCs w:val="20"/>
                <w:color w:val="auto"/>
              </w:rPr>
            </w:pPr>
            <w:r>
              <w:rPr>
                <w:rFonts w:ascii="Arial" w:cs="Arial" w:eastAsia="Arial" w:hAnsi="Arial"/>
                <w:sz w:val="13"/>
                <w:szCs w:val="13"/>
                <w:b w:val="1"/>
                <w:bCs w:val="1"/>
                <w:color w:val="auto"/>
                <w:w w:val="96"/>
              </w:rPr>
              <w:t>2014</w:t>
            </w:r>
          </w:p>
        </w:tc>
        <w:tc>
          <w:tcPr>
            <w:tcW w:w="80" w:type="dxa"/>
            <w:vAlign w:val="bottom"/>
          </w:tcPr>
          <w:p>
            <w:pPr>
              <w:spacing w:after="0"/>
              <w:rPr>
                <w:sz w:val="12"/>
                <w:szCs w:val="12"/>
                <w:color w:val="auto"/>
              </w:rPr>
            </w:pPr>
          </w:p>
        </w:tc>
        <w:tc>
          <w:tcPr>
            <w:tcW w:w="820" w:type="dxa"/>
            <w:vAlign w:val="bottom"/>
            <w:gridSpan w:val="5"/>
          </w:tcPr>
          <w:p>
            <w:pPr>
              <w:jc w:val="right"/>
              <w:ind w:right="178"/>
              <w:spacing w:after="0" w:line="142" w:lineRule="exact"/>
              <w:rPr>
                <w:sz w:val="20"/>
                <w:szCs w:val="20"/>
                <w:color w:val="auto"/>
              </w:rPr>
            </w:pPr>
            <w:r>
              <w:rPr>
                <w:rFonts w:ascii="Arial" w:cs="Arial" w:eastAsia="Arial" w:hAnsi="Arial"/>
                <w:sz w:val="13"/>
                <w:szCs w:val="13"/>
                <w:b w:val="1"/>
                <w:bCs w:val="1"/>
                <w:color w:val="auto"/>
              </w:rPr>
              <w:t>2015</w:t>
            </w:r>
          </w:p>
        </w:tc>
        <w:tc>
          <w:tcPr>
            <w:tcW w:w="880" w:type="dxa"/>
            <w:vAlign w:val="bottom"/>
            <w:gridSpan w:val="4"/>
          </w:tcPr>
          <w:p>
            <w:pPr>
              <w:jc w:val="right"/>
              <w:ind w:right="163"/>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2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gridSpan w:val="4"/>
          </w:tcPr>
          <w:p>
            <w:pPr>
              <w:jc w:val="right"/>
              <w:ind w:right="40"/>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4,456</w:t>
            </w: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64"/>
        </w:trPr>
        <w:tc>
          <w:tcPr>
            <w:tcW w:w="388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(5)</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3,835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4,411</w:t>
            </w:r>
          </w:p>
        </w:tc>
        <w:tc>
          <w:tcPr>
            <w:tcW w:w="2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5,091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9"/>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2"/>
                <w:szCs w:val="12"/>
                <w:color w:val="auto"/>
              </w:rPr>
            </w:pPr>
          </w:p>
        </w:tc>
        <w:tc>
          <w:tcPr>
            <w:tcW w:w="800" w:type="dxa"/>
            <w:vAlign w:val="bottom"/>
            <w:gridSpan w:val="2"/>
          </w:tcPr>
          <w:p>
            <w:pPr>
              <w:jc w:val="right"/>
              <w:ind w:right="190"/>
              <w:spacing w:after="0" w:line="142" w:lineRule="exact"/>
              <w:rPr>
                <w:sz w:val="20"/>
                <w:szCs w:val="20"/>
                <w:color w:val="auto"/>
              </w:rPr>
            </w:pPr>
            <w:r>
              <w:rPr>
                <w:rFonts w:ascii="Arial" w:cs="Arial" w:eastAsia="Arial" w:hAnsi="Arial"/>
                <w:sz w:val="13"/>
                <w:szCs w:val="13"/>
                <w:b w:val="1"/>
                <w:bCs w:val="1"/>
                <w:color w:val="auto"/>
              </w:rPr>
              <w:t>2015</w:t>
            </w:r>
          </w:p>
        </w:tc>
        <w:tc>
          <w:tcPr>
            <w:tcW w:w="180" w:type="dxa"/>
            <w:vAlign w:val="bottom"/>
          </w:tcPr>
          <w:p>
            <w:pPr>
              <w:spacing w:after="0"/>
              <w:rPr>
                <w:sz w:val="12"/>
                <w:szCs w:val="12"/>
                <w:color w:val="auto"/>
              </w:rPr>
            </w:pPr>
          </w:p>
        </w:tc>
        <w:tc>
          <w:tcPr>
            <w:tcW w:w="800" w:type="dxa"/>
            <w:vAlign w:val="bottom"/>
            <w:gridSpan w:val="2"/>
          </w:tcPr>
          <w:p>
            <w:pPr>
              <w:jc w:val="right"/>
              <w:ind w:right="187"/>
              <w:spacing w:after="0" w:line="142" w:lineRule="exact"/>
              <w:rPr>
                <w:sz w:val="20"/>
                <w:szCs w:val="20"/>
                <w:color w:val="auto"/>
              </w:rPr>
            </w:pPr>
            <w:r>
              <w:rPr>
                <w:rFonts w:ascii="Arial" w:cs="Arial" w:eastAsia="Arial" w:hAnsi="Arial"/>
                <w:sz w:val="13"/>
                <w:szCs w:val="13"/>
                <w:b w:val="1"/>
                <w:bCs w:val="1"/>
                <w:color w:val="auto"/>
              </w:rPr>
              <w:t>2016</w:t>
            </w:r>
          </w:p>
        </w:tc>
        <w:tc>
          <w:tcPr>
            <w:tcW w:w="280" w:type="dxa"/>
            <w:vAlign w:val="bottom"/>
          </w:tcPr>
          <w:p>
            <w:pPr>
              <w:spacing w:after="0"/>
              <w:rPr>
                <w:sz w:val="12"/>
                <w:szCs w:val="12"/>
                <w:color w:val="auto"/>
              </w:rPr>
            </w:pPr>
          </w:p>
        </w:tc>
        <w:tc>
          <w:tcPr>
            <w:tcW w:w="800" w:type="dxa"/>
            <w:vAlign w:val="bottom"/>
            <w:gridSpan w:val="2"/>
          </w:tcPr>
          <w:p>
            <w:pPr>
              <w:jc w:val="right"/>
              <w:ind w:right="203"/>
              <w:spacing w:after="0" w:line="142" w:lineRule="exact"/>
              <w:rPr>
                <w:sz w:val="20"/>
                <w:szCs w:val="20"/>
                <w:color w:val="auto"/>
              </w:rPr>
            </w:pPr>
            <w:r>
              <w:rPr>
                <w:rFonts w:ascii="Arial" w:cs="Arial" w:eastAsia="Arial" w:hAnsi="Arial"/>
                <w:sz w:val="13"/>
                <w:szCs w:val="13"/>
                <w:b w:val="1"/>
                <w:bCs w:val="1"/>
                <w:color w:val="auto"/>
              </w:rPr>
              <w:t>2017</w:t>
            </w:r>
          </w:p>
        </w:tc>
        <w:tc>
          <w:tcPr>
            <w:tcW w:w="26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2018</w:t>
            </w:r>
          </w:p>
        </w:tc>
        <w:tc>
          <w:tcPr>
            <w:tcW w:w="300" w:type="dxa"/>
            <w:vAlign w:val="bottom"/>
          </w:tcPr>
          <w:p>
            <w:pPr>
              <w:spacing w:after="0"/>
              <w:rPr>
                <w:sz w:val="12"/>
                <w:szCs w:val="12"/>
                <w:color w:val="auto"/>
              </w:rPr>
            </w:pPr>
          </w:p>
        </w:tc>
      </w:tr>
      <w:tr>
        <w:trPr>
          <w:trHeight w:val="156"/>
        </w:trPr>
        <w:tc>
          <w:tcPr>
            <w:tcW w:w="3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r>
      <w:tr>
        <w:trPr>
          <w:trHeight w:val="16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8"/>
          </w:tcPr>
          <w:p>
            <w:pPr>
              <w:jc w:val="right"/>
              <w:ind w:right="800"/>
              <w:spacing w:after="0"/>
              <w:rPr>
                <w:sz w:val="20"/>
                <w:szCs w:val="20"/>
                <w:color w:val="auto"/>
              </w:rPr>
            </w:pPr>
            <w:r>
              <w:rPr>
                <w:rFonts w:ascii="Arial" w:cs="Arial" w:eastAsia="Arial" w:hAnsi="Arial"/>
                <w:sz w:val="13"/>
                <w:szCs w:val="13"/>
                <w:b w:val="1"/>
                <w:bCs w:val="1"/>
                <w:color w:val="auto"/>
              </w:rPr>
              <w:t>(in thousands of U.S. dollars)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56"/>
        </w:trPr>
        <w:tc>
          <w:tcPr>
            <w:tcW w:w="3680" w:type="dxa"/>
            <w:vAlign w:val="bottom"/>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148,401</w:t>
            </w: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195,491</w:t>
            </w: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236,874</w:t>
            </w:r>
          </w:p>
        </w:tc>
        <w:tc>
          <w:tcPr>
            <w:tcW w:w="2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279,816</w:t>
            </w: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261,025</w:t>
            </w:r>
          </w:p>
        </w:tc>
        <w:tc>
          <w:tcPr>
            <w:tcW w:w="300" w:type="dxa"/>
            <w:vAlign w:val="bottom"/>
          </w:tcPr>
          <w:p>
            <w:pPr>
              <w:spacing w:after="0"/>
              <w:rPr>
                <w:sz w:val="22"/>
                <w:szCs w:val="22"/>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Payment for vessels and vessel additions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934,050</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239,422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502,132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5,131</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24,177</w:t>
            </w:r>
          </w:p>
        </w:tc>
        <w:tc>
          <w:tcPr>
            <w:tcW w:w="300" w:type="dxa"/>
            <w:vAlign w:val="bottom"/>
          </w:tcPr>
          <w:p>
            <w:pPr>
              <w:spacing w:after="0"/>
              <w:rPr>
                <w:sz w:val="18"/>
                <w:szCs w:val="18"/>
                <w:color w:val="auto"/>
              </w:rPr>
            </w:pPr>
          </w:p>
        </w:tc>
      </w:tr>
      <w:tr>
        <w:trPr>
          <w:trHeight w:val="257"/>
        </w:trPr>
        <w:tc>
          <w:tcPr>
            <w:tcW w:w="3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108,945</w:t>
            </w:r>
          </w:p>
        </w:tc>
        <w:tc>
          <w:tcPr>
            <w:tcW w:w="300" w:type="dxa"/>
            <w:vAlign w:val="bottom"/>
            <w:shd w:val="clear" w:color="auto" w:fill="CCEEFF"/>
          </w:tcPr>
          <w:p>
            <w:pPr>
              <w:spacing w:after="0"/>
              <w:rPr>
                <w:sz w:val="22"/>
                <w:szCs w:val="22"/>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22,179</w:t>
            </w:r>
            <w:r>
              <w:rPr>
                <w:rFonts w:ascii="Arial" w:cs="Arial" w:eastAsia="Arial" w:hAnsi="Arial"/>
                <w:sz w:val="14"/>
                <w:szCs w:val="14"/>
                <w:color w:val="auto"/>
              </w:rPr>
              <w:t>(7)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62,993</w:t>
            </w:r>
            <w:r>
              <w:rPr>
                <w:rFonts w:ascii="Arial" w:cs="Arial" w:eastAsia="Arial" w:hAnsi="Arial"/>
                <w:sz w:val="14"/>
                <w:szCs w:val="14"/>
                <w:color w:val="auto"/>
              </w:rPr>
              <w:t>(8)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(12)</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paid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23,169</w:t>
            </w:r>
            <w:r>
              <w:rPr>
                <w:rFonts w:ascii="Arial" w:cs="Arial" w:eastAsia="Arial" w:hAnsi="Arial"/>
                <w:sz w:val="14"/>
                <w:szCs w:val="14"/>
                <w:color w:val="auto"/>
              </w:rPr>
              <w:t>(7)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60,003</w:t>
            </w:r>
            <w:r>
              <w:rPr>
                <w:rFonts w:ascii="Arial" w:cs="Arial" w:eastAsia="Arial" w:hAnsi="Arial"/>
                <w:sz w:val="14"/>
                <w:szCs w:val="14"/>
                <w:color w:val="auto"/>
              </w:rPr>
              <w:t>(8)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77,377</w:t>
            </w:r>
            <w:r>
              <w:rPr>
                <w:rFonts w:ascii="Arial" w:cs="Arial" w:eastAsia="Arial" w:hAnsi="Arial"/>
                <w:sz w:val="14"/>
                <w:szCs w:val="14"/>
                <w:color w:val="auto"/>
              </w:rPr>
              <w:t>(10)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(12)</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7"/>
              </w:rPr>
              <w:t>Preference Unit distributions declared and paid</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7,232</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20,989</w:t>
            </w:r>
          </w:p>
        </w:tc>
        <w:tc>
          <w:tcPr>
            <w:tcW w:w="30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Partnership Performance Results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financial and operating data below exclude amounts related to vessels currently owned by the Partnership for the periods prior to their respective transfers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9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11"/>
          </w:tcPr>
          <w:p>
            <w:pPr>
              <w:jc w:val="right"/>
              <w:ind w:right="54"/>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84"/>
              <w:spacing w:after="0" w:line="142"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72"/>
              <w:spacing w:after="0" w:line="142" w:lineRule="exact"/>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ind w:right="44"/>
              <w:spacing w:after="0" w:line="142"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6"/>
          </w:tcPr>
          <w:p>
            <w:pPr>
              <w:jc w:val="right"/>
              <w:ind w:right="40"/>
              <w:spacing w:after="0" w:line="142" w:lineRule="exact"/>
              <w:rPr>
                <w:sz w:val="20"/>
                <w:szCs w:val="20"/>
                <w:color w:val="auto"/>
              </w:rPr>
            </w:pPr>
            <w:r>
              <w:rPr>
                <w:rFonts w:ascii="Arial" w:cs="Arial" w:eastAsia="Arial" w:hAnsi="Arial"/>
                <w:sz w:val="13"/>
                <w:szCs w:val="13"/>
                <w:b w:val="1"/>
                <w:bCs w:val="1"/>
                <w:color w:val="auto"/>
                <w:w w:val="81"/>
              </w:rPr>
              <w:t>thousands of U.S.</w:t>
            </w:r>
          </w:p>
        </w:tc>
        <w:tc>
          <w:tcPr>
            <w:tcW w:w="50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 PERFORMANCE STATEMENT OF</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PROFIT OR LOSS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00" w:type="dxa"/>
            <w:vAlign w:val="bottom"/>
            <w:gridSpan w:val="2"/>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65,931</w:t>
            </w:r>
          </w:p>
        </w:tc>
        <w:tc>
          <w:tcPr>
            <w:tcW w:w="1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168,927</w:t>
            </w:r>
          </w:p>
        </w:tc>
        <w:tc>
          <w:tcPr>
            <w:tcW w:w="8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206,424</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269,071</w:t>
            </w:r>
          </w:p>
        </w:tc>
        <w:tc>
          <w:tcPr>
            <w:tcW w:w="14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316,991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Net pool allocation</w:t>
            </w:r>
            <w:r>
              <w:rPr>
                <w:rFonts w:ascii="Arial" w:cs="Arial" w:eastAsia="Arial" w:hAnsi="Arial"/>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00" w:type="dxa"/>
            <w:vAlign w:val="bottom"/>
            <w:gridSpan w:val="2"/>
          </w:tcPr>
          <w:p>
            <w:pPr>
              <w:spacing w:after="0" w:line="256" w:lineRule="exact"/>
              <w:rPr>
                <w:sz w:val="20"/>
                <w:szCs w:val="20"/>
                <w:color w:val="auto"/>
              </w:rPr>
            </w:pPr>
            <w:r>
              <w:rPr>
                <w:rFonts w:ascii="Arial" w:cs="Arial" w:eastAsia="Arial" w:hAnsi="Arial"/>
                <w:sz w:val="18"/>
                <w:szCs w:val="18"/>
                <w:color w:val="auto"/>
              </w:rPr>
              <w:t>Voyage expenses and commissions</w:t>
            </w:r>
            <w:r>
              <w:rPr>
                <w:rFonts w:ascii="Arial" w:cs="Arial" w:eastAsia="Arial" w:hAnsi="Arial"/>
                <w:sz w:val="29"/>
                <w:szCs w:val="29"/>
                <w:color w:val="auto"/>
                <w:vertAlign w:val="superscript"/>
              </w:rPr>
              <w:t>(6)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(3,377)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57"/>
        </w:trPr>
        <w:tc>
          <w:tcPr>
            <w:tcW w:w="4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Vessel operating costs</w:t>
            </w:r>
            <w:r>
              <w:rPr>
                <w:rFonts w:ascii="Arial" w:cs="Arial" w:eastAsia="Arial" w:hAnsi="Arial"/>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(12,226)</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(33,656)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(43,479)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(55,692)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57"/>
        </w:trPr>
        <w:tc>
          <w:tcPr>
            <w:tcW w:w="4300" w:type="dxa"/>
            <w:vAlign w:val="bottom"/>
            <w:gridSpan w:val="2"/>
          </w:tcPr>
          <w:p>
            <w:pPr>
              <w:spacing w:after="0" w:line="256" w:lineRule="exact"/>
              <w:rPr>
                <w:sz w:val="20"/>
                <w:szCs w:val="20"/>
                <w:color w:val="auto"/>
              </w:rPr>
            </w:pPr>
            <w:r>
              <w:rPr>
                <w:rFonts w:ascii="Arial" w:cs="Arial" w:eastAsia="Arial" w:hAnsi="Arial"/>
                <w:sz w:val="18"/>
                <w:szCs w:val="18"/>
                <w:color w:val="auto"/>
              </w:rPr>
              <w:t>Depreciation</w:t>
            </w:r>
            <w:r>
              <w:rPr>
                <w:rFonts w:ascii="Arial" w:cs="Arial" w:eastAsia="Arial" w:hAnsi="Arial"/>
                <w:sz w:val="29"/>
                <w:szCs w:val="29"/>
                <w:color w:val="auto"/>
                <w:vertAlign w:val="superscript"/>
              </w:rPr>
              <w:t>(6)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(13,352)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(35,981)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(45,230)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(58,193)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(73,151)</w:t>
            </w:r>
          </w:p>
        </w:tc>
        <w:tc>
          <w:tcPr>
            <w:tcW w:w="0" w:type="dxa"/>
            <w:vAlign w:val="bottom"/>
          </w:tcPr>
          <w:p>
            <w:pPr>
              <w:spacing w:after="0"/>
              <w:rPr>
                <w:sz w:val="1"/>
                <w:szCs w:val="1"/>
                <w:color w:val="auto"/>
              </w:rPr>
            </w:pPr>
          </w:p>
        </w:tc>
      </w:tr>
      <w:tr>
        <w:trPr>
          <w:trHeight w:val="257"/>
        </w:trPr>
        <w:tc>
          <w:tcPr>
            <w:tcW w:w="4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(10,383)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(11,219)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(13,869)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(18,905)</w:t>
            </w: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Profit from operations</w:t>
            </w:r>
            <w:r>
              <w:rPr>
                <w:rFonts w:ascii="Arial" w:cs="Arial" w:eastAsia="Arial" w:hAnsi="Arial"/>
                <w:sz w:val="28"/>
                <w:szCs w:val="28"/>
                <w:b w:val="1"/>
                <w:bCs w:val="1"/>
                <w:color w:val="auto"/>
                <w:vertAlign w:val="superscript"/>
              </w:rPr>
              <w:t>(6)</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34,945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86,805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103,655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137,940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160,505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Financial costs</w:t>
            </w:r>
            <w:r>
              <w:rPr>
                <w:rFonts w:ascii="Arial" w:cs="Arial" w:eastAsia="Arial" w:hAnsi="Arial"/>
                <w:sz w:val="28"/>
                <w:szCs w:val="28"/>
                <w:color w:val="auto"/>
                <w:vertAlign w:val="superscript"/>
              </w:rPr>
              <w:t>(6)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(15,206)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(21,789)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(30,187)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(44,916)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(60,258)</w:t>
            </w:r>
          </w:p>
        </w:tc>
        <w:tc>
          <w:tcPr>
            <w:tcW w:w="0" w:type="dxa"/>
            <w:vAlign w:val="bottom"/>
          </w:tcPr>
          <w:p>
            <w:pPr>
              <w:spacing w:after="0"/>
              <w:rPr>
                <w:sz w:val="1"/>
                <w:szCs w:val="1"/>
                <w:color w:val="auto"/>
              </w:rPr>
            </w:pPr>
          </w:p>
        </w:tc>
      </w:tr>
      <w:tr>
        <w:trPr>
          <w:trHeight w:val="257"/>
        </w:trPr>
        <w:tc>
          <w:tcPr>
            <w:tcW w:w="4300" w:type="dxa"/>
            <w:vAlign w:val="bottom"/>
            <w:gridSpan w:val="2"/>
          </w:tcPr>
          <w:p>
            <w:pPr>
              <w:spacing w:after="0" w:line="256" w:lineRule="exact"/>
              <w:rPr>
                <w:sz w:val="20"/>
                <w:szCs w:val="20"/>
                <w:color w:val="auto"/>
              </w:rPr>
            </w:pPr>
            <w:r>
              <w:rPr>
                <w:rFonts w:ascii="Arial" w:cs="Arial" w:eastAsia="Arial" w:hAnsi="Arial"/>
                <w:sz w:val="18"/>
                <w:szCs w:val="18"/>
                <w:color w:val="auto"/>
              </w:rPr>
              <w:t>Financial income</w:t>
            </w:r>
            <w:r>
              <w:rPr>
                <w:rFonts w:ascii="Arial" w:cs="Arial" w:eastAsia="Arial" w:hAnsi="Arial"/>
                <w:sz w:val="29"/>
                <w:szCs w:val="29"/>
                <w:color w:val="auto"/>
                <w:vertAlign w:val="superscript"/>
              </w:rPr>
              <w:t>(6)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(Loss)/gain on derivatives</w:t>
            </w:r>
            <w:r>
              <w:rPr>
                <w:rFonts w:ascii="Arial" w:cs="Arial" w:eastAsia="Arial" w:hAnsi="Arial"/>
                <w:sz w:val="29"/>
                <w:szCs w:val="29"/>
                <w:color w:val="auto"/>
                <w:vertAlign w:val="superscript"/>
              </w:rPr>
              <w:t>(6)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line="270" w:lineRule="exact"/>
              <w:rPr>
                <w:sz w:val="20"/>
                <w:szCs w:val="20"/>
                <w:color w:val="auto"/>
              </w:rPr>
            </w:pPr>
            <w:r>
              <w:rPr>
                <w:rFonts w:ascii="Arial" w:cs="Arial" w:eastAsia="Arial" w:hAnsi="Arial"/>
                <w:sz w:val="18"/>
                <w:szCs w:val="18"/>
                <w:b w:val="1"/>
                <w:bCs w:val="1"/>
                <w:color w:val="auto"/>
              </w:rPr>
              <w:t>Total other expenses, net</w:t>
            </w:r>
            <w:r>
              <w:rPr>
                <w:rFonts w:ascii="Arial" w:cs="Arial" w:eastAsia="Arial" w:hAnsi="Arial"/>
                <w:sz w:val="29"/>
                <w:szCs w:val="29"/>
                <w:b w:val="1"/>
                <w:bCs w:val="1"/>
                <w:color w:val="auto"/>
                <w:vertAlign w:val="superscript"/>
              </w:rPr>
              <w:t>(6)</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(20,401)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(21,765)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(26,385)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(43,823)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(57,908)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Partnership's profit</w:t>
            </w:r>
            <w:r>
              <w:rPr>
                <w:rFonts w:ascii="Arial" w:cs="Arial" w:eastAsia="Arial" w:hAnsi="Arial"/>
                <w:sz w:val="28"/>
                <w:szCs w:val="28"/>
                <w:b w:val="1"/>
                <w:bCs w:val="1"/>
                <w:color w:val="auto"/>
                <w:vertAlign w:val="superscript"/>
              </w:rPr>
              <w:t>(2)(6)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14,544</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65,040</w:t>
            </w:r>
          </w:p>
        </w:tc>
        <w:tc>
          <w:tcPr>
            <w:tcW w:w="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94,117</w:t>
            </w:r>
          </w:p>
        </w:tc>
        <w:tc>
          <w:tcPr>
            <w:tcW w:w="1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3"/>
                <w:szCs w:val="13"/>
                <w:b w:val="1"/>
                <w:bCs w:val="1"/>
                <w:color w:val="auto"/>
              </w:rPr>
              <w:t>2015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34"/>
              <w:spacing w:after="0" w:line="142" w:lineRule="exact"/>
              <w:rPr>
                <w:sz w:val="20"/>
                <w:szCs w:val="20"/>
                <w:color w:val="auto"/>
              </w:rPr>
            </w:pPr>
            <w:r>
              <w:rPr>
                <w:rFonts w:ascii="Arial" w:cs="Arial" w:eastAsia="Arial" w:hAnsi="Arial"/>
                <w:sz w:val="13"/>
                <w:szCs w:val="13"/>
                <w:b w:val="1"/>
                <w:bCs w:val="1"/>
                <w:color w:val="auto"/>
                <w:w w:val="96"/>
              </w:rPr>
              <w:t>2016</w:t>
            </w:r>
          </w:p>
        </w:tc>
        <w:tc>
          <w:tcPr>
            <w:tcW w:w="580" w:type="dxa"/>
            <w:vAlign w:val="bottom"/>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7.2</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2,989</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30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2,377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2,944</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3,764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4,476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Partnership Performance Fleet Data above is calculated consistent with our Partnership Performance Results.</w:t>
      </w: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3"/>
                <w:szCs w:val="13"/>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2014</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2"/>
                <w:szCs w:val="12"/>
                <w:color w:val="auto"/>
              </w:rPr>
            </w:pPr>
          </w:p>
        </w:tc>
      </w:tr>
      <w:tr>
        <w:trPr>
          <w:trHeight w:val="142"/>
        </w:trPr>
        <w:tc>
          <w:tcPr>
            <w:tcW w:w="2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gridSpan w:val="7"/>
          </w:tcPr>
          <w:p>
            <w:pPr>
              <w:jc w:val="center"/>
              <w:ind w:left="586"/>
              <w:spacing w:after="0" w:line="142" w:lineRule="exact"/>
              <w:rPr>
                <w:sz w:val="20"/>
                <w:szCs w:val="20"/>
                <w:color w:val="auto"/>
              </w:rPr>
            </w:pPr>
            <w:r>
              <w:rPr>
                <w:rFonts w:ascii="Arial" w:cs="Arial" w:eastAsia="Arial" w:hAnsi="Arial"/>
                <w:sz w:val="13"/>
                <w:szCs w:val="13"/>
                <w:b w:val="1"/>
                <w:bCs w:val="1"/>
                <w:color w:val="auto"/>
                <w:w w:val="91"/>
              </w:rPr>
              <w:t>(in thousands of U.S. dollars)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 PERFORMANCE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DATA</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48,297</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122,786</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148,885</w:t>
            </w:r>
          </w:p>
        </w:tc>
        <w:tc>
          <w:tcPr>
            <w:tcW w:w="2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196,133</w:t>
            </w: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6"/>
              </w:rPr>
              <w:t>$  233,656</w:t>
            </w:r>
          </w:p>
        </w:tc>
        <w:tc>
          <w:tcPr>
            <w:tcW w:w="260" w:type="dxa"/>
            <w:vAlign w:val="bottom"/>
          </w:tcPr>
          <w:p>
            <w:pPr>
              <w:spacing w:after="0"/>
              <w:rPr>
                <w:sz w:val="22"/>
                <w:szCs w:val="22"/>
                <w:color w:val="auto"/>
              </w:rPr>
            </w:pPr>
          </w:p>
        </w:tc>
      </w:tr>
      <w:tr>
        <w:trPr>
          <w:trHeight w:val="256"/>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100,551</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108,945</w:t>
            </w:r>
          </w:p>
        </w:tc>
        <w:tc>
          <w:tcPr>
            <w:tcW w:w="260" w:type="dxa"/>
            <w:vAlign w:val="bottom"/>
            <w:shd w:val="clear" w:color="auto" w:fill="CCEEFF"/>
          </w:tcPr>
          <w:p>
            <w:pPr>
              <w:spacing w:after="0"/>
              <w:rPr>
                <w:sz w:val="22"/>
                <w:szCs w:val="22"/>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Cash distributions declared and paid</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13,369</w:t>
            </w:r>
            <w:r>
              <w:rPr>
                <w:rFonts w:ascii="Arial" w:cs="Arial" w:eastAsia="Arial" w:hAnsi="Arial"/>
                <w:sz w:val="14"/>
                <w:szCs w:val="14"/>
                <w:color w:val="auto"/>
              </w:rPr>
              <w:t>(13)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14"/>
                <w:szCs w:val="14"/>
                <w:color w:val="auto"/>
              </w:rPr>
              <w:t>(14)</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(12)</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Preference Unit distributions declared and paid</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260" w:type="dxa"/>
            <w:vAlign w:val="bottom"/>
            <w:shd w:val="clear" w:color="auto" w:fill="CCEEFF"/>
          </w:tcPr>
          <w:p>
            <w:pPr>
              <w:spacing w:after="0"/>
              <w:rPr>
                <w:sz w:val="18"/>
                <w:szCs w:val="18"/>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192" w:lineRule="exact"/>
        <w:rPr>
          <w:sz w:val="20"/>
          <w:szCs w:val="20"/>
          <w:color w:val="auto"/>
        </w:rPr>
      </w:pPr>
    </w:p>
    <w:p>
      <w:pPr>
        <w:ind w:left="1700" w:right="600" w:hanging="536"/>
        <w:spacing w:after="0" w:line="274" w:lineRule="auto"/>
        <w:tabs>
          <w:tab w:leader="none" w:pos="17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acquired on April 26, 2018 and GAS-twenty seven Ltd. acquired on November 14, 2018, respectively, from GasLog. See Note 1 to our audited consolidated financial statements included elsewhere in this annual report.</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See Note 19 to our audited consolidated financial statements included elsewhere in this annual report.</w:t>
      </w:r>
    </w:p>
    <w:p>
      <w:pPr>
        <w:spacing w:after="0" w:line="134" w:lineRule="exact"/>
        <w:rPr>
          <w:rFonts w:ascii="Arial" w:cs="Arial" w:eastAsia="Arial" w:hAnsi="Arial"/>
          <w:sz w:val="11"/>
          <w:szCs w:val="11"/>
          <w:color w:val="auto"/>
        </w:rPr>
      </w:pPr>
    </w:p>
    <w:p>
      <w:pPr>
        <w:ind w:left="1700" w:hanging="536"/>
        <w:spacing w:after="0" w:line="244" w:lineRule="auto"/>
        <w:tabs>
          <w:tab w:leader="none" w:pos="1700" w:val="left"/>
        </w:tabs>
        <w:numPr>
          <w:ilvl w:val="0"/>
          <w:numId w:val="10"/>
        </w:numPr>
        <w:rPr>
          <w:rFonts w:ascii="Arial" w:cs="Arial" w:eastAsia="Arial" w:hAnsi="Arial"/>
          <w:sz w:val="11"/>
          <w:szCs w:val="11"/>
          <w:color w:val="auto"/>
        </w:rPr>
      </w:pPr>
      <w:r>
        <w:rPr>
          <w:rFonts w:ascii="Arial" w:cs="Arial" w:eastAsia="Arial" w:hAnsi="Arial"/>
          <w:sz w:val="13"/>
          <w:szCs w:val="13"/>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right="300"/>
        <w:spacing w:after="0" w:line="274" w:lineRule="auto"/>
        <w:rPr>
          <w:sz w:val="20"/>
          <w:szCs w:val="20"/>
          <w:color w:val="auto"/>
        </w:rPr>
      </w:pPr>
      <w:r>
        <w:rPr>
          <w:rFonts w:ascii="Arial" w:cs="Arial" w:eastAsia="Arial" w:hAnsi="Arial"/>
          <w:sz w:val="13"/>
          <w:szCs w:val="13"/>
          <w:color w:val="auto"/>
        </w:rPr>
        <w:t>on February 24, 2017, resulting in 120,000 additional units being sold at the same price. In connection with the offering, the Partnership issued 78,980 general partner units to its general partner in order for GasLog to retain its 2.0% general partner interest.</w:t>
      </w:r>
    </w:p>
    <w:p>
      <w:pPr>
        <w:spacing w:after="0" w:line="172" w:lineRule="exact"/>
        <w:rPr>
          <w:sz w:val="20"/>
          <w:szCs w:val="20"/>
          <w:color w:val="auto"/>
        </w:rPr>
      </w:pPr>
    </w:p>
    <w:p>
      <w:pPr>
        <w:ind w:left="1700" w:right="180"/>
        <w:spacing w:after="0" w:line="274" w:lineRule="auto"/>
        <w:rPr>
          <w:sz w:val="20"/>
          <w:szCs w:val="20"/>
          <w:color w:val="auto"/>
        </w:rPr>
      </w:pPr>
      <w:r>
        <w:rPr>
          <w:rFonts w:ascii="Arial" w:cs="Arial" w:eastAsia="Arial" w:hAnsi="Arial"/>
          <w:sz w:val="13"/>
          <w:szCs w:val="13"/>
          <w:color w:val="auto"/>
        </w:rPr>
        <w:t>On May 16, 2017, the subordination period expired, and the 9,822,358 subordinated units held by GasLog converted on a one-for-one basis into common units and now participate pro rata with other common units in distributions for available cash.</w:t>
      </w:r>
    </w:p>
    <w:p>
      <w:pPr>
        <w:spacing w:after="0" w:line="172" w:lineRule="exact"/>
        <w:rPr>
          <w:sz w:val="20"/>
          <w:szCs w:val="20"/>
          <w:color w:val="auto"/>
        </w:rPr>
      </w:pPr>
    </w:p>
    <w:p>
      <w:pPr>
        <w:ind w:left="1700" w:right="100"/>
        <w:spacing w:after="0" w:line="245" w:lineRule="auto"/>
        <w:rPr>
          <w:sz w:val="20"/>
          <w:szCs w:val="20"/>
          <w:color w:val="auto"/>
        </w:rPr>
      </w:pPr>
      <w:r>
        <w:rPr>
          <w:rFonts w:ascii="Arial" w:cs="Arial" w:eastAsia="Arial" w:hAnsi="Arial"/>
          <w:sz w:val="13"/>
          <w:szCs w:val="13"/>
          <w:color w:val="auto"/>
        </w:rPr>
        <w:t>Also, on May 16, 2017, GasLog Partners entered into an Equity Distribution Agreement (the "Equity Distribution Agreement") under which the Partnership may, from time to time, raise equity through the ATM Programme having an aggregate offering price of up to $100.0 million. On November 3, 2017, the Partnership entered into the Amended and Restated Equity Distribution Agreement to increase the size of the ATM Programme from $100.0 million to $144.0 million. Since the commencement of the ATM Programme through December 31, 2018, GasLog Partners has issued and received payment for a total of 5,291,304 common units. In connection with the issuance of common units under the Equity Distribution Agreement during this period, the Partnership also issued 107,987 general partner units to its general partner in order for GasLog to retain its 2.0% general partner interest. Earnings per share is presented for the periods in which the units were outstanding.</w:t>
      </w:r>
    </w:p>
    <w:p>
      <w:pPr>
        <w:spacing w:after="0" w:line="178" w:lineRule="exact"/>
        <w:rPr>
          <w:sz w:val="20"/>
          <w:szCs w:val="20"/>
          <w:color w:val="auto"/>
        </w:rPr>
      </w:pPr>
    </w:p>
    <w:p>
      <w:pPr>
        <w:ind w:left="1700" w:right="40" w:hanging="536"/>
        <w:spacing w:after="0" w:line="250" w:lineRule="auto"/>
        <w:tabs>
          <w:tab w:leader="none" w:pos="1700" w:val="left"/>
        </w:tabs>
        <w:numPr>
          <w:ilvl w:val="0"/>
          <w:numId w:val="11"/>
        </w:numPr>
        <w:rPr>
          <w:rFonts w:ascii="Arial" w:cs="Arial" w:eastAsia="Arial" w:hAnsi="Arial"/>
          <w:sz w:val="11"/>
          <w:szCs w:val="11"/>
          <w:color w:val="auto"/>
        </w:rPr>
      </w:pPr>
      <w:r>
        <w:rPr>
          <w:rFonts w:ascii="Arial" w:cs="Arial" w:eastAsia="Arial" w:hAnsi="Arial"/>
          <w:sz w:val="13"/>
          <w:szCs w:val="13"/>
          <w:color w:val="auto"/>
        </w:rPr>
        <w:t>Upon the expiration of the subordination period, which occurred on May 16, 2017, the 9,822,358 subordinated units held by GasLog converted on a one-for-one basis into common units and now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w:t>
      </w:r>
    </w:p>
    <w:p>
      <w:pPr>
        <w:spacing w:after="0" w:line="106" w:lineRule="exact"/>
        <w:rPr>
          <w:rFonts w:ascii="Arial" w:cs="Arial" w:eastAsia="Arial" w:hAnsi="Arial"/>
          <w:sz w:val="11"/>
          <w:szCs w:val="11"/>
          <w:color w:val="auto"/>
        </w:rPr>
      </w:pPr>
    </w:p>
    <w:p>
      <w:pPr>
        <w:ind w:left="1700" w:right="160" w:hanging="536"/>
        <w:spacing w:after="0" w:line="278" w:lineRule="auto"/>
        <w:tabs>
          <w:tab w:leader="none" w:pos="1700" w:val="left"/>
        </w:tabs>
        <w:numPr>
          <w:ilvl w:val="0"/>
          <w:numId w:val="11"/>
        </w:numPr>
        <w:rPr>
          <w:rFonts w:ascii="Arial" w:cs="Arial" w:eastAsia="Arial" w:hAnsi="Arial"/>
          <w:sz w:val="10"/>
          <w:szCs w:val="10"/>
          <w:color w:val="auto"/>
        </w:rPr>
      </w:pPr>
      <w:r>
        <w:rPr>
          <w:rFonts w:ascii="Arial" w:cs="Arial" w:eastAsia="Arial" w:hAnsi="Arial"/>
          <w:sz w:val="12"/>
          <w:szCs w:val="12"/>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76" w:lineRule="exact"/>
        <w:rPr>
          <w:rFonts w:ascii="Arial" w:cs="Arial" w:eastAsia="Arial" w:hAnsi="Arial"/>
          <w:sz w:val="10"/>
          <w:szCs w:val="10"/>
          <w:color w:val="auto"/>
        </w:rPr>
      </w:pPr>
    </w:p>
    <w:p>
      <w:pPr>
        <w:ind w:left="1700" w:hanging="536"/>
        <w:spacing w:after="0"/>
        <w:tabs>
          <w:tab w:leader="none" w:pos="170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700"/>
        <w:spacing w:after="0"/>
        <w:rPr>
          <w:rFonts w:ascii="Arial" w:cs="Arial" w:eastAsia="Arial" w:hAnsi="Arial"/>
          <w:sz w:val="22"/>
          <w:szCs w:val="22"/>
          <w:color w:val="auto"/>
          <w:vertAlign w:val="superscript"/>
        </w:rPr>
      </w:pPr>
      <w:r>
        <w:rPr>
          <w:rFonts w:ascii="Arial" w:cs="Arial" w:eastAsia="Arial" w:hAnsi="Arial"/>
          <w:sz w:val="12"/>
          <w:szCs w:val="12"/>
          <w:b w:val="1"/>
          <w:bCs w:val="1"/>
          <w:i w:val="1"/>
          <w:iCs w:val="1"/>
          <w:color w:val="auto"/>
        </w:rPr>
        <w:t xml:space="preserve">Partnership Performance Results.  </w:t>
      </w:r>
      <w:r>
        <w:rPr>
          <w:rFonts w:ascii="Arial" w:cs="Arial" w:eastAsia="Arial" w:hAnsi="Arial"/>
          <w:sz w:val="12"/>
          <w:szCs w:val="12"/>
          <w:color w:val="auto"/>
        </w:rPr>
        <w:t>As described above, our IFRS Common Control Reported Results are derived from the consolidated financial statements of the Partnership.</w:t>
      </w:r>
    </w:p>
    <w:p>
      <w:pPr>
        <w:spacing w:after="0" w:line="226" w:lineRule="exact"/>
        <w:rPr>
          <w:rFonts w:ascii="Arial" w:cs="Arial" w:eastAsia="Arial" w:hAnsi="Arial"/>
          <w:sz w:val="22"/>
          <w:szCs w:val="22"/>
          <w:color w:val="auto"/>
          <w:vertAlign w:val="superscript"/>
        </w:rPr>
      </w:pPr>
    </w:p>
    <w:p>
      <w:pPr>
        <w:ind w:left="1700"/>
        <w:spacing w:after="0" w:line="261"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the</w:t>
      </w:r>
      <w:r>
        <w:rPr>
          <w:rFonts w:ascii="Arial" w:cs="Arial" w:eastAsia="Arial" w:hAnsi="Arial"/>
          <w:sz w:val="12"/>
          <w:szCs w:val="12"/>
          <w:i w:val="1"/>
          <w:iCs w:val="1"/>
          <w:color w:val="auto"/>
        </w:rPr>
        <w:t xml:space="preserve"> GasLog Santiago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GasLog Sydney</w:t>
      </w:r>
      <w:r>
        <w:rPr>
          <w:rFonts w:ascii="Arial" w:cs="Arial" w:eastAsia="Arial" w:hAnsi="Arial"/>
          <w:sz w:val="12"/>
          <w:szCs w:val="12"/>
          <w:color w:val="auto"/>
        </w:rPr>
        <w:t>, respectively) for the period prior to the closing of the IPO, GAS-sixteen Ltd. and GAS-seventeen Ltd. (the owners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respectively) for the period prior to their transfer to the Partnership on July 1, 2015, the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for the period prior to its transfer to the Partnership on July 3, 2017, the amounts related to GAS-</w:t>
      </w:r>
    </w:p>
    <w:p>
      <w:pPr>
        <w:spacing w:after="0" w:line="1" w:lineRule="exact"/>
        <w:rPr>
          <w:rFonts w:ascii="Arial" w:cs="Arial" w:eastAsia="Arial" w:hAnsi="Arial"/>
          <w:sz w:val="22"/>
          <w:szCs w:val="22"/>
          <w:color w:val="auto"/>
          <w:vertAlign w:val="superscript"/>
        </w:rPr>
      </w:pPr>
    </w:p>
    <w:p>
      <w:pPr>
        <w:ind w:left="1700" w:right="180"/>
        <w:spacing w:after="0" w:line="267"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for the period prior to its transfer to the Partnership on October 20, 2017, the amounts related to GAS-fourteen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Gibraltar</w:t>
      </w:r>
      <w:r>
        <w:rPr>
          <w:rFonts w:ascii="Arial" w:cs="Arial" w:eastAsia="Arial" w:hAnsi="Arial"/>
          <w:sz w:val="12"/>
          <w:szCs w:val="12"/>
          <w:color w:val="auto"/>
        </w:rPr>
        <w:t>) for the period prior to its transfer to the Partnership on April 26, 2018 and the amounts related to GAS-twenty seven Ltd. (the owner of the</w:t>
      </w:r>
      <w:r>
        <w:rPr>
          <w:rFonts w:ascii="Arial" w:cs="Arial" w:eastAsia="Arial" w:hAnsi="Arial"/>
          <w:sz w:val="12"/>
          <w:szCs w:val="12"/>
          <w:i w:val="1"/>
          <w:iCs w:val="1"/>
          <w:color w:val="auto"/>
        </w:rPr>
        <w:t xml:space="preserve"> Methane Becki Anne</w:t>
      </w:r>
      <w:r>
        <w:rPr>
          <w:rFonts w:ascii="Arial" w:cs="Arial" w:eastAsia="Arial" w:hAnsi="Arial"/>
          <w:sz w:val="12"/>
          <w:szCs w:val="12"/>
          <w:color w:val="auto"/>
        </w:rPr>
        <w:t>)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period prior to its transfer on November 14, 2018. While such amounts are reflected in the Partnership's reported financial statements because the 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78" w:lineRule="exact"/>
        <w:rPr>
          <w:rFonts w:ascii="Arial" w:cs="Arial" w:eastAsia="Arial" w:hAnsi="Arial"/>
          <w:sz w:val="22"/>
          <w:szCs w:val="22"/>
          <w:color w:val="auto"/>
          <w:vertAlign w:val="superscript"/>
        </w:rPr>
      </w:pPr>
    </w:p>
    <w:p>
      <w:pPr>
        <w:ind w:left="1700" w:right="60"/>
        <w:spacing w:after="0" w:line="247" w:lineRule="auto"/>
        <w:rPr>
          <w:rFonts w:ascii="Arial" w:cs="Arial" w:eastAsia="Arial" w:hAnsi="Arial"/>
          <w:sz w:val="22"/>
          <w:szCs w:val="22"/>
          <w:color w:val="auto"/>
          <w:vertAlign w:val="superscript"/>
        </w:rPr>
      </w:pPr>
      <w:r>
        <w:rPr>
          <w:rFonts w:ascii="Arial" w:cs="Arial" w:eastAsia="Arial" w:hAnsi="Arial"/>
          <w:sz w:val="13"/>
          <w:szCs w:val="13"/>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87" w:lineRule="exact"/>
        <w:rPr>
          <w:rFonts w:ascii="Arial" w:cs="Arial" w:eastAsia="Arial" w:hAnsi="Arial"/>
          <w:sz w:val="22"/>
          <w:szCs w:val="22"/>
          <w:color w:val="auto"/>
          <w:vertAlign w:val="superscript"/>
        </w:rPr>
      </w:pPr>
    </w:p>
    <w:p>
      <w:pPr>
        <w:ind w:left="1700"/>
        <w:spacing w:after="0"/>
        <w:rPr>
          <w:rFonts w:ascii="Arial" w:cs="Arial" w:eastAsia="Arial" w:hAnsi="Arial"/>
          <w:sz w:val="22"/>
          <w:szCs w:val="22"/>
          <w:color w:val="auto"/>
          <w:vertAlign w:val="superscript"/>
        </w:rPr>
      </w:pPr>
      <w:r>
        <w:rPr>
          <w:rFonts w:ascii="Arial" w:cs="Arial" w:eastAsia="Arial" w:hAnsi="Arial"/>
          <w:sz w:val="13"/>
          <w:szCs w:val="13"/>
          <w:b w:val="1"/>
          <w:bCs w:val="1"/>
          <w:color w:val="auto"/>
        </w:rPr>
        <w:t>Reconciliation of Partnership Performance Results to IFRS Common Control Reported Results in our Financial Statements: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w w:val="97"/>
              </w:rPr>
              <w:t>Year ended December 31, 2015</w:t>
            </w:r>
          </w:p>
        </w:tc>
        <w:tc>
          <w:tcPr>
            <w:tcW w:w="100" w:type="dxa"/>
            <w:vAlign w:val="bottom"/>
          </w:tcPr>
          <w:p>
            <w:pPr>
              <w:spacing w:after="0"/>
              <w:rPr>
                <w:sz w:val="14"/>
                <w:szCs w:val="14"/>
                <w:color w:val="auto"/>
              </w:rPr>
            </w:pPr>
          </w:p>
        </w:tc>
        <w:tc>
          <w:tcPr>
            <w:tcW w:w="2160" w:type="dxa"/>
            <w:vAlign w:val="bottom"/>
            <w:gridSpan w:val="9"/>
          </w:tcPr>
          <w:p>
            <w:pPr>
              <w:jc w:val="right"/>
              <w:ind w:right="280"/>
              <w:spacing w:after="0"/>
              <w:rPr>
                <w:sz w:val="20"/>
                <w:szCs w:val="20"/>
                <w:color w:val="auto"/>
              </w:rPr>
            </w:pPr>
            <w:r>
              <w:rPr>
                <w:rFonts w:ascii="Arial" w:cs="Arial" w:eastAsia="Arial" w:hAnsi="Arial"/>
                <w:sz w:val="13"/>
                <w:szCs w:val="13"/>
                <w:b w:val="1"/>
                <w:bCs w:val="1"/>
                <w:color w:val="auto"/>
                <w:w w:val="97"/>
              </w:rPr>
              <w:t>Year ended December 31, 2016</w:t>
            </w:r>
          </w:p>
        </w:tc>
        <w:tc>
          <w:tcPr>
            <w:tcW w:w="100" w:type="dxa"/>
            <w:vAlign w:val="bottom"/>
          </w:tcPr>
          <w:p>
            <w:pPr>
              <w:spacing w:after="0"/>
              <w:rPr>
                <w:sz w:val="14"/>
                <w:szCs w:val="14"/>
                <w:color w:val="auto"/>
              </w:rPr>
            </w:pPr>
          </w:p>
        </w:tc>
        <w:tc>
          <w:tcPr>
            <w:tcW w:w="214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w w:val="97"/>
              </w:rPr>
              <w:t>Year ended December 31,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w w:val="95"/>
              </w:rPr>
              <w:t>Year ended December 31, 2018</w:t>
            </w:r>
          </w:p>
        </w:tc>
      </w:tr>
      <w:tr>
        <w:trPr>
          <w:trHeight w:val="129"/>
        </w:trPr>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3"/>
                <w:szCs w:val="13"/>
                <w:b w:val="1"/>
                <w:bCs w:val="1"/>
                <w:color w:val="auto"/>
              </w:rPr>
              <w:t>IFRS</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3"/>
                <w:szCs w:val="13"/>
                <w:b w:val="1"/>
                <w:bCs w:val="1"/>
                <w:color w:val="auto"/>
              </w:rPr>
              <w:t>IFRS</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3"/>
                <w:szCs w:val="13"/>
                <w:b w:val="1"/>
                <w:bCs w:val="1"/>
                <w:color w:val="auto"/>
              </w:rPr>
              <w:t>IFRS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IFRS</w:t>
            </w:r>
          </w:p>
        </w:tc>
        <w:tc>
          <w:tcPr>
            <w:tcW w:w="60" w:type="dxa"/>
            <w:vAlign w:val="bottom"/>
          </w:tcPr>
          <w:p>
            <w:pPr>
              <w:spacing w:after="0"/>
              <w:rPr>
                <w:sz w:val="11"/>
                <w:szCs w:val="11"/>
                <w:color w:val="auto"/>
              </w:rPr>
            </w:pPr>
          </w:p>
        </w:tc>
      </w:tr>
      <w:tr>
        <w:trPr>
          <w:trHeight w:val="148"/>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Common</w:t>
            </w: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Results</w:t>
            </w:r>
          </w:p>
        </w:tc>
        <w:tc>
          <w:tcPr>
            <w:tcW w:w="2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Control</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Results</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Control</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Results</w:t>
            </w:r>
          </w:p>
        </w:tc>
        <w:tc>
          <w:tcPr>
            <w:tcW w:w="2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Partnership</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Control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3"/>
              </w:rPr>
              <w:t>Results</w:t>
            </w:r>
          </w:p>
        </w:tc>
        <w:tc>
          <w:tcPr>
            <w:tcW w:w="2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Partnership</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Control</w:t>
            </w:r>
          </w:p>
        </w:tc>
      </w:tr>
      <w:tr>
        <w:trPr>
          <w:trHeight w:val="148"/>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7"/>
          </w:tcPr>
          <w:p>
            <w:pPr>
              <w:spacing w:after="0"/>
              <w:rPr>
                <w:sz w:val="20"/>
                <w:szCs w:val="20"/>
                <w:color w:val="auto"/>
              </w:rPr>
            </w:pPr>
            <w:r>
              <w:rPr>
                <w:rFonts w:ascii="Arial" w:cs="Arial" w:eastAsia="Arial" w:hAnsi="Arial"/>
                <w:sz w:val="13"/>
                <w:szCs w:val="13"/>
                <w:b w:val="1"/>
                <w:bCs w:val="1"/>
                <w:color w:val="auto"/>
              </w:rPr>
              <w:t>attributable Performance</w:t>
            </w: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Reported</w:t>
            </w:r>
          </w:p>
        </w:tc>
        <w:tc>
          <w:tcPr>
            <w:tcW w:w="1560" w:type="dxa"/>
            <w:vAlign w:val="bottom"/>
            <w:gridSpan w:val="6"/>
          </w:tcPr>
          <w:p>
            <w:pPr>
              <w:spacing w:after="0"/>
              <w:rPr>
                <w:sz w:val="20"/>
                <w:szCs w:val="20"/>
                <w:color w:val="auto"/>
              </w:rPr>
            </w:pPr>
            <w:r>
              <w:rPr>
                <w:rFonts w:ascii="Arial" w:cs="Arial" w:eastAsia="Arial" w:hAnsi="Arial"/>
                <w:sz w:val="13"/>
                <w:szCs w:val="13"/>
                <w:b w:val="1"/>
                <w:bCs w:val="1"/>
                <w:color w:val="auto"/>
              </w:rPr>
              <w:t>attributable Performance</w:t>
            </w:r>
          </w:p>
        </w:tc>
        <w:tc>
          <w:tcPr>
            <w:tcW w:w="2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Reported</w:t>
            </w:r>
          </w:p>
        </w:tc>
        <w:tc>
          <w:tcPr>
            <w:tcW w:w="1560" w:type="dxa"/>
            <w:vAlign w:val="bottom"/>
            <w:gridSpan w:val="7"/>
          </w:tcPr>
          <w:p>
            <w:pPr>
              <w:spacing w:after="0"/>
              <w:rPr>
                <w:sz w:val="20"/>
                <w:szCs w:val="20"/>
                <w:color w:val="auto"/>
              </w:rPr>
            </w:pPr>
            <w:r>
              <w:rPr>
                <w:rFonts w:ascii="Arial" w:cs="Arial" w:eastAsia="Arial" w:hAnsi="Arial"/>
                <w:sz w:val="13"/>
                <w:szCs w:val="13"/>
                <w:b w:val="1"/>
                <w:bCs w:val="1"/>
                <w:color w:val="auto"/>
              </w:rPr>
              <w:t>attributable Performance</w:t>
            </w:r>
          </w:p>
        </w:tc>
        <w:tc>
          <w:tcPr>
            <w:tcW w:w="6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Reported</w:t>
            </w:r>
          </w:p>
        </w:tc>
        <w:tc>
          <w:tcPr>
            <w:tcW w:w="20" w:type="dxa"/>
            <w:vAlign w:val="bottom"/>
          </w:tcPr>
          <w:p>
            <w:pPr>
              <w:spacing w:after="0"/>
              <w:rPr>
                <w:sz w:val="12"/>
                <w:szCs w:val="12"/>
                <w:color w:val="auto"/>
              </w:rPr>
            </w:pPr>
          </w:p>
        </w:tc>
        <w:tc>
          <w:tcPr>
            <w:tcW w:w="2160" w:type="dxa"/>
            <w:vAlign w:val="bottom"/>
            <w:gridSpan w:val="9"/>
          </w:tcPr>
          <w:p>
            <w:pPr>
              <w:spacing w:after="0"/>
              <w:rPr>
                <w:sz w:val="20"/>
                <w:szCs w:val="20"/>
                <w:color w:val="auto"/>
              </w:rPr>
            </w:pPr>
            <w:r>
              <w:rPr>
                <w:rFonts w:ascii="Arial" w:cs="Arial" w:eastAsia="Arial" w:hAnsi="Arial"/>
                <w:sz w:val="13"/>
                <w:szCs w:val="13"/>
                <w:b w:val="1"/>
                <w:bCs w:val="1"/>
                <w:color w:val="auto"/>
                <w:w w:val="99"/>
              </w:rPr>
              <w:t>attributable Performance Reported</w:t>
            </w: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to GasLog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Results</w:t>
            </w: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Results</w:t>
            </w: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to GasLog</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Results</w:t>
            </w:r>
          </w:p>
        </w:tc>
        <w:tc>
          <w:tcPr>
            <w:tcW w:w="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to GasLog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Results</w:t>
            </w: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Results</w:t>
            </w:r>
          </w:p>
        </w:tc>
        <w:tc>
          <w:tcPr>
            <w:tcW w:w="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6"/>
              </w:rPr>
              <w:t>to GasLog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Results</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Results</w:t>
            </w:r>
          </w:p>
        </w:tc>
      </w:tr>
      <w:tr>
        <w:trPr>
          <w:trHeight w:val="156"/>
        </w:trPr>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11"/>
          </w:tcPr>
          <w:p>
            <w:pPr>
              <w:jc w:val="right"/>
              <w:ind w:right="53"/>
              <w:spacing w:after="0"/>
              <w:rPr>
                <w:sz w:val="20"/>
                <w:szCs w:val="20"/>
                <w:color w:val="auto"/>
              </w:rPr>
            </w:pPr>
            <w:r>
              <w:rPr>
                <w:rFonts w:ascii="Arial" w:cs="Arial" w:eastAsia="Arial" w:hAnsi="Arial"/>
                <w:sz w:val="13"/>
                <w:szCs w:val="13"/>
                <w:b w:val="1"/>
                <w:bCs w:val="1"/>
                <w:color w:val="auto"/>
              </w:rPr>
              <w:t>(in thousands of U.S. dollars)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6"/>
        </w:trPr>
        <w:tc>
          <w:tcPr>
            <w:tcW w:w="96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STATEMENT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8"/>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OF PROFIT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OR LOSS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8"/>
        </w:trPr>
        <w:tc>
          <w:tcPr>
            <w:tcW w:w="960" w:type="dxa"/>
            <w:vAlign w:val="bottom"/>
          </w:tcPr>
          <w:p>
            <w:pPr>
              <w:spacing w:after="0"/>
              <w:rPr>
                <w:sz w:val="20"/>
                <w:szCs w:val="20"/>
                <w:color w:val="auto"/>
              </w:rPr>
            </w:pPr>
            <w:r>
              <w:rPr>
                <w:rFonts w:ascii="Arial" w:cs="Arial" w:eastAsia="Arial" w:hAnsi="Arial"/>
                <w:sz w:val="13"/>
                <w:szCs w:val="13"/>
                <w:color w:val="auto"/>
              </w:rPr>
              <w:t>Revenues</w:t>
            </w:r>
          </w:p>
        </w:tc>
        <w:tc>
          <w:tcPr>
            <w:tcW w:w="1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100,150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168,927</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269,077</w:t>
            </w:r>
          </w:p>
        </w:tc>
        <w:tc>
          <w:tcPr>
            <w:tcW w:w="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111,065</w:t>
            </w:r>
          </w:p>
        </w:tc>
        <w:tc>
          <w:tcPr>
            <w:tcW w:w="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206,424</w:t>
            </w:r>
          </w:p>
        </w:tc>
        <w:tc>
          <w:tcPr>
            <w:tcW w:w="4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317,489</w:t>
            </w:r>
          </w:p>
        </w:tc>
        <w:tc>
          <w:tcPr>
            <w:tcW w:w="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102,075</w:t>
            </w: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269,071</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371,146</w:t>
            </w:r>
          </w:p>
        </w:tc>
        <w:tc>
          <w:tcPr>
            <w:tcW w:w="40" w:type="dxa"/>
            <w:vAlign w:val="bottom"/>
          </w:tcPr>
          <w:p>
            <w:pPr>
              <w:spacing w:after="0"/>
              <w:rPr>
                <w:sz w:val="12"/>
                <w:szCs w:val="12"/>
                <w:color w:val="auto"/>
              </w:rPr>
            </w:pP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35,550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316,991</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$ 352,541</w:t>
            </w:r>
          </w:p>
        </w:tc>
        <w:tc>
          <w:tcPr>
            <w:tcW w:w="60" w:type="dxa"/>
            <w:vAlign w:val="bottom"/>
          </w:tcPr>
          <w:p>
            <w:pPr>
              <w:spacing w:after="0"/>
              <w:rPr>
                <w:sz w:val="12"/>
                <w:szCs w:val="12"/>
                <w:color w:val="auto"/>
              </w:rPr>
            </w:pP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pool</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allocation</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c>
          <w:tcPr>
            <w:tcW w:w="60" w:type="dxa"/>
            <w:vAlign w:val="bottom"/>
            <w:shd w:val="clear" w:color="auto" w:fill="CCEEFF"/>
          </w:tcPr>
          <w:p>
            <w:pPr>
              <w:spacing w:after="0"/>
              <w:rPr>
                <w:sz w:val="13"/>
                <w:szCs w:val="13"/>
                <w:color w:val="auto"/>
              </w:rPr>
            </w:pPr>
          </w:p>
        </w:tc>
      </w:tr>
      <w:tr>
        <w:trPr>
          <w:trHeight w:val="138"/>
        </w:trPr>
        <w:tc>
          <w:tcPr>
            <w:tcW w:w="960" w:type="dxa"/>
            <w:vAlign w:val="bottom"/>
          </w:tcPr>
          <w:p>
            <w:pPr>
              <w:spacing w:after="0" w:line="138" w:lineRule="exact"/>
              <w:rPr>
                <w:sz w:val="20"/>
                <w:szCs w:val="20"/>
                <w:color w:val="auto"/>
              </w:rPr>
            </w:pPr>
            <w:r>
              <w:rPr>
                <w:rFonts w:ascii="Arial" w:cs="Arial" w:eastAsia="Arial" w:hAnsi="Arial"/>
                <w:sz w:val="13"/>
                <w:szCs w:val="13"/>
                <w:color w:val="auto"/>
                <w:w w:val="90"/>
              </w:rPr>
              <w:t>Voyage expenses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960" w:type="dxa"/>
            <w:vAlign w:val="bottom"/>
          </w:tcPr>
          <w:p>
            <w:pPr>
              <w:ind w:left="120"/>
              <w:spacing w:after="0"/>
              <w:rPr>
                <w:sz w:val="20"/>
                <w:szCs w:val="20"/>
                <w:color w:val="auto"/>
              </w:rPr>
            </w:pPr>
            <w:r>
              <w:rPr>
                <w:rFonts w:ascii="Arial" w:cs="Arial" w:eastAsia="Arial" w:hAnsi="Arial"/>
                <w:sz w:val="13"/>
                <w:szCs w:val="13"/>
                <w:color w:val="auto"/>
              </w:rPr>
              <w:t>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960" w:type="dxa"/>
            <w:vAlign w:val="bottom"/>
          </w:tcPr>
          <w:p>
            <w:pPr>
              <w:ind w:left="120"/>
              <w:spacing w:after="0"/>
              <w:rPr>
                <w:sz w:val="20"/>
                <w:szCs w:val="20"/>
                <w:color w:val="auto"/>
              </w:rPr>
            </w:pPr>
            <w:r>
              <w:rPr>
                <w:rFonts w:ascii="Arial" w:cs="Arial" w:eastAsia="Arial" w:hAnsi="Arial"/>
                <w:sz w:val="13"/>
                <w:szCs w:val="13"/>
                <w:color w:val="auto"/>
              </w:rPr>
              <w:t>commissions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(1,542)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(2,102)</w:t>
            </w: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(3,644)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(2,841)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(4,333)</w:t>
            </w: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(1,273)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(3,377)</w:t>
            </w: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(4,650)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(444)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(6,678)</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(7,122)</w:t>
            </w: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7"/>
              </w:rPr>
              <w:t>Vessel operating</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costs</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(24,221)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(33,656)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(57,877)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(19,597)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(43,479)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(63,076)</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(15,677)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(55,692)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(71,369)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(61,452)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(68,725)</w:t>
            </w:r>
          </w:p>
        </w:tc>
      </w:tr>
      <w:tr>
        <w:trPr>
          <w:trHeight w:val="148"/>
        </w:trPr>
        <w:tc>
          <w:tcPr>
            <w:tcW w:w="960" w:type="dxa"/>
            <w:vAlign w:val="bottom"/>
          </w:tcPr>
          <w:p>
            <w:pPr>
              <w:spacing w:after="0"/>
              <w:rPr>
                <w:sz w:val="20"/>
                <w:szCs w:val="20"/>
                <w:color w:val="auto"/>
              </w:rPr>
            </w:pPr>
            <w:r>
              <w:rPr>
                <w:rFonts w:ascii="Arial" w:cs="Arial" w:eastAsia="Arial" w:hAnsi="Arial"/>
                <w:sz w:val="13"/>
                <w:szCs w:val="13"/>
                <w:color w:val="auto"/>
              </w:rPr>
              <w:t>Depreciation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(25,425)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(35,981)</w:t>
            </w: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(61,406)</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(25,060)</w:t>
            </w: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(45,230)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(70,290)</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(22,896)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(58,193)</w:t>
            </w:r>
          </w:p>
        </w:tc>
        <w:tc>
          <w:tcPr>
            <w:tcW w:w="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(81,089)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(8,439)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(73,151)</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(81,590)</w:t>
            </w: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General and</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administrative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(10,383)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(12,065)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(13,206)</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(13,869)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(15,311)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(18,905)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(19,369)</w:t>
            </w:r>
          </w:p>
        </w:tc>
      </w:tr>
      <w:tr>
        <w:trPr>
          <w:trHeight w:val="129"/>
        </w:trPr>
        <w:tc>
          <w:tcPr>
            <w:tcW w:w="960" w:type="dxa"/>
            <w:vAlign w:val="bottom"/>
          </w:tcPr>
          <w:p>
            <w:pPr>
              <w:spacing w:after="0" w:line="129" w:lineRule="exact"/>
              <w:rPr>
                <w:sz w:val="20"/>
                <w:szCs w:val="20"/>
                <w:color w:val="auto"/>
              </w:rPr>
            </w:pPr>
            <w:r>
              <w:rPr>
                <w:rFonts w:ascii="Arial" w:cs="Arial" w:eastAsia="Arial" w:hAnsi="Arial"/>
                <w:sz w:val="13"/>
                <w:szCs w:val="13"/>
                <w:b w:val="1"/>
                <w:bCs w:val="1"/>
                <w:color w:val="auto"/>
              </w:rPr>
              <w:t>Profit from</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960" w:type="dxa"/>
            <w:vAlign w:val="bottom"/>
          </w:tcPr>
          <w:p>
            <w:pPr>
              <w:ind w:left="120"/>
              <w:spacing w:after="0"/>
              <w:rPr>
                <w:sz w:val="20"/>
                <w:szCs w:val="20"/>
                <w:color w:val="auto"/>
              </w:rPr>
            </w:pPr>
            <w:r>
              <w:rPr>
                <w:rFonts w:ascii="Arial" w:cs="Arial" w:eastAsia="Arial" w:hAnsi="Arial"/>
                <w:sz w:val="13"/>
                <w:szCs w:val="13"/>
                <w:b w:val="1"/>
                <w:bCs w:val="1"/>
                <w:color w:val="auto"/>
              </w:rPr>
              <w:t>operations</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47,280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86,805</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134,085</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62,929</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103,655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166,584</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60,787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137,940</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198,727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18,930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160,505</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179,435</w:t>
            </w:r>
          </w:p>
        </w:tc>
        <w:tc>
          <w:tcPr>
            <w:tcW w:w="60" w:type="dxa"/>
            <w:vAlign w:val="bottom"/>
          </w:tcPr>
          <w:p>
            <w:pPr>
              <w:spacing w:after="0"/>
              <w:rPr>
                <w:sz w:val="14"/>
                <w:szCs w:val="14"/>
                <w:color w:val="auto"/>
              </w:rPr>
            </w:pPr>
          </w:p>
        </w:tc>
      </w:tr>
      <w:tr>
        <w:trPr>
          <w:trHeight w:val="142"/>
        </w:trPr>
        <w:tc>
          <w:tcPr>
            <w:tcW w:w="9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Financial costs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(20,246)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(21,789)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(42,035)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(30,060)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(30,187)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(60,247)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(20,206)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(44,916)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(65,122)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(6,029)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(60,258)</w:t>
            </w: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(66,287)</w:t>
            </w:r>
          </w:p>
        </w:tc>
      </w:tr>
      <w:tr>
        <w:trPr>
          <w:trHeight w:val="149"/>
        </w:trPr>
        <w:tc>
          <w:tcPr>
            <w:tcW w:w="960" w:type="dxa"/>
            <w:vAlign w:val="bottom"/>
          </w:tcPr>
          <w:p>
            <w:pPr>
              <w:spacing w:after="0"/>
              <w:rPr>
                <w:sz w:val="20"/>
                <w:szCs w:val="20"/>
                <w:color w:val="auto"/>
              </w:rPr>
            </w:pPr>
            <w:r>
              <w:rPr>
                <w:rFonts w:ascii="Arial" w:cs="Arial" w:eastAsia="Arial" w:hAnsi="Arial"/>
                <w:sz w:val="13"/>
                <w:szCs w:val="13"/>
                <w:color w:val="auto"/>
                <w:w w:val="96"/>
              </w:rPr>
              <w:t>Financial income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2,398</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2,413</w:t>
            </w:r>
          </w:p>
        </w:tc>
        <w:tc>
          <w:tcPr>
            <w:tcW w:w="60" w:type="dxa"/>
            <w:vAlign w:val="bottom"/>
          </w:tcPr>
          <w:p>
            <w:pPr>
              <w:spacing w:after="0"/>
              <w:rPr>
                <w:sz w:val="12"/>
                <w:szCs w:val="12"/>
                <w:color w:val="auto"/>
              </w:rPr>
            </w:pP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(Loss)/gain 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derivatives</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(5,895)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(5,895)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(10,460)</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(6,837)</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r>
      <w:tr>
        <w:trPr>
          <w:trHeight w:val="129"/>
        </w:trPr>
        <w:tc>
          <w:tcPr>
            <w:tcW w:w="960" w:type="dxa"/>
            <w:vAlign w:val="bottom"/>
          </w:tcPr>
          <w:p>
            <w:pPr>
              <w:spacing w:after="0" w:line="129" w:lineRule="exact"/>
              <w:rPr>
                <w:sz w:val="20"/>
                <w:szCs w:val="20"/>
                <w:color w:val="auto"/>
              </w:rPr>
            </w:pPr>
            <w:r>
              <w:rPr>
                <w:rFonts w:ascii="Arial" w:cs="Arial" w:eastAsia="Arial" w:hAnsi="Arial"/>
                <w:sz w:val="13"/>
                <w:szCs w:val="13"/>
                <w:b w:val="1"/>
                <w:bCs w:val="1"/>
                <w:color w:val="auto"/>
              </w:rPr>
              <w:t>Total other</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960" w:type="dxa"/>
            <w:vAlign w:val="bottom"/>
          </w:tcPr>
          <w:p>
            <w:pPr>
              <w:ind w:left="120"/>
              <w:spacing w:after="0"/>
              <w:rPr>
                <w:sz w:val="20"/>
                <w:szCs w:val="20"/>
                <w:color w:val="auto"/>
              </w:rPr>
            </w:pPr>
            <w:r>
              <w:rPr>
                <w:rFonts w:ascii="Arial" w:cs="Arial" w:eastAsia="Arial" w:hAnsi="Arial"/>
                <w:sz w:val="13"/>
                <w:szCs w:val="13"/>
                <w:b w:val="1"/>
                <w:bCs w:val="1"/>
                <w:color w:val="auto"/>
              </w:rPr>
              <w:t>expense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(26,124)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(21,765)</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(47,889)</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(40,490)</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(26,385)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(66,875)</w:t>
            </w: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(43,823)</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(63,982)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(6.014)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(57,908)</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(63,922)</w:t>
            </w:r>
          </w:p>
        </w:tc>
      </w:tr>
      <w:tr>
        <w:trPr>
          <w:trHeight w:val="129"/>
        </w:trPr>
        <w:tc>
          <w:tcPr>
            <w:tcW w:w="9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Profit for the</w:t>
            </w: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1"/>
        </w:trPr>
        <w:tc>
          <w:tcPr>
            <w:tcW w:w="9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year</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21,156</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65,040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86,196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22,439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77,270</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99,709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40,628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94,117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134,745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12,916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102,597</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115,513</w:t>
            </w:r>
          </w:p>
        </w:tc>
        <w:tc>
          <w:tcPr>
            <w:tcW w:w="6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700" w:right="100"/>
        <w:spacing w:after="0" w:line="274" w:lineRule="auto"/>
        <w:rPr>
          <w:sz w:val="20"/>
          <w:szCs w:val="20"/>
          <w:color w:val="auto"/>
        </w:rPr>
      </w:pPr>
      <w:r>
        <w:rPr>
          <w:rFonts w:ascii="Arial" w:cs="Arial" w:eastAsia="Arial" w:hAnsi="Arial"/>
          <w:sz w:val="13"/>
          <w:szCs w:val="13"/>
          <w:b w:val="1"/>
          <w:bCs w:val="1"/>
          <w:i w:val="1"/>
          <w:iCs w:val="1"/>
          <w:color w:val="auto"/>
        </w:rPr>
        <w:t xml:space="preserve">EBITDA. </w:t>
      </w:r>
      <w:r>
        <w:rPr>
          <w:rFonts w:ascii="Arial" w:cs="Arial" w:eastAsia="Arial" w:hAnsi="Arial"/>
          <w:sz w:val="13"/>
          <w:szCs w:val="13"/>
          <w:color w:val="auto"/>
        </w:rPr>
        <w:t>EBITDA is defined as earnings before interest income and expense, gain/loss on derivative financial instruments, taxes, depreciation and amortization. EBITDA,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 a non-GAAP financial measure, is used as a supplemental financial measure by management and external users of financial statements, such as</w:t>
      </w:r>
    </w:p>
    <w:p>
      <w:pPr>
        <w:sectPr>
          <w:pgSz w:w="11900" w:h="16838" w:orient="portrait"/>
          <w:cols w:equalWidth="0" w:num="1">
            <w:col w:w="11560"/>
          </w:cols>
          <w:pgMar w:left="160" w:top="51" w:right="17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34187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right="180"/>
        <w:spacing w:after="0" w:line="270" w:lineRule="auto"/>
        <w:rPr>
          <w:sz w:val="20"/>
          <w:szCs w:val="20"/>
          <w:color w:val="auto"/>
        </w:rPr>
      </w:pPr>
      <w:r>
        <w:rPr>
          <w:rFonts w:ascii="Arial" w:cs="Arial" w:eastAsia="Arial" w:hAnsi="Arial"/>
          <w:sz w:val="12"/>
          <w:szCs w:val="12"/>
          <w:color w:val="auto"/>
        </w:rPr>
        <w:t>our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gains/losses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76" w:lineRule="exact"/>
        <w:rPr>
          <w:sz w:val="20"/>
          <w:szCs w:val="20"/>
          <w:color w:val="auto"/>
        </w:rPr>
      </w:pPr>
    </w:p>
    <w:p>
      <w:pPr>
        <w:ind w:left="1700" w:right="6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capital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74" w:lineRule="exact"/>
        <w:rPr>
          <w:sz w:val="20"/>
          <w:szCs w:val="20"/>
          <w:color w:val="auto"/>
        </w:rPr>
      </w:pPr>
    </w:p>
    <w:p>
      <w:pPr>
        <w:ind w:left="1700" w:right="60"/>
        <w:spacing w:after="0" w:line="317" w:lineRule="auto"/>
        <w:rPr>
          <w:sz w:val="20"/>
          <w:szCs w:val="20"/>
          <w:color w:val="auto"/>
        </w:rPr>
      </w:pPr>
      <w:r>
        <w:rPr>
          <w:rFonts w:ascii="Arial" w:cs="Arial" w:eastAsia="Arial" w:hAnsi="Arial"/>
          <w:sz w:val="12"/>
          <w:szCs w:val="12"/>
          <w:color w:val="auto"/>
        </w:rPr>
        <w:t>EBITDA excludes some, but not all, items that affect profit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48" w:lineRule="exact"/>
        <w:rPr>
          <w:sz w:val="20"/>
          <w:szCs w:val="20"/>
          <w:color w:val="auto"/>
        </w:rPr>
      </w:pPr>
    </w:p>
    <w:p>
      <w:pPr>
        <w:ind w:left="1700" w:right="80"/>
        <w:spacing w:after="0" w:line="317" w:lineRule="auto"/>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above.</w:t>
      </w:r>
    </w:p>
    <w:p>
      <w:pPr>
        <w:spacing w:after="0" w:line="146"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Reconciliation of Profit to EBITDA:</w:t>
      </w:r>
    </w:p>
    <w:p>
      <w:pPr>
        <w:spacing w:after="0" w:line="214"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gridSpan w:val="14"/>
          </w:tcPr>
          <w:p>
            <w:pPr>
              <w:ind w:left="60"/>
              <w:spacing w:after="0"/>
              <w:rPr>
                <w:sz w:val="20"/>
                <w:szCs w:val="20"/>
                <w:color w:val="auto"/>
              </w:rPr>
            </w:pPr>
            <w:r>
              <w:rPr>
                <w:rFonts w:ascii="Arial" w:cs="Arial" w:eastAsia="Arial" w:hAnsi="Arial"/>
                <w:sz w:val="13"/>
                <w:szCs w:val="13"/>
                <w:b w:val="1"/>
                <w:bCs w:val="1"/>
                <w:color w:val="auto"/>
              </w:rPr>
              <w:t>IFRS Common Control Reported Results Year ended</w:t>
            </w:r>
          </w:p>
        </w:tc>
        <w:tc>
          <w:tcPr>
            <w:tcW w:w="3040" w:type="dxa"/>
            <w:vAlign w:val="bottom"/>
            <w:gridSpan w:val="13"/>
          </w:tcPr>
          <w:p>
            <w:pPr>
              <w:jc w:val="right"/>
              <w:ind w:right="300"/>
              <w:spacing w:after="0"/>
              <w:rPr>
                <w:sz w:val="20"/>
                <w:szCs w:val="20"/>
                <w:color w:val="auto"/>
              </w:rPr>
            </w:pPr>
            <w:r>
              <w:rPr>
                <w:rFonts w:ascii="Arial" w:cs="Arial" w:eastAsia="Arial" w:hAnsi="Arial"/>
                <w:sz w:val="13"/>
                <w:szCs w:val="13"/>
                <w:b w:val="1"/>
                <w:bCs w:val="1"/>
                <w:color w:val="auto"/>
                <w:w w:val="97"/>
              </w:rPr>
              <w:t>Partnership Performance Results Year ended</w:t>
            </w:r>
          </w:p>
        </w:tc>
      </w:tr>
      <w:tr>
        <w:trPr>
          <w:trHeight w:val="161"/>
        </w:trPr>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3"/>
                <w:szCs w:val="13"/>
                <w:b w:val="1"/>
                <w:bCs w:val="1"/>
                <w:color w:val="auto"/>
                <w:w w:val="92"/>
              </w:rPr>
              <w:t>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2014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56"/>
        </w:trPr>
        <w:tc>
          <w:tcPr>
            <w:tcW w:w="152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20"/>
              <w:spacing w:after="0" w:line="157" w:lineRule="exact"/>
              <w:rPr>
                <w:sz w:val="20"/>
                <w:szCs w:val="20"/>
                <w:color w:val="auto"/>
              </w:rPr>
            </w:pPr>
            <w:r>
              <w:rPr>
                <w:rFonts w:ascii="Arial" w:cs="Arial" w:eastAsia="Arial" w:hAnsi="Arial"/>
                <w:sz w:val="11"/>
                <w:szCs w:val="11"/>
                <w:b w:val="1"/>
                <w:bCs w:val="1"/>
                <w:color w:val="auto"/>
                <w:w w:val="98"/>
              </w:rPr>
              <w:t>Restated</w:t>
            </w:r>
            <w:r>
              <w:rPr>
                <w:rFonts w:ascii="Arial" w:cs="Arial" w:eastAsia="Arial" w:hAnsi="Arial"/>
                <w:sz w:val="18"/>
                <w:szCs w:val="18"/>
                <w:b w:val="1"/>
                <w:bCs w:val="1"/>
                <w:color w:val="auto"/>
                <w:w w:val="98"/>
                <w:vertAlign w:val="superscript"/>
              </w:rPr>
              <w:t>(1)</w:t>
            </w:r>
          </w:p>
        </w:tc>
        <w:tc>
          <w:tcPr>
            <w:tcW w:w="80" w:type="dxa"/>
            <w:vAlign w:val="bottom"/>
          </w:tcPr>
          <w:p>
            <w:pPr>
              <w:spacing w:after="0"/>
              <w:rPr>
                <w:sz w:val="13"/>
                <w:szCs w:val="13"/>
                <w:color w:val="auto"/>
              </w:rPr>
            </w:pPr>
          </w:p>
        </w:tc>
        <w:tc>
          <w:tcPr>
            <w:tcW w:w="660" w:type="dxa"/>
            <w:vAlign w:val="bottom"/>
            <w:gridSpan w:val="2"/>
          </w:tcPr>
          <w:p>
            <w:pPr>
              <w:ind w:left="2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80"/>
              <w:spacing w:after="0"/>
              <w:rPr>
                <w:sz w:val="20"/>
                <w:szCs w:val="20"/>
                <w:color w:val="auto"/>
              </w:rPr>
            </w:pPr>
            <w:r>
              <w:rPr>
                <w:rFonts w:ascii="Arial" w:cs="Arial" w:eastAsia="Arial" w:hAnsi="Arial"/>
                <w:sz w:val="13"/>
                <w:szCs w:val="13"/>
                <w:b w:val="1"/>
                <w:bCs w:val="1"/>
                <w:color w:val="auto"/>
                <w:w w:val="90"/>
              </w:rPr>
              <w:t>(in thousands of U.S. dollars)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47,473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86,196</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99,709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134,745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$ 115,513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$14,544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65,040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77,270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94,117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9"/>
              </w:rPr>
              <w:t>$ 102,597</w:t>
            </w:r>
          </w:p>
        </w:tc>
      </w:tr>
      <w:tr>
        <w:trPr>
          <w:trHeight w:val="148"/>
        </w:trPr>
        <w:tc>
          <w:tcPr>
            <w:tcW w:w="1520" w:type="dxa"/>
            <w:vAlign w:val="bottom"/>
          </w:tcPr>
          <w:p>
            <w:pPr>
              <w:spacing w:after="0"/>
              <w:rPr>
                <w:sz w:val="20"/>
                <w:szCs w:val="20"/>
                <w:color w:val="auto"/>
              </w:rPr>
            </w:pPr>
            <w:r>
              <w:rPr>
                <w:rFonts w:ascii="Arial" w:cs="Arial" w:eastAsia="Arial" w:hAnsi="Arial"/>
                <w:sz w:val="13"/>
                <w:szCs w:val="13"/>
                <w:color w:val="auto"/>
              </w:rPr>
              <w:t>Depreciation</w:t>
            </w:r>
          </w:p>
        </w:tc>
        <w:tc>
          <w:tcPr>
            <w:tcW w:w="14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42,433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61,406</w:t>
            </w:r>
          </w:p>
        </w:tc>
        <w:tc>
          <w:tcPr>
            <w:tcW w:w="1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70,290</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81,089</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81,590</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13,352</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35,981</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45,230</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58,193</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73,151</w:t>
            </w:r>
          </w:p>
        </w:tc>
      </w:tr>
      <w:tr>
        <w:trPr>
          <w:trHeight w:val="149"/>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39,992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42,035</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60,247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65,122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66,287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15,206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21,789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30,187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44,916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60,258</w:t>
            </w:r>
          </w:p>
        </w:tc>
      </w:tr>
      <w:tr>
        <w:trPr>
          <w:trHeight w:val="148"/>
        </w:trPr>
        <w:tc>
          <w:tcPr>
            <w:tcW w:w="1520" w:type="dxa"/>
            <w:vAlign w:val="bottom"/>
          </w:tcPr>
          <w:p>
            <w:pPr>
              <w:spacing w:after="0"/>
              <w:rPr>
                <w:sz w:val="20"/>
                <w:szCs w:val="20"/>
                <w:color w:val="auto"/>
              </w:rPr>
            </w:pPr>
            <w:r>
              <w:rPr>
                <w:rFonts w:ascii="Arial" w:cs="Arial" w:eastAsia="Arial" w:hAnsi="Arial"/>
                <w:sz w:val="13"/>
                <w:szCs w:val="13"/>
                <w:color w:val="auto"/>
              </w:rPr>
              <w:t>Financial income</w:t>
            </w:r>
          </w:p>
        </w:tc>
        <w:tc>
          <w:tcPr>
            <w:tcW w:w="1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(1,019)</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(2,413)</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(972)</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(2,398)</w:t>
            </w:r>
          </w:p>
        </w:tc>
      </w:tr>
      <w:tr>
        <w:trPr>
          <w:trHeight w:val="148"/>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Loss/(gain) on derivatives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18,554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5,895</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6,837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5,218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(3,623)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w:t>
            </w:r>
          </w:p>
        </w:tc>
      </w:tr>
      <w:tr>
        <w:trPr>
          <w:trHeight w:val="142"/>
        </w:trPr>
        <w:tc>
          <w:tcPr>
            <w:tcW w:w="1520" w:type="dxa"/>
            <w:vAlign w:val="bottom"/>
          </w:tcPr>
          <w:p>
            <w:pPr>
              <w:spacing w:after="0" w:line="142" w:lineRule="exact"/>
              <w:rPr>
                <w:sz w:val="20"/>
                <w:szCs w:val="20"/>
                <w:color w:val="auto"/>
              </w:rPr>
            </w:pPr>
            <w:r>
              <w:rPr>
                <w:rFonts w:ascii="Arial" w:cs="Arial" w:eastAsia="Arial" w:hAnsi="Arial"/>
                <w:sz w:val="13"/>
                <w:szCs w:val="13"/>
                <w:b w:val="1"/>
                <w:bCs w:val="1"/>
                <w:color w:val="auto"/>
              </w:rPr>
              <w:t>EBITDA</w:t>
            </w: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148,401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195,491</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236,874</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279,816</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$ 261,025</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48,297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122,786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3"/>
              </w:rPr>
              <w:t>148,885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196,133</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$ 233,656</w:t>
            </w:r>
          </w:p>
        </w:tc>
        <w:tc>
          <w:tcPr>
            <w:tcW w:w="16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700"/>
        <w:spacing w:after="0" w:line="245" w:lineRule="auto"/>
        <w:rPr>
          <w:sz w:val="20"/>
          <w:szCs w:val="20"/>
          <w:color w:val="auto"/>
        </w:rPr>
      </w:pPr>
      <w:r>
        <w:rPr>
          <w:rFonts w:ascii="Arial" w:cs="Arial" w:eastAsia="Arial" w:hAnsi="Arial"/>
          <w:sz w:val="13"/>
          <w:szCs w:val="13"/>
          <w:b w:val="1"/>
          <w:bCs w:val="1"/>
          <w:i w:val="1"/>
          <w:iCs w:val="1"/>
          <w:color w:val="auto"/>
        </w:rPr>
        <w:t xml:space="preserve">Distributable cash flow. </w:t>
      </w:r>
      <w:r>
        <w:rPr>
          <w:rFonts w:ascii="Arial" w:cs="Arial" w:eastAsia="Arial" w:hAnsi="Arial"/>
          <w:sz w:val="13"/>
          <w:szCs w:val="13"/>
          <w:color w:val="auto"/>
        </w:rPr>
        <w:t>Distributable cash flow means EBITDA, on the basis of the Partnership Performance Results, after considering financial costs for the year, including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realized loss on derivatives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The Partnership believes that Distributable cash flow, which is a non-GAAP financial measure, is useful because it is a quantitative standard used by investors in publicly-traded partnerships to assess their ability to make quarterly cash distributions. Our calculation of Distributable cash flow may not be comparable to that reported by other companies.</w:t>
      </w:r>
    </w:p>
    <w:p>
      <w:pPr>
        <w:spacing w:after="0" w:line="191" w:lineRule="exact"/>
        <w:rPr>
          <w:sz w:val="20"/>
          <w:szCs w:val="20"/>
          <w:color w:val="auto"/>
        </w:rPr>
      </w:pPr>
    </w:p>
    <w:p>
      <w:pPr>
        <w:ind w:left="1700" w:right="480"/>
        <w:spacing w:after="0" w:line="274" w:lineRule="auto"/>
        <w:rPr>
          <w:sz w:val="20"/>
          <w:szCs w:val="20"/>
          <w:color w:val="auto"/>
        </w:rPr>
      </w:pPr>
      <w:r>
        <w:rPr>
          <w:rFonts w:ascii="Arial" w:cs="Arial" w:eastAsia="Arial" w:hAnsi="Arial"/>
          <w:sz w:val="13"/>
          <w:szCs w:val="13"/>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72"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The table below reconciles Distributable cash flow and Cash distributions declared to EBITDA (Partnership Performance Results).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700" w:type="dxa"/>
            <w:vAlign w:val="bottom"/>
            <w:gridSpan w:val="3"/>
          </w:tcPr>
          <w:p>
            <w:pPr>
              <w:spacing w:after="0"/>
              <w:rPr>
                <w:sz w:val="20"/>
                <w:szCs w:val="20"/>
                <w:color w:val="auto"/>
              </w:rPr>
            </w:pPr>
            <w:r>
              <w:rPr>
                <w:rFonts w:ascii="Arial" w:cs="Arial" w:eastAsia="Arial" w:hAnsi="Arial"/>
                <w:sz w:val="13"/>
                <w:szCs w:val="13"/>
                <w:b w:val="1"/>
                <w:bCs w:val="1"/>
                <w:color w:val="auto"/>
              </w:rPr>
              <w:t>Reconciliation of EBITDA to Distributable Cash Flow*:</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jc w:val="right"/>
              <w:ind w:right="320"/>
              <w:spacing w:after="0"/>
              <w:rPr>
                <w:sz w:val="20"/>
                <w:szCs w:val="20"/>
                <w:color w:val="auto"/>
              </w:rPr>
            </w:pPr>
            <w:r>
              <w:rPr>
                <w:rFonts w:ascii="Arial" w:cs="Arial" w:eastAsia="Arial" w:hAnsi="Arial"/>
                <w:sz w:val="13"/>
                <w:szCs w:val="13"/>
                <w:b w:val="1"/>
                <w:bCs w:val="1"/>
                <w:color w:val="auto"/>
                <w:w w:val="95"/>
              </w:rPr>
              <w:t>Partnership Performance Results</w:t>
            </w:r>
          </w:p>
        </w:tc>
      </w:tr>
      <w:tr>
        <w:trPr>
          <w:trHeight w:val="161"/>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9"/>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(in</w:t>
            </w:r>
          </w:p>
        </w:tc>
        <w:tc>
          <w:tcPr>
            <w:tcW w:w="1800" w:type="dxa"/>
            <w:vAlign w:val="bottom"/>
            <w:gridSpan w:val="8"/>
          </w:tcPr>
          <w:p>
            <w:pPr>
              <w:jc w:val="right"/>
              <w:ind w:right="460"/>
              <w:spacing w:after="0" w:line="142" w:lineRule="exact"/>
              <w:rPr>
                <w:sz w:val="20"/>
                <w:szCs w:val="20"/>
                <w:color w:val="auto"/>
              </w:rPr>
            </w:pPr>
            <w:r>
              <w:rPr>
                <w:rFonts w:ascii="Arial" w:cs="Arial" w:eastAsia="Arial" w:hAnsi="Arial"/>
                <w:sz w:val="13"/>
                <w:szCs w:val="13"/>
                <w:b w:val="1"/>
                <w:bCs w:val="1"/>
                <w:color w:val="auto"/>
                <w:w w:val="81"/>
              </w:rPr>
              <w:t>thousands of U.S. dollars)</w:t>
            </w:r>
          </w:p>
        </w:tc>
      </w:tr>
      <w:tr>
        <w:trPr>
          <w:trHeight w:val="148"/>
        </w:trPr>
        <w:tc>
          <w:tcPr>
            <w:tcW w:w="40" w:type="dxa"/>
            <w:vAlign w:val="bottom"/>
          </w:tcPr>
          <w:p>
            <w:pPr>
              <w:spacing w:after="0"/>
              <w:rPr>
                <w:sz w:val="12"/>
                <w:szCs w:val="12"/>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 (Partnership Performance Results)</w:t>
            </w:r>
            <w:r>
              <w:rPr>
                <w:rFonts w:ascii="Arial" w:cs="Arial" w:eastAsia="Arial" w:hAnsi="Arial"/>
                <w:sz w:val="13"/>
                <w:szCs w:val="13"/>
                <w:b w:val="1"/>
                <w:bCs w:val="1"/>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148,885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196,133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233,656</w:t>
            </w:r>
          </w:p>
        </w:tc>
      </w:tr>
      <w:tr>
        <w:trPr>
          <w:trHeight w:val="149"/>
        </w:trPr>
        <w:tc>
          <w:tcPr>
            <w:tcW w:w="4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Financial costs (excluding amortization of loan fees) and realized loss on derivatives</w:t>
            </w:r>
          </w:p>
        </w:tc>
        <w:tc>
          <w:tcPr>
            <w:tcW w:w="12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(26,929)</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(41,722)</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(52,876)</w:t>
            </w:r>
          </w:p>
        </w:tc>
      </w:tr>
      <w:tr>
        <w:trPr>
          <w:trHeight w:val="148"/>
        </w:trPr>
        <w:tc>
          <w:tcPr>
            <w:tcW w:w="40" w:type="dxa"/>
            <w:vAlign w:val="bottom"/>
          </w:tcPr>
          <w:p>
            <w:pPr>
              <w:spacing w:after="0"/>
              <w:rPr>
                <w:sz w:val="12"/>
                <w:szCs w:val="12"/>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Dry-docking capital reserve</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(8,829)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(12,234)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(13,890)</w:t>
            </w:r>
          </w:p>
        </w:tc>
      </w:tr>
      <w:tr>
        <w:trPr>
          <w:trHeight w:val="148"/>
        </w:trPr>
        <w:tc>
          <w:tcPr>
            <w:tcW w:w="4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Replacement capital reserve</w:t>
            </w:r>
          </w:p>
        </w:tc>
        <w:tc>
          <w:tcPr>
            <w:tcW w:w="12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(29,467)</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(33,877)</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(35,450)</w:t>
            </w:r>
          </w:p>
        </w:tc>
      </w:tr>
      <w:tr>
        <w:trPr>
          <w:trHeight w:val="149"/>
        </w:trPr>
        <w:tc>
          <w:tcPr>
            <w:tcW w:w="40" w:type="dxa"/>
            <w:vAlign w:val="bottom"/>
          </w:tcPr>
          <w:p>
            <w:pPr>
              <w:spacing w:after="0"/>
              <w:rPr>
                <w:sz w:val="12"/>
                <w:szCs w:val="12"/>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Paid and accrued preferred equity distribution</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(7,749)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(22,495)</w:t>
            </w:r>
          </w:p>
        </w:tc>
      </w:tr>
      <w:tr>
        <w:trPr>
          <w:trHeight w:val="142"/>
        </w:trPr>
        <w:tc>
          <w:tcPr>
            <w:tcW w:w="40" w:type="dxa"/>
            <w:vAlign w:val="bottom"/>
          </w:tcPr>
          <w:p>
            <w:pPr>
              <w:spacing w:after="0"/>
              <w:rPr>
                <w:sz w:val="12"/>
                <w:szCs w:val="12"/>
                <w:color w:val="auto"/>
              </w:rPr>
            </w:pPr>
          </w:p>
        </w:tc>
        <w:tc>
          <w:tcPr>
            <w:tcW w:w="56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Distributable cash flow</w:t>
            </w: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83,660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100,551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108,945</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56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Other reserves</w:t>
            </w:r>
            <w:r>
              <w:rPr>
                <w:rFonts w:ascii="Arial" w:cs="Arial" w:eastAsia="Arial" w:hAnsi="Arial"/>
                <w:sz w:val="13"/>
                <w:szCs w:val="13"/>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(14,244)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(14,207)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(7,756)</w:t>
            </w:r>
          </w:p>
        </w:tc>
      </w:tr>
      <w:tr>
        <w:trPr>
          <w:trHeight w:val="142"/>
        </w:trPr>
        <w:tc>
          <w:tcPr>
            <w:tcW w:w="40" w:type="dxa"/>
            <w:vAlign w:val="bottom"/>
          </w:tcPr>
          <w:p>
            <w:pPr>
              <w:spacing w:after="0"/>
              <w:rPr>
                <w:sz w:val="12"/>
                <w:szCs w:val="12"/>
                <w:color w:val="auto"/>
              </w:rPr>
            </w:pPr>
          </w:p>
        </w:tc>
        <w:tc>
          <w:tcPr>
            <w:tcW w:w="56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distributions***</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69,416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86,344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101,189</w:t>
            </w:r>
          </w:p>
        </w:tc>
        <w:tc>
          <w:tcPr>
            <w:tcW w:w="16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80" w:hanging="539"/>
        <w:spacing w:after="0"/>
        <w:tabs>
          <w:tab w:leader="none" w:pos="2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reconciliation of Profit to EBITDA on the basis of Partnership Performance Results is presented in Note 6 above.</w:t>
      </w:r>
    </w:p>
    <w:p>
      <w:pPr>
        <w:spacing w:after="0" w:line="134" w:lineRule="exact"/>
        <w:rPr>
          <w:sz w:val="20"/>
          <w:szCs w:val="20"/>
          <w:color w:val="auto"/>
        </w:rPr>
      </w:pPr>
    </w:p>
    <w:p>
      <w:pPr>
        <w:ind w:left="2280" w:right="80" w:hanging="539"/>
        <w:spacing w:after="0" w:line="274" w:lineRule="auto"/>
        <w:tabs>
          <w:tab w:leader="none" w:pos="22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90" w:lineRule="exact"/>
        <w:rPr>
          <w:rFonts w:ascii="Arial" w:cs="Arial" w:eastAsia="Arial" w:hAnsi="Arial"/>
          <w:sz w:val="13"/>
          <w:szCs w:val="13"/>
          <w:color w:val="auto"/>
        </w:rPr>
      </w:pPr>
    </w:p>
    <w:p>
      <w:pPr>
        <w:ind w:left="2280" w:hanging="539"/>
        <w:spacing w:after="0"/>
        <w:tabs>
          <w:tab w:leader="none" w:pos="2280" w:val="left"/>
        </w:tabs>
        <w:numPr>
          <w:ilvl w:val="1"/>
          <w:numId w:val="14"/>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1700" w:right="40" w:hanging="536"/>
        <w:spacing w:after="0" w:line="256" w:lineRule="auto"/>
        <w:tabs>
          <w:tab w:leader="none" w:pos="1700" w:val="left"/>
        </w:tabs>
        <w:numPr>
          <w:ilvl w:val="0"/>
          <w:numId w:val="14"/>
        </w:numPr>
        <w:rPr>
          <w:rFonts w:ascii="Arial" w:cs="Arial" w:eastAsia="Arial" w:hAnsi="Arial"/>
          <w:sz w:val="11"/>
          <w:szCs w:val="11"/>
          <w:color w:val="auto"/>
        </w:rPr>
      </w:pPr>
      <w:r>
        <w:rPr>
          <w:rFonts w:ascii="Arial" w:cs="Arial" w:eastAsia="Arial" w:hAnsi="Arial"/>
          <w:sz w:val="13"/>
          <w:szCs w:val="13"/>
          <w:color w:val="auto"/>
        </w:rPr>
        <w:t>Does not reflect a distribution of $10.7 million declared in January 2015 in respect of the fourth quarter of 2014. Cash distribution paid includes $9.8 million dividend due to GasLog which was declared in 2013 and excludes $8.8 million dividend due to GasLog which was declared in 2014, in both cases prior to the contribution of the relevant vessels to the Partnership.</w:t>
      </w:r>
    </w:p>
    <w:p>
      <w:pPr>
        <w:spacing w:after="0" w:line="102" w:lineRule="exact"/>
        <w:rPr>
          <w:rFonts w:ascii="Arial" w:cs="Arial" w:eastAsia="Arial" w:hAnsi="Arial"/>
          <w:sz w:val="11"/>
          <w:szCs w:val="11"/>
          <w:color w:val="auto"/>
        </w:rPr>
      </w:pPr>
    </w:p>
    <w:p>
      <w:pPr>
        <w:ind w:left="1700" w:right="40" w:hanging="536"/>
        <w:spacing w:after="0" w:line="256" w:lineRule="auto"/>
        <w:tabs>
          <w:tab w:leader="none" w:pos="1700" w:val="left"/>
        </w:tabs>
        <w:numPr>
          <w:ilvl w:val="0"/>
          <w:numId w:val="14"/>
        </w:numPr>
        <w:rPr>
          <w:rFonts w:ascii="Arial" w:cs="Arial" w:eastAsia="Arial" w:hAnsi="Arial"/>
          <w:sz w:val="11"/>
          <w:szCs w:val="11"/>
          <w:color w:val="auto"/>
        </w:rPr>
      </w:pPr>
      <w:r>
        <w:rPr>
          <w:rFonts w:ascii="Arial" w:cs="Arial" w:eastAsia="Arial" w:hAnsi="Arial"/>
          <w:sz w:val="13"/>
          <w:szCs w:val="13"/>
          <w:color w:val="auto"/>
        </w:rPr>
        <w:t>Does not reflect a distribution of $15.7 million declared in January 2016 in respect of the fourth quarter of 2015. Cash distribution paid includes $8.8 million dividend due to GasLog which was declared in 2014 and excludes $11.8 million dividend due to GasLog which was declared in 2015, in both cases prior to the contribution of the relevant vessels to the Partnership.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700" w:hanging="536"/>
        <w:spacing w:after="0"/>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Does not reflect a distribution of $19.6 million declared in January 2017 and paid in February 2017, in respect of the fourth quarter of 2016.</w:t>
      </w:r>
    </w:p>
    <w:p>
      <w:pPr>
        <w:spacing w:after="0" w:line="134" w:lineRule="exact"/>
        <w:rPr>
          <w:rFonts w:ascii="Arial" w:cs="Arial" w:eastAsia="Arial" w:hAnsi="Arial"/>
          <w:sz w:val="11"/>
          <w:szCs w:val="11"/>
          <w:color w:val="auto"/>
        </w:rPr>
      </w:pPr>
    </w:p>
    <w:p>
      <w:pPr>
        <w:ind w:left="1700" w:right="40" w:hanging="536"/>
        <w:spacing w:after="0" w:line="274" w:lineRule="auto"/>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 xml:space="preserve">Cash distribution paid includes $7.8 million, $3.0 million and $1.0 million of dividends due to GasLog which were declared in 2015 prior to the contribution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respectively, to the Partnership.</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Does not reflect a distribution of $22.8 million declared in January 2018 and paid in February 2018, in respect of the fourth quarter of 2017.</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Does not reflect a distribution of $26.9 million declared in January 2019 and paid in February 2019, in respect of the fourth quarter of 2018.</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Does not reflect a distribution of $10.7 million declared in January 2015 and paid in February 2015, in respect of the fourth quarter of 2014.</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1"/>
          <w:numId w:val="15"/>
        </w:numPr>
        <w:rPr>
          <w:rFonts w:ascii="Arial" w:cs="Arial" w:eastAsia="Arial" w:hAnsi="Arial"/>
          <w:sz w:val="11"/>
          <w:szCs w:val="11"/>
          <w:color w:val="auto"/>
        </w:rPr>
      </w:pPr>
      <w:r>
        <w:rPr>
          <w:rFonts w:ascii="Arial" w:cs="Arial" w:eastAsia="Arial" w:hAnsi="Arial"/>
          <w:sz w:val="13"/>
          <w:szCs w:val="13"/>
          <w:color w:val="auto"/>
        </w:rPr>
        <w:t>Does not reflect a distribution of $15.7 million declared in January 2016 and paid in February 2016, in respect of the fourth quarter of 2015.</w:t>
      </w:r>
    </w:p>
    <w:p>
      <w:pPr>
        <w:spacing w:after="0" w:line="211"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2018:</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notes thereto included in "Item 18. Financial Statements".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As of</w:t>
            </w:r>
          </w:p>
        </w:tc>
      </w:tr>
      <w:tr>
        <w:trPr>
          <w:trHeight w:val="161"/>
        </w:trPr>
        <w:tc>
          <w:tcPr>
            <w:tcW w:w="24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December 31, 2018</w:t>
            </w:r>
          </w:p>
        </w:tc>
      </w:tr>
      <w:tr>
        <w:trPr>
          <w:trHeight w:val="129"/>
        </w:trPr>
        <w:tc>
          <w:tcPr>
            <w:tcW w:w="244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(in thousands of</w:t>
            </w:r>
          </w:p>
        </w:tc>
        <w:tc>
          <w:tcPr>
            <w:tcW w:w="160" w:type="dxa"/>
            <w:vAlign w:val="bottom"/>
          </w:tcPr>
          <w:p>
            <w:pPr>
              <w:spacing w:after="0"/>
              <w:rPr>
                <w:sz w:val="11"/>
                <w:szCs w:val="11"/>
                <w:color w:val="auto"/>
              </w:rPr>
            </w:pPr>
          </w:p>
        </w:tc>
      </w:tr>
      <w:tr>
        <w:trPr>
          <w:trHeight w:val="161"/>
        </w:trPr>
        <w:tc>
          <w:tcPr>
            <w:tcW w:w="24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U.S. dollars)</w:t>
            </w:r>
          </w:p>
        </w:tc>
      </w:tr>
      <w:tr>
        <w:trPr>
          <w:trHeight w:val="257"/>
        </w:trPr>
        <w:tc>
          <w:tcPr>
            <w:tcW w:w="7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color w:val="auto"/>
                <w:vertAlign w:val="superscript"/>
              </w:rPr>
              <w:t>(1)</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Borrowings—current portion</w:t>
            </w:r>
          </w:p>
        </w:tc>
        <w:tc>
          <w:tcPr>
            <w:tcW w:w="1280" w:type="dxa"/>
            <w:vAlign w:val="bottom"/>
          </w:tcPr>
          <w:p>
            <w:pPr>
              <w:jc w:val="right"/>
              <w:spacing w:after="0"/>
              <w:rPr>
                <w:sz w:val="20"/>
                <w:szCs w:val="20"/>
                <w:color w:val="auto"/>
              </w:rPr>
            </w:pPr>
            <w:r>
              <w:rPr>
                <w:rFonts w:ascii="Arial" w:cs="Arial" w:eastAsia="Arial" w:hAnsi="Arial"/>
                <w:sz w:val="18"/>
                <w:szCs w:val="18"/>
                <w:color w:val="auto"/>
              </w:rPr>
              <w:t>429,437</w:t>
            </w:r>
          </w:p>
        </w:tc>
        <w:tc>
          <w:tcPr>
            <w:tcW w:w="16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805,560</w:t>
            </w:r>
          </w:p>
        </w:tc>
        <w:tc>
          <w:tcPr>
            <w:tcW w:w="160" w:type="dxa"/>
            <w:vAlign w:val="bottom"/>
            <w:shd w:val="clear" w:color="auto" w:fill="CCEEFF"/>
          </w:tcPr>
          <w:p>
            <w:pPr>
              <w:spacing w:after="0"/>
              <w:rPr>
                <w:sz w:val="18"/>
                <w:szCs w:val="18"/>
                <w:color w:val="auto"/>
              </w:rPr>
            </w:pP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1,234,997</w:t>
            </w:r>
          </w:p>
        </w:tc>
        <w:tc>
          <w:tcPr>
            <w:tcW w:w="160" w:type="dxa"/>
            <w:vAlign w:val="bottom"/>
          </w:tcPr>
          <w:p>
            <w:pPr>
              <w:spacing w:after="0"/>
              <w:rPr>
                <w:sz w:val="18"/>
                <w:szCs w:val="18"/>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Common unitholders: 45,448,993 units issued and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812,863</w:t>
            </w:r>
          </w:p>
        </w:tc>
        <w:tc>
          <w:tcPr>
            <w:tcW w:w="16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927,532 units issued and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60" w:type="dxa"/>
            <w:vAlign w:val="bottom"/>
            <w:shd w:val="clear" w:color="auto" w:fill="CCEEFF"/>
          </w:tcPr>
          <w:p>
            <w:pPr>
              <w:spacing w:after="0"/>
              <w:rPr>
                <w:sz w:val="18"/>
                <w:szCs w:val="18"/>
                <w:color w:val="auto"/>
              </w:rPr>
            </w:pPr>
          </w:p>
        </w:tc>
      </w:tr>
      <w:tr>
        <w:trPr>
          <w:trHeight w:val="208"/>
        </w:trPr>
        <w:tc>
          <w:tcPr>
            <w:tcW w:w="7800" w:type="dxa"/>
            <w:vAlign w:val="bottom"/>
            <w:gridSpan w:val="2"/>
          </w:tcPr>
          <w:p>
            <w:pPr>
              <w:spacing w:after="0"/>
              <w:rPr>
                <w:sz w:val="20"/>
                <w:szCs w:val="20"/>
                <w:color w:val="auto"/>
              </w:rPr>
            </w:pPr>
            <w:r>
              <w:rPr>
                <w:rFonts w:ascii="Arial" w:cs="Arial" w:eastAsia="Arial" w:hAnsi="Arial"/>
                <w:sz w:val="18"/>
                <w:szCs w:val="18"/>
                <w:color w:val="auto"/>
                <w:w w:val="98"/>
              </w:rPr>
              <w:t>Preference unitholders: 5,750,000 Series A, 4,600,000 Series B and 4,000,000 Series C issued and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348,331</w:t>
            </w:r>
          </w:p>
        </w:tc>
        <w:tc>
          <w:tcPr>
            <w:tcW w:w="160" w:type="dxa"/>
            <w:vAlign w:val="bottom"/>
          </w:tcPr>
          <w:p>
            <w:pPr>
              <w:spacing w:after="0"/>
              <w:rPr>
                <w:sz w:val="19"/>
                <w:szCs w:val="19"/>
                <w:color w:val="auto"/>
              </w:rPr>
            </w:pPr>
          </w:p>
        </w:tc>
      </w:tr>
      <w:tr>
        <w:trPr>
          <w:trHeight w:val="218"/>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60" w:type="dxa"/>
            <w:vAlign w:val="bottom"/>
            <w:shd w:val="clear" w:color="auto" w:fill="CCEEFF"/>
          </w:tcPr>
          <w:p>
            <w:pPr>
              <w:spacing w:after="0"/>
              <w:rPr>
                <w:sz w:val="18"/>
                <w:szCs w:val="18"/>
                <w:color w:val="auto"/>
              </w:rPr>
            </w:pPr>
          </w:p>
        </w:tc>
      </w:tr>
      <w:tr>
        <w:trPr>
          <w:trHeight w:val="21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Partners' Equity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1,179,659</w:t>
            </w:r>
          </w:p>
        </w:tc>
        <w:tc>
          <w:tcPr>
            <w:tcW w:w="160" w:type="dxa"/>
            <w:vAlign w:val="bottom"/>
          </w:tcPr>
          <w:p>
            <w:pPr>
              <w:spacing w:after="0"/>
              <w:rPr>
                <w:sz w:val="18"/>
                <w:szCs w:val="18"/>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2,414,656</w:t>
            </w:r>
          </w:p>
        </w:tc>
        <w:tc>
          <w:tcPr>
            <w:tcW w:w="160" w:type="dxa"/>
            <w:vAlign w:val="bottom"/>
            <w:shd w:val="clear" w:color="auto" w:fill="CCEEFF"/>
          </w:tcPr>
          <w:p>
            <w:pPr>
              <w:spacing w:after="0"/>
              <w:rPr>
                <w:sz w:val="18"/>
                <w:szCs w:val="18"/>
                <w:color w:val="auto"/>
              </w:rPr>
            </w:pPr>
          </w:p>
        </w:tc>
      </w:tr>
      <w:tr>
        <w:trPr>
          <w:trHeight w:val="102"/>
        </w:trPr>
        <w:tc>
          <w:tcPr>
            <w:tcW w:w="244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1"/>
          <w:numId w:val="17"/>
        </w:numPr>
        <w:rPr>
          <w:rFonts w:ascii="Arial" w:cs="Arial" w:eastAsia="Arial" w:hAnsi="Arial"/>
          <w:sz w:val="11"/>
          <w:szCs w:val="11"/>
          <w:color w:val="auto"/>
        </w:rPr>
      </w:pPr>
      <w:r>
        <w:rPr>
          <w:rFonts w:ascii="Arial" w:cs="Arial" w:eastAsia="Arial" w:hAnsi="Arial"/>
          <w:sz w:val="13"/>
          <w:szCs w:val="13"/>
          <w:color w:val="auto"/>
        </w:rPr>
        <w:t>All of our bank debt has been incurred by our vessel-owning subsidiaries. See "Item 5. Operating and Financial Review and Prospects—B. Liquidity and Capital Resources—Credit Facilities" for more information about our credit facilities.</w:t>
      </w:r>
    </w:p>
    <w:p>
      <w:pPr>
        <w:spacing w:after="0" w:line="168" w:lineRule="exact"/>
        <w:rPr>
          <w:rFonts w:ascii="Arial" w:cs="Arial" w:eastAsia="Arial" w:hAnsi="Arial"/>
          <w:sz w:val="11"/>
          <w:szCs w:val="11"/>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Our fleet consists of 14 LNG carriers. The charters on two of the Steam vessels expire in 2019, one of which has been rechartered, and five further charters expire in 2020, including four Steam vessels. On redelivery, the vessels may operate in the short-term spot market until we successfully secure new multi-year time charters. Operating vessels in the spot market could have a material adverse effect on our business, results of operations and financial condition and could significantly reduce or eliminate our ability to pay distributions on our common or Preference Units.</w:t>
      </w:r>
    </w:p>
    <w:p>
      <w:pPr>
        <w:spacing w:after="0" w:line="166"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is due to come off charter in October 2019 and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in December 2019, each plus or minus 30 days. A one-year charter has been secured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5"/>
          <w:szCs w:val="15"/>
          <w:i w:val="1"/>
          <w:iCs w:val="1"/>
          <w:color w:val="auto"/>
        </w:rPr>
        <w:t>Methane Jane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Elizabeth </w:t>
      </w:r>
      <w:r>
        <w:rPr>
          <w:rFonts w:ascii="Arial" w:cs="Arial" w:eastAsia="Arial" w:hAnsi="Arial"/>
          <w:sz w:val="15"/>
          <w:szCs w:val="15"/>
          <w:color w:val="auto"/>
        </w:rPr>
        <w:t>or the</w:t>
      </w:r>
      <w:r>
        <w:rPr>
          <w:rFonts w:ascii="Arial" w:cs="Arial" w:eastAsia="Arial" w:hAnsi="Arial"/>
          <w:sz w:val="15"/>
          <w:szCs w:val="15"/>
          <w:i w:val="1"/>
          <w:iCs w:val="1"/>
          <w:color w:val="auto"/>
        </w:rPr>
        <w:t xml:space="preserve"> Methane Alison Victoria</w:t>
      </w:r>
      <w:r>
        <w:rPr>
          <w:rFonts w:ascii="Arial" w:cs="Arial" w:eastAsia="Arial" w:hAnsi="Arial"/>
          <w:sz w:val="15"/>
          <w:szCs w:val="15"/>
          <w:color w:val="auto"/>
        </w:rPr>
        <w:t>. In addition, the</w:t>
      </w:r>
      <w:r>
        <w:rPr>
          <w:rFonts w:ascii="Arial" w:cs="Arial" w:eastAsia="Arial" w:hAnsi="Arial"/>
          <w:sz w:val="15"/>
          <w:szCs w:val="15"/>
          <w:i w:val="1"/>
          <w:iCs w:val="1"/>
          <w:color w:val="auto"/>
        </w:rPr>
        <w:t xml:space="preserve"> Methane Rita Andrea</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Shirley Elisabeth</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Heather Sally</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Sydney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are due to come off charter during 2020. We continue to pursue opportunities for new multi-year charters for these vessels, but we may have difficulty in securing new charters at attractive rates and durations. In the interim, we may have exposure to the volatile spot market which is highly competitive and subject to significant price fluctuations. Moreover, multi-year charters that we secure for on-the-water vessels may not be as long in duration as multi-year charters we have enjoyed in the past. In recent years, as a result of more LNG being traded on a short-term basis and greater liquidity in the LNG shipping market, there has been a decrease in the duration of term charters for on-the-water vessels with such charters now generally being anywhere between one and five years in duration. If we are unable to re-deploy a vessel, we will not receive any revenues from that vessel, and we will be required to pay expenses necessary to maintain the vessel in proper operating condition as well as to service the debt attached to that vessel.</w:t>
      </w:r>
    </w:p>
    <w:p>
      <w:pPr>
        <w:spacing w:after="0" w:line="16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Failure to secure new multi-year charters could adversely affect our future liquidity, results of operations and cash flows, including cash available for distribution to unitholders, as well as our ability to meet certain of our debt covenants. A sustained decline in charter rates could also adversely affect the market value of our vessels, on which certain of the ratios and financial covenants with which we are required to comply are based. Vessel values may fluctuate substantially, which could result in an impairment charge, could impact our compliance with the covenants in our loan agreements and, if the values are lower at a time when we are attempting to dispose of vessels, could cause us to incur a loss.</w:t>
      </w:r>
    </w:p>
    <w:p>
      <w:pPr>
        <w:spacing w:after="0" w:line="16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Our fleet of 14 LNG carriers includes nine TFDE vessels and five Steam vessels. The charters on the five Steam vessels expire during 2019 and 2020. Whilst we will seek to recharter all five Steam vessels on multi-year contracts, advances in LNG carrier technology may negatively impact our ability to recharter these vessels on attractive terms. If we are unable to recharter the Steam vessels on multi-year charters with similar terms, our revenues and cash flows from these vessels will decline following expiration of our current charter arrangements.</w:t>
      </w:r>
    </w:p>
    <w:p>
      <w:pPr>
        <w:spacing w:after="0" w:line="16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Steam vessels are less efficient than larger and more modern LNG carriers and it may be more challenging to find spot and/or term employment for these vessels. However, we will continue to pursue new multi-year charters for these vessels. If we are unable to secure new multi-year charters, the Steam vessels may operate in the short-term spot market and the revenues and cash flows from these vessels are likely to decline following expiration of our current charter arrangements. Failure to secure new multi-year charters could adversely affect our future liquidity, results of operations and cash flows, including cash available for distribution to unitholders, as well as our ability to meet certain of our debt covenants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charter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4"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Most shipping requirements for new LNG projects continue to be secured on a multi-year basis, though the level of spot voyages and short-term time charters of less than 12 months in duration has grown in the past few years. If the number of vessels available in the short-term or spot charter market continues to expand and results in reduced opportunities to secure multi-year charters for our vessels, we may only be able to enter into short-term time charters upon expiration or early termination of our current charters.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distribution to unitholders, if we enter into charters during periods when the market price for shipping LNG is depressed.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An oversupply of LNG carriers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two to three years, the supply of LNG carriers has been increasing as a result of the delivery and ordering of new ships. The development of liquefaction projects in the United States and the anticipation of exports beginning in early 2016 drove significant ordering activity. Whilst we saw a decline in ordering of newbuilds during 2016 and 2017, ordering of newbuilds increased in 2018, driven by strengthening charter rates and increasing expectations for long-term LNG supply and demand. According to Poten, as of February 11, 2019, the global fleet of LNG carriers (&gt;65,000 cbm) consisted of 493 vessels, with 105 LNG carriers on order, of which 66 have long term charters. This increase in ship orders, the large number of ordered newbuilds that are uncommitted and any future expansion of the global LNG carrier fleet in excess of the demand for LNG shipping may have a negative impact on charter hire rates, ship utilization and ship values.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If charter hire rates are lower when we are seeking new time charters, our revenues and cash flows, including cash available for distribution to unitholders, may decline.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12 months. However, we may need to raise additional capital to maintain, replace and expand the operating capacity of our fleet, fund our operations and meet our debt service obligations. Our future funding requirements will depend on many factors, including the cost and timing of vessel acquisitions, the cost of retrofitting or modifying existing ships as a result of technological advances, changes in applicable environmental or other regulations or standards, customer requirements or otherwise. Our ability to obtain bank financing or to access the capital markets for future offerings may be limited by our financial condition at the time of any such financing or offering, as well as by adverse market conditions that are beyond our control. If we raise additional funds by issuing equity or equity-linked securities, our unitholders may experience dilution or reduced distributions per unit. Inability to secure bank financing or access the capital markets could have a material adverse effect on our business, or financial condition, results of operations and cash flows, including cash available for distributions to our unitholders.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Four of our credit facilities, including our intercompany credit facility, are due to mature between 2019 and 2022. We cannot guarantee that renewal or replacement of these lines of credit will occur on similar or more favourable terms.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Securing access to replacement funds in advance of the maturity of our current debt facilities cannot be assured on the same or similar terms. Debt financing, if available, may involve covenants restricting our operations or our ability to incur additional debt or to pay distributions to unitholders. Any future debt or equity financing raised may contain unfavorable terms to us or our unitholders. If we are unable to raise adequate funds, we may have to liquidate some or all of our assets, or delay, reduce the scope of, or eliminate some or all of our fleet expansion plans. Any of these factors could have a material adverse effect on our business, financial condition, results of operations and cash flows, including cash available for distributions to our unitholders.</w:t>
      </w:r>
    </w:p>
    <w:p>
      <w:pPr>
        <w:spacing w:after="0" w:line="16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b w:val="1"/>
          <w:bCs w:val="1"/>
          <w:i w:val="1"/>
          <w:iCs w:val="1"/>
          <w:color w:val="auto"/>
        </w:rPr>
        <w:t>Our relationship with GasLog is key to our operations and to our future growth. If GasLog fails to maintain a drop-down pipeline of vessels with multi-year charters and to support our operations and commercial endeavours, this would have a material adverse effect on our business, results of operations and financial condition and could significantly reduce or eliminate our ability to pay distributions on our common or Preference Units.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current drop-down pipeline is composed solely of GasLog vessels. Our future growth, at this time, is largely dependent on a continuing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GasLog and other factors related to that relationship, some of which are beyond our control including our ability to:</w:t>
      </w:r>
    </w:p>
    <w:p>
      <w:pPr>
        <w:spacing w:after="0" w:line="232" w:lineRule="exact"/>
        <w:rPr>
          <w:sz w:val="20"/>
          <w:szCs w:val="20"/>
          <w:color w:val="auto"/>
        </w:rPr>
      </w:pPr>
    </w:p>
    <w:p>
      <w:pPr>
        <w:ind w:left="1080" w:right="2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 drop-down pipeline of existing or newbuild vessels with multi-year charters from GasLog. GasLog's increased exposure to the spot market and potential lack of success in winning new charters for existing or newbuild vessels may limit the availability of vessels with multi-year charters that we are able to acquire;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the financing required to fund the acquisition of vessels from GasLog;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required consents from lenders and charterers for the acquisition of vessels from GasLog.</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and our operating subsidiaries have entered into various service agreements with GasLog and its subsidiaries, including GasLog LNG Services. Under such agreements, GasLog and its subsidiaries provide certain administrative, financial and other services, and provide substantially all of our crew, technical management services (including vessel maintenance, periodic dry-docking, cleaning and painting, performing work required by regulations and human resources and financial services) and other advisory and commercial management services, including the sourcing of new contracts and renewals of existing contracts. Our operational success and ability to execute our growth strategy depend significantly upon the satisfactory performance of these services by GasLog and its subsidiaries. Our business will be harmed if such subsidiaries fail to perform these services satisfactorily or if they stop providing these services to us or our operating subsidiaries.</w:t>
      </w:r>
    </w:p>
    <w:p>
      <w:pPr>
        <w:spacing w:after="0" w:line="201"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Our ability to compete for new charters and expand our customer relationships depends largely on our ability to leverage our relationship with GasLog and its reputation and relationships in the shipping industry. If GasLog suffers material damage to its reputation or relationships, it may harm our ability to:</w:t>
      </w:r>
    </w:p>
    <w:p>
      <w:pPr>
        <w:spacing w:after="0" w:line="15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interact with shipyards;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financing on commercially acceptable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access to capital under the revolving credit facility with GasLog entered into in April 2017, the "New Sponsor Credit Facility";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 and retain suitably qualified and experienced seafarers and shore-based employees through GasLog pursuant to the services agreements we have entered into with GasLog. We currently rely on GasLog's ability to attract, hire, train and retain highly skilled and qualified personnel on our behalf in a highly competitive market;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If our ability to do any of the things described above is impaired, it would have a material adverse effect on our business, financial condition, results of operations and ability to make cash distributions to our unitholders.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future growth depends on our ability to maintain our relationship with our existing customers, establish new customer relationships and obtain new time charter contracts, for which we face considerable competition from other established companies with significant resources, as well as recent and potential future new entrants.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One of our principal objectives is to enter into additional multi-year, fixed-rate charters. The process of obtaining multi-year, fixed rate charters for LNG carriers is highly competitive and generally involves an intensive screening process by potential customers and the submission of competitive bids, all of which can often extend for several months. We believe LNG carrier time charters are awarded based upon a variety of factors relating to the ship and the ship operator, including:</w:t>
      </w:r>
    </w:p>
    <w:p>
      <w:pPr>
        <w:spacing w:after="0" w:line="22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efficiency of ship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LNG shipping experience and quality of ship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or GasLog have, and some have particular relationships that may provide them with competitive advantages. During 2017 and 2018, a number of marine transportation companies, including companies with strong reputations and extensive resources and experience, have either entered or significantly increased their presence in the LNG transportation market. There are other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ship owners and managers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unitholders.</w:t>
      </w:r>
    </w:p>
    <w:p>
      <w:pPr>
        <w:spacing w:after="0" w:line="19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fleet consists of 14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 attacks or other failures of operational and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business interruptions caused by mechanical failure, human error, war, terrorism, disease and quarantine, or political action in various countries;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as a substantial portion of our cash flows and income is dependent on the revenues earned by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chartering of our 14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ability to make cash distributions to our unitholders.</w:t>
      </w:r>
    </w:p>
    <w:p>
      <w:pPr>
        <w:spacing w:after="0" w:line="16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We currently derive the majority of our revenues from a single customer and in the immediate future we will continue to depend on one customer for nearly all of our revenues after our expected acquisition of additional vessels from GasLog. The loss of this customer would result in a significant loss of revenues and could have a material adverse effect on our business, financial condition, results of operations and cash flows.</w:t>
      </w:r>
    </w:p>
    <w:p>
      <w:pPr>
        <w:spacing w:after="0" w:line="160"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We currently derive the majority of our revenues from wholly-owned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 term force majeure events or otherwise. If a customer terminates its charters, chooses not to re-charter our ships or is unable to perform under its charters and we are not able to find replacement charters on similar terms, we will suffer a loss of revenues. Such a loss could have a material adverse effect on our business, financial condition, results of operations and cash flows, including cash available for distribution to unitholders.</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we may not be able to operate our vessels profitably which could have an adverse effect on our future performance, results of operations, cash flows and financial position.</w:t>
      </w:r>
    </w:p>
    <w:p>
      <w:pPr>
        <w:spacing w:after="0" w:line="186"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Customers, and in particular those in the LNG industry, have a high and increasing focus on quality and compliance standards with their suppliers across the entire value chain, including the shipping and transportation segment. Our continuous compliance with these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We are largely dependent on GasLog for our compliance with the standards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and financial position.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charter termination could have a material adverse effect on our business, financial condition,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termination right under one ship's time charter would not automatically give the charterer the right to terminate its other charter contracts with us. However, a charter termination could materially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affect our relationship with the customer and our reputation in the LNG shipping industry, and in some circumstances the event giving rise to the termination right could potentially impact multiple charters. Accordingly, the existence of any right of termination could have a material adverse effect on our business, financial condition, results of operations and cash flows, including cash available for distribution to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performance and ability to secure future time charters depends on continued growth in LNG production and demand for LNG and LNG shipping.</w:t>
      </w:r>
    </w:p>
    <w:p>
      <w:pPr>
        <w:spacing w:after="0" w:line="2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future performance, including our ability to profitably expand our fleet, will depend on continued growth in LNG production and the demand for LNG and LNG shipping. A complete LNG project includes natural gas production, liquefaction, storage, regasification and distribution facilities, in addition to the marine transportation of LNG.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5"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prices for crude oil, petroleum products and natural gas;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07"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allocation of capital by developers to new LNG projects, especially the major oil and gas companies and other leading participants in the LNG industry;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increases in interest rates or other events that may affect the availability of sufficient financing for LNG projects on commercially reasonable terms;</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or regasification;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recent years, global crude oil prices were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volatility in natural gas and oil prices may adversely affect our growth prospects and results of operations.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Natural gas prices are volatile and are affected by numerous factors beyond our control, including but not limited to the following:</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availability of crude oil and petroleum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worldwide and regional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expectations regarding future energy prices for both natural gas and other sources of energy, including renewable energy 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Given the significant global natural gas and crude oil price volatility referenced above, and with six vessels currently scheduled to come off charter during 2019 and 2020, a continuation of volatility in natural gas or oil prices may adversely affect our future business, results of operations and financial condition and our ability to make cash distributions, as a result of, among other things:</w:t>
      </w:r>
    </w:p>
    <w:p>
      <w:pPr>
        <w:spacing w:after="0" w:line="207" w:lineRule="exact"/>
        <w:rPr>
          <w:sz w:val="20"/>
          <w:szCs w:val="20"/>
          <w:color w:val="auto"/>
        </w:rPr>
      </w:pPr>
    </w:p>
    <w:p>
      <w:pPr>
        <w:ind w:left="1080" w:right="4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12"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high oil prices negatively affecting the competitiveness of natural gas to the extent that natural gas prices are benchmarked to the price of crude oil;</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Ship values may fluctuate substantially, which could result in an impairment charge, impact our compliance with the covenants in our loan agreements and, if the values are lower at a time when we are attempting to dispose of ships, cause us to incur a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5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the supply-demand balance of the global LNG carrier fleet and the size and contract profile of the LNG carrier orderbook;</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the market value of our ships declines, we may be required to record an impairment charge in our financial statements, which could adversely affect our results of operations. See "Item 5. Operating and Financial Review and Prospects—B. Liquidity and Capital Recourses—Critical Accounting Policies—Impairment of Vessels". Deterioration in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prices have fallen, could result in a loss and could materially and adversely affect our business, financial condition, results of operations and cash flows, including cash available for distribution to unitholders.</w:t>
      </w:r>
    </w:p>
    <w:p>
      <w:pPr>
        <w:spacing w:after="0" w:line="17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a new charter.</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rely exclusively on the cash flow generated from charters for our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global and regional economic conditions could adversely impact our business, financial condition, results of operations and cash flows.</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17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 to 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69"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GasLog has an office in England and our vessels may visit ports within the United Kingdom. The United Kingdom is due to exit the European Union on March 29, 2019 and will then enter a transition period from March 30, 2019 to December 31, 2020 during which it will seek to complete its separation from the European Union. Uncertainty regarding the process the United Kingdom will follow to withdraw from the European Union, the transition period and the relationship between the United Kingdom and the European Union post 2020 may create economic instability in the United Kingdom which could disrupt our operations and have an adverse effect on our business. Whilst we will seek to minimize any potential risk by putting appropriate mitigation plans in place, we cannot assure you that these plans will be effective in all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the Partnership's business.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cyber-related event, there can be no assurance that any specific event would be covered by these policies or that the losses would be covered in full.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31" w:lineRule="auto"/>
        <w:rPr>
          <w:sz w:val="20"/>
          <w:szCs w:val="20"/>
          <w:color w:val="auto"/>
        </w:rPr>
      </w:pPr>
      <w:r>
        <w:rPr>
          <w:rFonts w:ascii="Arial" w:cs="Arial" w:eastAsia="Arial" w:hAnsi="Arial"/>
          <w:sz w:val="16"/>
          <w:szCs w:val="16"/>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board of directors makes determinations regarding the payment of distributions in its sole discretion and in accordance with our partnership agreement and applicable law. There is no guarantee that we will continue to make distributions to our unitholders in the future (including cumulative distributions payable with respect to our Preference Units). The markets in which we operate our vessels are volatile and we cannot predict with certainty the amount of cash, if any, that will be available for distribution in any period. We may not have sufficient cash from operations to pay the minimum quarterly distribution of $0.375 per unit on our common units and general partner units or to pay the quarterly preference distributions on our Preference Units. The amount of cash we can distribute on our units depends upon the amount of cash we generate from our operations, which may fluctuate from quarter to quarter based on the risks described in this section, including, among other things:</w:t>
      </w:r>
    </w:p>
    <w:p>
      <w:pPr>
        <w:spacing w:after="0" w:line="185"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rates we obtain from our charters and the performance by our charterers of their obligations under the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360" w:right="1880" w:firstLine="188"/>
        <w:spacing w:after="0" w:line="563" w:lineRule="auto"/>
        <w:tabs>
          <w:tab w:leader="none" w:pos="108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covenants, especially as concerns the minimum liquidity that we are required to maintain at all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38"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4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factors mentioned above, we may make cash distributions during periods in which we record losses and may not make cash distributions during periods when we record a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and to meet our financial needs may be adversely affected by our cash distribution policy.</w:t>
      </w:r>
    </w:p>
    <w:p>
      <w:pPr>
        <w:spacing w:after="0" w:line="225"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Our cash distribution policy, which is consistent with our partnership agreement, requires us to distribute all of our available cash (as defined in our partnership agreement) each quarter. Accordingly, our growth may not be as fast as that of businesses that reinvest their available cash to expand ongoing operations.</w:t>
      </w:r>
    </w:p>
    <w:p>
      <w:pPr>
        <w:spacing w:after="0" w:line="118"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In determining the amount of cash available for distribution, our board of directors approves the amount of cash reserves to set aside, including reserves for future maintenance and replacement capital expenditures, working capital and other matters. We also rely upon external financing sources, including commercial borrowings, to fund our capital expenditures. To the extent we do not have sufficient cash reserves or are unable to obtain financing, our cash distribution policy may significantly impair our ability to meet our financial needs or to grow.</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must make substantial capital expenditures to maintain and expand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9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must make substantial capital expenditures to maintain and replace, over the long-term, the operating capacity of our fleet. Maintenance and replacement capital expenditures from operating surplus totaled $49.3 million for the year ended December 31, 2018. We estimate that future maintenance and replacement capital expenditures will average approximately $54.8 million per full year, including potential costs related to replacing current vessels at the end of their useful lives.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185"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labor and materials;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required to carry out any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our fleet;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replacement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length and terms of our charters;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regulations and maritime self-regulatory organization standards relating to safety, security or the environment;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standards;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age of our ships.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 than actual, maintenance and replacement capital expenditures from operating surplus each quarter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ability to obtain additional debt financing for future acquisitions of ships or to refinance our existing debt may depend on the creditworthiness of our charterers and the terms of our future charters.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distributions to our unitholders.</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and foreign exchange rates could result in reductions in our partners' equity as well as charges against our profit.</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enter into derivative contracts from time to time for purposes of managing our exposure to fluctuations in interest rates applicable to floating rate indebtedness and in foreign exchange rates relating to our operating expenditures that are denominated in currencies other than the U.S. dollar. As of December 31, 2018, we had six interest rate swaps in place with a notional amount of $625.0 million (of which $75.0 million had an effective date of January 2019) and nine foreign exchange forward contracts to purchase a total notional amount of €18.0 million.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 and would affect compliance with the market value adjusted net worth covenants in our credit facilities. For future interest rate swaps and foreign exchange forwards that may be designated as cash flow hedging instruments, the changes in the fair value of the contracts will be recognized in our statement of other comprehensive income as cash flow hedge gains or losses for the period, and could affect compliance with the market value adjusted net worth covenants in our credit facilities.</w:t>
      </w:r>
    </w:p>
    <w:p>
      <w:pPr>
        <w:spacing w:after="0" w:line="173"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There is no assurance that our derivative contracts will provide adequate protection against adverse changes in interest rates or foreign exchange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will enter into, among other things, time charters and other contracts with our customers, credit facilities and commitment letters with banks, insurance contracts and interest rate swaps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foreign exchange forward contracts. Such agreements subject us to counterparty credit risk. For example, the majority of our vessels are chartered to, and we received the majority of our total revenues for the year ended December 31, 2018 from, subsidiaries of Shell. During 2019, two of our vessels will be on charter to Trafigura and one will be on charter to Cheniere. While we believe both of these companies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20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debt levels may limit our flexibility in obtaining additional financing, pursuing other business opportunities and paying distributions to unitholders.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debt could have important consequences to us, including the following:</w:t>
      </w:r>
    </w:p>
    <w:p>
      <w:pPr>
        <w:spacing w:after="0" w:line="239" w:lineRule="exact"/>
        <w:rPr>
          <w:sz w:val="20"/>
          <w:szCs w:val="20"/>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changes in financial market conditions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14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As of December 31, 2018, we had an aggregate of $1,235.0 million of indebtedness outstanding under our credit facilities, of which $429.4 million is repayable within one year. See "Item 5. Operating and Financial Review and Prospects—B. Liquidity and Capital Resources".</w:t>
      </w:r>
    </w:p>
    <w:p>
      <w:pPr>
        <w:spacing w:after="0" w:line="197"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seeking additional equity capital or bankruptcy protection. We may not be able to effect any of these remedies on satisfactory terms, or at all.</w:t>
      </w:r>
    </w:p>
    <w:p>
      <w:pPr>
        <w:spacing w:after="0" w:line="225" w:lineRule="exact"/>
        <w:rPr>
          <w:sz w:val="20"/>
          <w:szCs w:val="20"/>
          <w:color w:val="auto"/>
        </w:rPr>
      </w:pPr>
    </w:p>
    <w:p>
      <w:pPr>
        <w:ind w:right="40"/>
        <w:spacing w:after="0" w:line="369" w:lineRule="auto"/>
        <w:rPr>
          <w:sz w:val="20"/>
          <w:szCs w:val="20"/>
          <w:color w:val="auto"/>
        </w:rPr>
      </w:pPr>
      <w:r>
        <w:rPr>
          <w:rFonts w:ascii="Arial" w:cs="Arial" w:eastAsia="Arial" w:hAnsi="Arial"/>
          <w:sz w:val="15"/>
          <w:szCs w:val="15"/>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1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operating and financial restrictions and covenants in our credit facilities and any future financing agreements could adversely affect our ability to finance future operations or capital needs or to engage, expand or pursue our business activities. For example, the financing agreements may restrict the ability of us and our subsidiaries to:</w:t>
      </w:r>
    </w:p>
    <w:p>
      <w:pPr>
        <w:spacing w:after="0" w:line="207"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ownership or structure, including mergers, consolidations, liquidations and dissolutions;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certain negative pledges and grant certain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transfer, assign or convey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such financing agreements may require us to comply with certain financial ratios and tests, including, among others, maintaining a minimum liquidity, maintaining positive working capital, ensuring that EBITDA exceeds debt service obligations (any amounts payable for interest and debt installments calculated on a trailing four-quarter rolling average basis), maintaining a minimum collateral value, and maintaining a minimum book equity ratio.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98"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cause a decline in the market price of our common units and Preference Units. See "Item 5. Operating and Financial Review and Prospects—B. Liquidity and Capital Resources—Credit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or our subsidiaries from paying distributions.</w:t>
      </w:r>
    </w:p>
    <w:p>
      <w:pPr>
        <w:spacing w:after="0" w:line="225" w:lineRule="exact"/>
        <w:rPr>
          <w:sz w:val="20"/>
          <w:szCs w:val="20"/>
          <w:color w:val="auto"/>
        </w:rPr>
      </w:pPr>
    </w:p>
    <w:p>
      <w:pPr>
        <w:ind w:right="320" w:firstLine="348"/>
        <w:spacing w:after="0" w:line="331" w:lineRule="auto"/>
        <w:rPr>
          <w:sz w:val="20"/>
          <w:szCs w:val="20"/>
          <w:color w:val="auto"/>
        </w:rPr>
      </w:pPr>
      <w:r>
        <w:rPr>
          <w:rFonts w:ascii="Arial" w:cs="Arial" w:eastAsia="Arial" w:hAnsi="Arial"/>
          <w:sz w:val="16"/>
          <w:szCs w:val="16"/>
          <w:color w:val="auto"/>
        </w:rPr>
        <w:t>The payment of principal and interest on our debt reduces cash available for distribution to us and on our units. In addition, our credit facilities prohibit the payment of distributions to our common unitholders or our preference unitholders upon the occurrence of the following events, among others:</w:t>
      </w:r>
    </w:p>
    <w:p>
      <w:pPr>
        <w:spacing w:after="0" w:line="168" w:lineRule="exact"/>
        <w:rPr>
          <w:sz w:val="20"/>
          <w:szCs w:val="20"/>
          <w:color w:val="auto"/>
        </w:rPr>
      </w:pPr>
    </w:p>
    <w:p>
      <w:pPr>
        <w:ind w:left="5700" w:right="4880" w:hanging="5152"/>
        <w:spacing w:after="0" w:line="613" w:lineRule="auto"/>
        <w:tabs>
          <w:tab w:leader="none" w:pos="10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pay any principal, interest, fees, expenses or other amounts when due;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34187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breach or lapse of any insurance with respect to vessels securing the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breach of certain financial covenants;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observe any other agreement, security instrument, obligation or covenant beyond specified cure periods in certain cases;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under other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bankruptcy or insolvency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any representation or warranty to be correct;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of ownership of the borrowers or GasLog Partners Holdings;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adverse effect.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86"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 xml:space="preserve">Acquisitions that expand our fleet are an important component of our strategy. Under the omnibus agreement, we currently have the option to purchase from GasLog: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within 36 months after GasLog notifies our board of directors of her acceptance by her charterer, and (ii)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within 30 days following receipt of notice from GasLog that the vessel has commenced its multi-year charter (being at least five years in length). In each case, our option to purchase is at fair market value as determined pursuant to the omnibus agreement. In addition, according to the terms of the omnibus agreement, GasLog will be required to offer us the opportunity to purchase each of Hull Nos. 2131, 2213, 2262, 2300, 2301, 2311 and 2312 within 30 days of the commencement of their respective charters.</w:t>
      </w:r>
    </w:p>
    <w:p>
      <w:pPr>
        <w:spacing w:after="0" w:line="198"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will not be obligated to purchase any of these vessels and, accordingly, we may not complete the purchase of any of such vessels. Furthermore, if we are able to agree on a price with GasLog, there are no assurances that we will be able to obtain adequate financing on terms that are acceptable to us. In light of recent master limited partnership ("MLP") market volatility, it may be more difficult for us to complete an accretive acquisition.</w:t>
      </w:r>
    </w:p>
    <w:p>
      <w:pPr>
        <w:spacing w:after="0" w:line="16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believe that other acquisition opportunities may arise from time to time, and any such acquisition could be significant. Any acquisition of a vessel or other asset or business may not be profitable at or after the time of acquisition and may not generate cash flow sufficient to justify the investment. In addition, our acquisition growth strategy exposes us to risks that may harm our business, financial condition, results of operations and ability to make cash distributions to our unitholders, including risks that we may:</w:t>
      </w:r>
    </w:p>
    <w:p>
      <w:pPr>
        <w:spacing w:after="0" w:line="210"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unable to attract, hire, train or retain qualified shore and seafaring personnel to manage and operate our growing business and fleet;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available cash or borrowing capacity to finance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vessels acquired;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other significant charges, such as impairment of goodwill or other intangible assets, asset devaluation or restructuring charges.</w:t>
      </w:r>
    </w:p>
    <w:p>
      <w:pPr>
        <w:spacing w:after="0" w:line="248"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 failing to integrate successfully and timely the operations or management of any acquired 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 2019, two of our vessels are scheduled to be dry-docked and in 2020, four of our vessels are scheduled to be dry-docked.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9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2019 (2 vessels), 2020 (4 vessels), 2021 (4 vessels) and 2023 (4 vessels).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deliveries of GasLog's newbuilding vessels could adversely affect our business.</w:t>
      </w:r>
    </w:p>
    <w:p>
      <w:pPr>
        <w:spacing w:after="0" w:line="225"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We may expand our fleet by acquiring newly built vessels from GasLog pursuant to the omnibus agreement. The delivery of any newbuildings could be delayed, which would adversely affect our future growth, which is expected to be primarily based on the acquisition of vessels from GasLog.</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could be delayed because of:</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limit or prevent us from acquiring future vessels from GasLog, which could have a material adverse effect on our business, financial condition, results of operations and cash flows.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Certain of GasLog's existing debt instruments impose operating and financial restrictions on GasLog, including financial maintenance covenants. GasLog's ability to meet certain operating and financial restrictions in its existing debt instruments is dependent in part on the charter rates which it obtains for its vessels. GasLog is active in the LNG shipping spot market through its participation in The Cool Pool Limited with Golar LNG Ltd. The charter rates available for spot/short-term charters of LNG carriers have been at historically low levels for the last several years and although recent months have seen significantly higher rates, this has been accompanied by market volatility and we cannot be certain that the late 2018 peak will be sustained. GasLog continuously monitors and manages its covenant compliance. Under GasLog's credit facilities, as is typical with secured credit facilities generally, a default by the borrower permits the lenders to exercise remedies as secured creditors which, if such a default was to occur, could include foreclosing on GasLog vessels. Our future growth, which is expected to be based on the acquisition of vessels from GasLog, would also be adversely affected by such a default event if it was to occur. We are also dependent on GasLog for the provision of administrative, commercial and ship management services.</w:t>
      </w:r>
    </w:p>
    <w:p>
      <w:pPr>
        <w:spacing w:after="0" w:line="173"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 xml:space="preserve">Additionally, any default by GasLog under its corporate guarantees could result in a default under the loan facilities related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the</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Greece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obtaining consents that are necessary to acquire vessels with an existing charter or a financing agreement.</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Under the omnibus agreement entered into with GasLog in connection with the IPO, we have certain options and other rights to acquire vessels with existing charters from GasLog. The omnibus agreement provides that our ability to consummate the acquisition of any such vessels from GasLog will be subject to obtaining all relevant consents including governmental authorities and other non-affiliated third parties to those agreements. In particular, with respect to GasLog's existing vessels, we would need the consent of the existing charterers and lenders. While GasLog will be obligated to use reasonable efforts to obtain any such consents, we cannot assure you that in any particular case the necessary consent will be obtained from the required parties including the governmental authorities and charterer, lender or other entity.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9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significantly limit our operations or increase our expenses.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third-party claims as a result of violations of, or liabilities under, such laws and regulations.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1" w:lineRule="exact"/>
        <w:rPr>
          <w:sz w:val="20"/>
          <w:szCs w:val="20"/>
          <w:color w:val="auto"/>
        </w:rPr>
      </w:pPr>
    </w:p>
    <w:p>
      <w:pPr>
        <w:ind w:right="520" w:firstLine="341"/>
        <w:spacing w:after="0" w:line="259" w:lineRule="auto"/>
        <w:rPr>
          <w:sz w:val="20"/>
          <w:szCs w:val="20"/>
          <w:color w:val="auto"/>
        </w:rPr>
      </w:pPr>
      <w:r>
        <w:rPr>
          <w:rFonts w:ascii="Arial" w:cs="Arial" w:eastAsia="Arial" w:hAnsi="Arial"/>
          <w:sz w:val="18"/>
          <w:szCs w:val="18"/>
          <w:color w:val="auto"/>
        </w:rPr>
        <w:t>Additional laws and regulations may be adopted that could limit our ability to do business or increase our operating costs, which could materially and adversely affect our business. For example, new or amended legislation relating to ship recycling, sewage systems, emission control (including emissions of greenhouse gases and other pollutants) as well as ballast water treatment and ballast water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handling may be adopted. For example, the United States has enacted legislation, and more recently a convention adopted by the IMO has become effective, governing ballast water management systems on ocean-going ships. The IMO has also established progressive standards limiting the sulfur content of fuel, which are being phased in between 2012 and 2020. These and other laws or regulations may require additional capital expenditures or operating expenses (such as increased costs for low-sulfur fuel or pollution controls) in order for us to maintain our ships' compliance with international and/or national regulations. We also may become subject to additional laws and regulations if we enter new markets or trades.</w:t>
      </w:r>
    </w:p>
    <w:p>
      <w:pPr>
        <w:spacing w:after="0" w:line="16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International Maritime Organization, or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our unitholders.</w:t>
      </w:r>
    </w:p>
    <w:p>
      <w:pPr>
        <w:spacing w:after="0" w:line="17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Malacca. Economic, political and governmental conditions in these and other regions have from time to time resulted in military conflicts, terrorism, attacks on ships, mining of waterways, piracy and other efforts to disrupt shipping. Future hostilities or other political instability in the geographic regions where we operate or may operate could have a material adverse effect on our business, financial condition, results of operations and cash flows, including cash available for distribution to unitholders. General trade tensions between the U.S. and China escalated in 2018, with three rounds of U.S. tariffs on Chinese goods taking effect in July, August and September 2018, each followed by a round of retaliatory Chinese tariffs on U.S. goods. Our business could be harmed by these tariffs, as well as any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8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and labor strikes. In addition, there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unitholders.</w:t>
      </w:r>
    </w:p>
    <w:p>
      <w:pPr>
        <w:spacing w:after="0" w:line="172" w:lineRule="exact"/>
        <w:rPr>
          <w:sz w:val="20"/>
          <w:szCs w:val="20"/>
          <w:color w:val="auto"/>
        </w:rPr>
      </w:pPr>
    </w:p>
    <w:p>
      <w:pPr>
        <w:ind w:right="240" w:firstLine="351"/>
        <w:spacing w:after="0" w:line="331"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4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distribution to unitholders.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negatively materially affect our business, financial condition, results of operations and cash flows and could directly impact our ships or our customers.</w:t>
      </w:r>
    </w:p>
    <w:p>
      <w:pPr>
        <w:spacing w:after="0" w:line="197"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41" w:lineRule="exact"/>
        <w:rPr>
          <w:sz w:val="20"/>
          <w:szCs w:val="20"/>
          <w:color w:val="auto"/>
        </w:rPr>
      </w:pPr>
    </w:p>
    <w:p>
      <w:pPr>
        <w:jc w:val="both"/>
        <w:ind w:right="28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280" w:firstLine="351"/>
        <w:spacing w:after="0" w:line="254"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20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In the future, the ships we own could be required to call on ports located in countries that are subject to restrictions imposed by the United States and other governments.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6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including the European Union General Data Protection Regulation ("GDPR"),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GDPR broadens the scope of personal privacy laws to protect the rights of European Union citizens and requires organizations to report on data breaches within 72 hours and be bound by more stringent rules for obtaining the consent of individuals on how their data can be used. GDPR came into force on May 25, 2018 and non-compliance may expose entities to significant fines or other regulatory claims which could have an adverse effect on our business, financial conditions, results of operations, cash flows and ability to pay distributions.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 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 Currently, there is uncertainty surrounding the final form of the ESA and the relevant regulations as the Bermuda government, along with the respective governments of the other jurisdictions referenced above, remain in discussions with the European Union Code of Conduct Group.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369" w:lineRule="auto"/>
        <w:rPr>
          <w:sz w:val="20"/>
          <w:szCs w:val="20"/>
          <w:color w:val="auto"/>
        </w:rPr>
      </w:pPr>
      <w:r>
        <w:rPr>
          <w:rFonts w:ascii="Arial" w:cs="Arial" w:eastAsia="Arial" w:hAnsi="Arial"/>
          <w:sz w:val="15"/>
          <w:szCs w:val="15"/>
          <w:color w:val="auto"/>
        </w:rPr>
        <w:t>At present, the impact of these new economic substance requirements is unclear, and it is not possible to accurately predict the effect of these requirements on GasLog and its business. The requirements may increase the complexity and costs of carrying on GasLog's business and could also affect GasLog's operations.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impact our ability to manage our exposure to fluctuations in interest rates.</w:t>
      </w:r>
    </w:p>
    <w:p>
      <w:pPr>
        <w:spacing w:after="0" w:line="186"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 July 27, 2017, the United Kingdom Financial Conduct Authority ("FCA"), which regulates LIBOR, announced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or result in the phasing out of LIBOR as a reference rate for securities. The changes may adversely affect the trading market for LIBOR based agreements, including our credit facilities, interest rate swaps and Preference Units.</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distribution payments during the floating rate period for our LIBOR based agreements would be affected and could affect our profit or the market value of our Preference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9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and its affiliates may compete with us.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 voting or profit participation interest in any company, business or pool of assets; acquiring, owning, operating or chartering a Five-Year Vessel that GasLog would otherwise be restricted from owning if we are not willing or able to acquire such vessel 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17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Unlike the holders of common stock in a corporation, holders of common units have only limited voting rights on matters affecting our business. We will hold a meeting of the limited partners every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72"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 to elect our</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general partner, and our general partner may not be removed except by a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common units, including any units owned by our general partner and its affiliates, voting together as a single class.</w:t>
      </w:r>
    </w:p>
    <w:p>
      <w:pPr>
        <w:spacing w:after="0" w:line="21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6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6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GasLog currently owns limited partnership units representing a 25.5% partnership interest and a 2.0% general partner interest in us, and owns and controls our general partner.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191" w:lineRule="exact"/>
        <w:rPr>
          <w:sz w:val="20"/>
          <w:szCs w:val="20"/>
          <w:color w:val="auto"/>
        </w:rPr>
      </w:pPr>
    </w:p>
    <w:p>
      <w:pPr>
        <w:ind w:left="1080" w:right="1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GasLog's officers and directors have a fiduciary duty to make decisions in the best interests of the shareholders of GasLog, which may be contrary to our interests;</w:t>
      </w:r>
    </w:p>
    <w:p>
      <w:pPr>
        <w:spacing w:after="0" w:line="199" w:lineRule="exact"/>
        <w:rPr>
          <w:sz w:val="20"/>
          <w:szCs w:val="20"/>
          <w:color w:val="auto"/>
        </w:rPr>
      </w:pPr>
    </w:p>
    <w:p>
      <w:pPr>
        <w:ind w:left="1080" w:right="80" w:hanging="532"/>
        <w:spacing w:after="0" w:line="29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200"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our common units if it and its affiliates own more than 80% of our common units; and</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is not obligated to obtain a fairness opinion regarding the value of the common units to be repurchased by it upon the exercise of its limited call right.</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officers face conflicts in the allocation of their time to our business.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officers are all employed by GasLog or its applicable affiliate and are performing executive officer functions for us pursuant to the administrative services agreement. Our officers, with the exception of our Chief Executive Officer ("CEO"), Andrew J. Orekar,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86"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agreement also contains provisions that reduce the standards to which our general partner and directors would otherwise be held by Marshall Islands law. For example, our partnership agreement:</w:t>
      </w:r>
    </w:p>
    <w:p>
      <w:pPr>
        <w:spacing w:after="0" w:line="199" w:lineRule="exact"/>
        <w:rPr>
          <w:sz w:val="20"/>
          <w:szCs w:val="20"/>
          <w:color w:val="auto"/>
        </w:rPr>
      </w:pPr>
    </w:p>
    <w:p>
      <w:pPr>
        <w:ind w:left="1080" w:right="60" w:hanging="532"/>
        <w:spacing w:after="0" w:line="28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99"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9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14"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6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Fees and cost reimbursements, which GasLog or its applicable affiliate will determine for services provided to us and our subsidiaries, will be substantial, will likely be higher for future periods than reflected in our results of operations for the year ended December 31, 2018, will be payable regardless of our profitability and will reduce our cash available for distribution to our unitholders.</w:t>
      </w:r>
    </w:p>
    <w:p>
      <w:pPr>
        <w:spacing w:after="0" w:line="160"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66"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commercial management agreements, GasLog provides us with commercial management services. We pay to GasLog a fixed commercial management fee in U.S. dollars for costs and expenses incurred in connection with providing services.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2018 were $7.2 million, $5.0 million and $10.4 million, respectively. As the fees under the administrative services agreement relate to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only since their acquisition from GasLog in April and November 2018, respectively, the fees and expenses payable pursuant to this agreement will likely be higher for future periods than reflected in our results of operations for the year ended December 31, 2018.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7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6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200" w:lineRule="exact"/>
        <w:rPr>
          <w:sz w:val="20"/>
          <w:szCs w:val="20"/>
          <w:color w:val="auto"/>
        </w:rPr>
      </w:pPr>
    </w:p>
    <w:p>
      <w:pPr>
        <w:ind w:left="1080" w:right="80" w:hanging="532"/>
        <w:spacing w:after="0" w:line="245" w:lineRule="auto"/>
        <w:tabs>
          <w:tab w:leader="none" w:pos="1080" w:val="left"/>
        </w:tabs>
        <w:numPr>
          <w:ilvl w:val="0"/>
          <w:numId w:val="44"/>
        </w:numPr>
        <w:rPr>
          <w:rFonts w:ascii="Arial" w:cs="Arial" w:eastAsia="Arial" w:hAnsi="Arial"/>
          <w:sz w:val="32"/>
          <w:szCs w:val="32"/>
          <w:color w:val="auto"/>
          <w:vertAlign w:val="superscript"/>
        </w:rPr>
      </w:pPr>
      <w:r>
        <w:rPr>
          <w:rFonts w:ascii="Arial" w:cs="Arial" w:eastAsia="Arial" w:hAnsi="Arial"/>
          <w:sz w:val="16"/>
          <w:szCs w:val="16"/>
          <w:color w:val="auto"/>
        </w:rPr>
        <w:t>It is difficult for unitholders to remove our general partner without its consent. The vote of the holders of at least 66</w:t>
      </w:r>
      <w:r>
        <w:rPr>
          <w:rFonts w:ascii="Arial" w:cs="Arial" w:eastAsia="Arial" w:hAnsi="Arial"/>
          <w:sz w:val="27"/>
          <w:szCs w:val="27"/>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all outstanding common units, including any units owned by our general partner and its affiliates, voting together as a single class is required to remove the general partner. As of February 21, 2019, GasLog owns 26.1% of our outstanding common units. Common unitholders are entitled to elect only three of the seven members of our board of directors. Our general partner, by virtue of its general partner interest, in its sole discretion, appoints the remaining directors (subject to its right to transfer the power to elect a majority of our directors to the common unitholders).</w:t>
      </w:r>
    </w:p>
    <w:p>
      <w:pPr>
        <w:spacing w:after="0" w:line="235" w:lineRule="exact"/>
        <w:rPr>
          <w:rFonts w:ascii="Arial" w:cs="Arial" w:eastAsia="Arial" w:hAnsi="Arial"/>
          <w:sz w:val="32"/>
          <w:szCs w:val="32"/>
          <w:color w:val="auto"/>
          <w:vertAlign w:val="superscript"/>
        </w:rPr>
      </w:pPr>
    </w:p>
    <w:p>
      <w:pPr>
        <w:ind w:left="1080" w:right="20" w:hanging="532"/>
        <w:spacing w:after="0" w:line="33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election of the directors by common unitholders is staggered, meaning that the members of only one of three classes of our elected directors will be selected each year. In addition, the directors appointed by our general partner will serve for terms determined by our general partner.</w:t>
      </w:r>
    </w:p>
    <w:p>
      <w:pPr>
        <w:spacing w:after="0" w:line="15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207"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20"/>
        <w:spacing w:after="0" w:line="331" w:lineRule="auto"/>
        <w:rPr>
          <w:sz w:val="20"/>
          <w:szCs w:val="20"/>
          <w:color w:val="auto"/>
        </w:rPr>
      </w:pPr>
      <w:r>
        <w:rPr>
          <w:rFonts w:ascii="Arial" w:cs="Arial" w:eastAsia="Arial" w:hAnsi="Arial"/>
          <w:sz w:val="16"/>
          <w:szCs w:val="16"/>
          <w:color w:val="auto"/>
        </w:rPr>
        <w:t>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54"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restrictions in our partnership agreement on our ability to issue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these provisions may be to diminish the price at which the common units and Preference Units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units in the public market could cause the price of our common units to fall.</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21, 2019, GasLog owns 11,843,691 common units and all of the incentive distribution rights.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16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GasLog, as the holder of all of the incentive distribution rights, may elect to cause us to issue additional common units to it in connection with a resetting of the target distribution levels related to its incentive distribution rights without the approval of the conflicts committee of our board of directors or holders of our common units. This may result in lower distributions to holders of our common units in certain situations.</w:t>
      </w:r>
    </w:p>
    <w:p>
      <w:pPr>
        <w:spacing w:after="0" w:line="1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GasLog, as the holder of all of the incentive distribution rights, has the right, at a time when it has received incentive distributions at the highest level to which it is entitled (23.0%) for each of the prior four consecutive fiscal quarters, to reset the initial cash target distribution levels at higher levels based on the distribution at the time of the exercise of the reset election. Following a reset election by GasLog, the minimum quarterly distribution amount will be reset to an amount equal to the average cash distribution amount per common unit for the two fiscal quarters immediately preceding the reset election (such amount is referred to as the "reset minimum quarterly distribution"), and the target distribution levels will be reset to correspondingly higher levels based on the same percentage increases above the reset minimum quarterly distribution amount.</w:t>
      </w:r>
    </w:p>
    <w:p>
      <w:pPr>
        <w:spacing w:after="0" w:line="17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connection with resetting these target distribution levels, GasLog will be entitled to receive a number of common units equal to that number of common units whose aggregate quarterly cash distributions equaled the average of the distributions to it on the incentive distribution rights in the prior two quarters. We anticipate that GasLog would exercise this reset right in order to facilitate acquisitions or internal growth projects that would not be sufficiently accretive to cash distributions per common unit without such conversion; however, it is possible that GasLog could exercise this reset election at a time when it is experiencing, or may be expected to experience, declines in the cash distributions it receives related to its incentive distribution rights and may therefore desire to be issued our common units, rather than retain the right to receive incentive distributions based on the initial target distribution levels. As a result, a reset election may cause our common unitholders to experience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dilution in the amount of cash distributions that they would have otherwise received had we not issued additional common units to GasLog in connection with resetting the target distribution levels related to GasLog's incentive distribution rights. See "Item 8. Financial Information—Our Cash Distribution Policy— Incentive Distribution Rights".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in January 2018, we completed a public offering of 4,600,000 8.200% Series B Preference Units (including 600,000 units issued upon exercise in full by the underwriters of their option to purchase additional Series B Preference Units). Furthermore, in November 2018, we completed a public offering of 4,000,000 8.500% Series C Preference Units.</w:t>
      </w:r>
    </w:p>
    <w:p>
      <w:pPr>
        <w:spacing w:after="0" w:line="16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On May 16, 2017, the Partnership commenced its ATM Programme under which we may, from time to time, raise equity through the issuance and sale of new common units. Following an increase in the size of the ATM Programme completed on November 3, 2017, we can issue up to $144.0 million in new common units. As of February 21, 2019 5,291,304 common units have been issued through the ATM Programme.</w:t>
      </w:r>
    </w:p>
    <w:p>
      <w:pPr>
        <w:spacing w:after="0" w:line="16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the ATM Programme, in the year ended December 31, 2018, GasLog Partners issued and received payment for 2,553,889 common units at a weighted average price of $23.72 per common unit for total gross proceeds of $60.6 million and total net proceeds of $60.0 million, after broker commissions of $0.2 million and other expenses of $0.4 million. In connection with the issuance of common units under the ATM Programme during this period, the Partnership also issued 52,121 general partner units to its general partner in order for GasLog to retain its 2.0% general partner interest. The net proceeds from the issuance of the general partner units were $1.2 million.</w:t>
      </w:r>
    </w:p>
    <w:p>
      <w:pPr>
        <w:spacing w:after="0" w:line="201" w:lineRule="exact"/>
        <w:rPr>
          <w:sz w:val="20"/>
          <w:szCs w:val="20"/>
          <w:color w:val="auto"/>
        </w:rPr>
      </w:pPr>
    </w:p>
    <w:p>
      <w:pPr>
        <w:ind w:right="400" w:firstLine="351"/>
        <w:spacing w:after="0" w:line="331" w:lineRule="auto"/>
        <w:rPr>
          <w:sz w:val="20"/>
          <w:szCs w:val="20"/>
          <w:color w:val="auto"/>
        </w:rPr>
      </w:pPr>
      <w:r>
        <w:rPr>
          <w:rFonts w:ascii="Arial" w:cs="Arial" w:eastAsia="Arial" w:hAnsi="Arial"/>
          <w:sz w:val="16"/>
          <w:szCs w:val="16"/>
          <w:color w:val="auto"/>
        </w:rPr>
        <w:t>Included within the units issued under the ATM Programme, the Partnership agreed to sell 2,250,000 common units to funds managed by Tortoise Capital Advisors L.L.C. ("Tortoise") for gross proceeds of $53.1 million through the Partnership's ATM Programme on September 26, 2018.</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2018, we issued 1,858,975 common units to GasLog in part payment for the purchase of GAS-fourteen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issuance by us of additional common units or other equity securities of equal or senior rank will have the following effects:</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common unitholders' proportionate economic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may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not be able to pay our distributions to common unitholders if we have failed to pay the distributions on our Preference Units;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Preference Units are senior to the common units and as such receive priority over the common units in distributions and liquidation.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common units at an undesirable time or price.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26.1% of our outstanding common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partnership agreement allows us to make working capital borrowings to pay distributions. Accordingly, if we have available 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units may be volatile.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common units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payment of cash distributions to our unitholders;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repurchases by us of our common units pursuant to our unit repurchase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LNG carrier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supply of and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concerning us or our competitors or other MLPs;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sales of our units or other securities, including sales under our ATM Programme;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investors' perceptions of us, the LNG market and LNG shipping industries;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cash redemptions from funds invested in the MLP sector;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inclusion or exclusion of our units in equity market indices and exchange traded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225" w:lineRule="exact"/>
        <w:rPr>
          <w:sz w:val="20"/>
          <w:szCs w:val="20"/>
          <w:color w:val="auto"/>
        </w:rPr>
      </w:pPr>
    </w:p>
    <w:p>
      <w:pPr>
        <w:jc w:val="both"/>
        <w:ind w:right="520" w:firstLine="351"/>
        <w:spacing w:after="0" w:line="331" w:lineRule="auto"/>
        <w:rPr>
          <w:sz w:val="20"/>
          <w:szCs w:val="20"/>
          <w:color w:val="auto"/>
        </w:rPr>
      </w:pPr>
      <w:r>
        <w:rPr>
          <w:rFonts w:ascii="Arial" w:cs="Arial" w:eastAsia="Arial" w:hAnsi="Arial"/>
          <w:sz w:val="16"/>
          <w:szCs w:val="16"/>
          <w:color w:val="auto"/>
        </w:rPr>
        <w:t>Securities markets worldwide are experiencing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540"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to a nominating/corporate governance committee can be established.</w:t>
      </w:r>
    </w:p>
    <w:p>
      <w:pPr>
        <w:spacing w:after="0" w:line="198"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unitholders of similarly organized limited partnerships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6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Preference Units are subordinated to all of our existing and future indebtedness. As of December 31, 2018, we had an aggregate of $1,235.0 million of outstanding indebtedness. Our existing 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58"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Units have extremely limited voting rights.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indebtedness and other liabilities, and any other senior securities we may issue in the future with respect to assets available to satisfy claims against us.</w:t>
      </w:r>
    </w:p>
    <w:p>
      <w:pPr>
        <w:spacing w:after="0" w:line="248" w:lineRule="exact"/>
        <w:rPr>
          <w:sz w:val="20"/>
          <w:szCs w:val="20"/>
          <w:color w:val="auto"/>
        </w:rPr>
      </w:pPr>
    </w:p>
    <w:p>
      <w:pPr>
        <w:jc w:val="both"/>
        <w:ind w:right="20" w:firstLine="348"/>
        <w:spacing w:after="0" w:line="254" w:lineRule="auto"/>
        <w:rPr>
          <w:sz w:val="20"/>
          <w:szCs w:val="20"/>
          <w:color w:val="auto"/>
        </w:rPr>
      </w:pPr>
      <w:r>
        <w:rPr>
          <w:rFonts w:ascii="Arial" w:cs="Arial" w:eastAsia="Arial" w:hAnsi="Arial"/>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 market price for Preference Units is greater than the liquidation preference, holders of Preference Units will have no right to receive the market price from us upon our liquidation.</w:t>
      </w:r>
    </w:p>
    <w:p>
      <w:pPr>
        <w:spacing w:after="0" w:line="201"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Preference Units, which may limit the cash available to make distributions on the Preference Units.</w:t>
      </w:r>
    </w:p>
    <w:p>
      <w:pPr>
        <w:spacing w:after="0" w:line="14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7" w:lineRule="exact"/>
        <w:rPr>
          <w:sz w:val="20"/>
          <w:szCs w:val="20"/>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provide funds for payments to holders of Preference Units; and/or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a result, we do not expect to accumulate significant amounts of cash. Depending on the timing and amount of our cash distributions, these distributions could significantly reduce the cash available to us in subsequent periods to make payments on the Preference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Preference Units have not been rated, and ratings of any other of our securities may affect the trading price of the Preference Units.</w:t>
      </w:r>
    </w:p>
    <w:p>
      <w:pPr>
        <w:spacing w:after="0" w:line="248"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Preference Units.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An increase in market 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Preference Units are redeemable at our option.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at our option, redeem all or, from time to time, part of the Series A Preference Units on or after June 15, 2027, the Series B Preference Units on or after March 15, 2023 or the Series C Preference Units on or after March 15, 2024. If we redeem your Series A, Series B or Series C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applicable series of Preference Units had such series of Preference Units not been redeemed. We may elect to exercise our partial redemption right on multiple occasions.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 and the potential phasing out of LIBOR after 2021 may adversely affect the value of and return on our Preference Units.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rates for the Series B Preference Units and the Series C Preference Units will be determined based on three-month LIBOR, from and including March 15, 2023 and March 15, 2024, respectively. The distribution rate for the Series A Preference Units will be determined based on three-month LIBOR from and including June 15, 2027.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 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 the Series C Preference Units on or after March 15, 2024 or the Series A Preference Units on or after June 15, 2027.</w:t>
      </w:r>
    </w:p>
    <w:p>
      <w:pPr>
        <w:spacing w:after="0" w:line="17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for a series of Preference Units, the terms of such Preference Units will require alternative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determination procedures which may result in distribution payments differing from expectations and could materially affect the value of such Preference Units.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organized as a limited partnership under the laws of the Marshall Islands, which does not have a well-developed body of partnership law.</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7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99" w:lineRule="exact"/>
        <w:rPr>
          <w:sz w:val="20"/>
          <w:szCs w:val="20"/>
          <w:color w:val="auto"/>
        </w:rPr>
      </w:pPr>
    </w:p>
    <w:p>
      <w:pPr>
        <w:ind w:left="1080" w:right="22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are brought in a derivative manner on our behalf;</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assert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assert a claim arising pursuant to any provision of the Marshall Islands Act; or</w:t>
      </w:r>
    </w:p>
    <w:p>
      <w:pPr>
        <w:spacing w:after="0" w:line="238"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100" w:firstLine="351"/>
        <w:spacing w:after="0" w:line="369" w:lineRule="auto"/>
        <w:rPr>
          <w:sz w:val="20"/>
          <w:szCs w:val="20"/>
          <w:color w:val="auto"/>
        </w:rPr>
      </w:pPr>
      <w:r>
        <w:rPr>
          <w:rFonts w:ascii="Arial" w:cs="Arial" w:eastAsia="Arial" w:hAnsi="Arial"/>
          <w:sz w:val="15"/>
          <w:szCs w:val="15"/>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may reduce our cash available for distribution to you.</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Overview—Taxation of the Partnership".</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Based on our past, current and projected methods of operation, and an opinion of our U.S. counsel, Cravath, Swaine &amp; Moore LLP, we believe that we were not a PFIC for any of our previous tax years and that we will not be treated as a PFIC for any future tax year. We have received opinions of our U.S. counsel in support of this position that conclude that the income our subsidiaries earn from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6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Holders—PFIC Status and Significant Tax Consequences" for a more detailed discussion of the U.S. federal income tax consequences to U.S. unitholders if we are treated as a PFIC.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2019 tax year, unless our general partner exercises the "GasLog option" described in "Item 4. Information on the Partnership— B. Business Overview—Taxation of the Partnership—U.S. Taxation of Shipping". Even if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do not qualify for such an exemption, we do not currently expect any resulting U.S. federal income tax liability to be material or materially reduce the earnings available for distribution to our unitholders. For 2018, the U.S. source gross transportation tax was $0.6 million. For a more detailed discussion, see the section entitled "Item 4. Information on the Partnership—B. Business Overview—Taxation of the Partnership—United States".</w:t>
      </w:r>
    </w:p>
    <w:p>
      <w:pPr>
        <w:spacing w:after="0" w:line="160" w:lineRule="exact"/>
        <w:rPr>
          <w:sz w:val="20"/>
          <w:szCs w:val="20"/>
          <w:color w:val="auto"/>
        </w:rPr>
      </w:pPr>
    </w:p>
    <w:p>
      <w:pPr>
        <w:ind w:right="80"/>
        <w:spacing w:after="0" w:line="369" w:lineRule="auto"/>
        <w:rPr>
          <w:sz w:val="20"/>
          <w:szCs w:val="20"/>
          <w:color w:val="auto"/>
        </w:rPr>
      </w:pPr>
      <w:r>
        <w:rPr>
          <w:rFonts w:ascii="Arial" w:cs="Arial" w:eastAsia="Arial" w:hAnsi="Arial"/>
          <w:sz w:val="15"/>
          <w:szCs w:val="15"/>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1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History and Development of the Partnership</w:t>
      </w:r>
    </w:p>
    <w:p>
      <w:pPr>
        <w:spacing w:after="0" w:line="23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under multi-year charters. The Partnership conducts its operations through its vessel-owning subsidiaries and, as of February 21, 2019, we have a fleet of 14 LNG carriers, including nine vessels with modern TFDE propulsion technology and five modern Steam vessels.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Santiago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Since the IPO we have completed additional equity offerings as set forth below, the proceeds of which have been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used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to partially fund the acquisition of GasLog vessel owning subsidiaries, (ii) to pay down debt or (iii) for general corporate purposes: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auto"/>
                <w:w w:val="94"/>
              </w:rPr>
              <w:t>Date Vessel Acquisition</w:t>
            </w:r>
          </w:p>
        </w:tc>
      </w:t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Date of Equity Offering</w:t>
            </w:r>
          </w:p>
        </w:tc>
        <w:tc>
          <w:tcPr>
            <w:tcW w:w="160" w:type="dxa"/>
            <w:vAlign w:val="bottom"/>
          </w:tcPr>
          <w:p>
            <w:pPr>
              <w:spacing w:after="0"/>
              <w:rPr>
                <w:sz w:val="14"/>
                <w:szCs w:val="14"/>
                <w:color w:val="auto"/>
              </w:rPr>
            </w:pPr>
          </w:p>
        </w:tc>
        <w:tc>
          <w:tcPr>
            <w:tcW w:w="294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Equity Offering</w:t>
            </w:r>
          </w:p>
        </w:tc>
        <w:tc>
          <w:tcPr>
            <w:tcW w:w="160" w:type="dxa"/>
            <w:vAlign w:val="bottom"/>
          </w:tcPr>
          <w:p>
            <w:pPr>
              <w:spacing w:after="0"/>
              <w:rPr>
                <w:sz w:val="14"/>
                <w:szCs w:val="14"/>
                <w:color w:val="auto"/>
              </w:rPr>
            </w:pPr>
          </w:p>
        </w:tc>
        <w:tc>
          <w:tcPr>
            <w:tcW w:w="524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Principal Use of Proceeds</w:t>
            </w:r>
          </w:p>
        </w:tc>
        <w:tc>
          <w:tcPr>
            <w:tcW w:w="180" w:type="dxa"/>
            <w:vAlign w:val="bottom"/>
          </w:tcPr>
          <w:p>
            <w:pPr>
              <w:spacing w:after="0"/>
              <w:rPr>
                <w:sz w:val="14"/>
                <w:szCs w:val="14"/>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Completed</w:t>
            </w:r>
          </w:p>
        </w:tc>
      </w:tr>
      <w:tr>
        <w:trPr>
          <w:trHeight w:val="201"/>
        </w:trPr>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15,</w:t>
            </w: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Preference equity offering, Series C</w:t>
            </w:r>
          </w:p>
        </w:tc>
        <w:tc>
          <w:tcPr>
            <w:tcW w:w="160" w:type="dxa"/>
            <w:vAlign w:val="bottom"/>
            <w:shd w:val="clear" w:color="auto" w:fill="CCEEFF"/>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4"/>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Preference Units</w:t>
            </w:r>
          </w:p>
        </w:tc>
        <w:tc>
          <w:tcPr>
            <w:tcW w:w="1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08"/>
        </w:trPr>
        <w:tc>
          <w:tcPr>
            <w:tcW w:w="1540" w:type="dxa"/>
            <w:vAlign w:val="bottom"/>
            <w:gridSpan w:val="2"/>
          </w:tcPr>
          <w:p>
            <w:pPr>
              <w:spacing w:after="0"/>
              <w:rPr>
                <w:sz w:val="20"/>
                <w:szCs w:val="20"/>
                <w:color w:val="auto"/>
              </w:rPr>
            </w:pPr>
            <w:r>
              <w:rPr>
                <w:rFonts w:ascii="Arial" w:cs="Arial" w:eastAsia="Arial" w:hAnsi="Arial"/>
                <w:sz w:val="18"/>
                <w:szCs w:val="18"/>
                <w:color w:val="auto"/>
              </w:rPr>
              <w:t>January 17, 2018</w:t>
            </w:r>
          </w:p>
        </w:tc>
        <w:tc>
          <w:tcPr>
            <w:tcW w:w="2940" w:type="dxa"/>
            <w:vAlign w:val="bottom"/>
          </w:tcPr>
          <w:p>
            <w:pPr>
              <w:spacing w:after="0"/>
              <w:rPr>
                <w:sz w:val="20"/>
                <w:szCs w:val="20"/>
                <w:color w:val="auto"/>
              </w:rPr>
            </w:pPr>
            <w:r>
              <w:rPr>
                <w:rFonts w:ascii="Arial" w:cs="Arial" w:eastAsia="Arial" w:hAnsi="Arial"/>
                <w:sz w:val="18"/>
                <w:szCs w:val="18"/>
                <w:color w:val="auto"/>
              </w:rPr>
              <w:t>Preference equity offering, Series B</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Gibraltar</w:t>
            </w: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April 26, 2018</w:t>
            </w:r>
          </w:p>
        </w:tc>
      </w:tr>
      <w:tr>
        <w:trPr>
          <w:trHeight w:val="223"/>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Preference Units</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16, 2017</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offering through our</w:t>
            </w: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Solaris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October 20, 2017</w:t>
            </w:r>
          </w:p>
        </w:tc>
      </w:tr>
      <w:tr>
        <w:trPr>
          <w:trHeight w:val="224"/>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onwards</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ATM Programme</w:t>
            </w:r>
          </w:p>
        </w:tc>
        <w:tc>
          <w:tcPr>
            <w:tcW w:w="1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08"/>
        </w:trPr>
        <w:tc>
          <w:tcPr>
            <w:tcW w:w="1540" w:type="dxa"/>
            <w:vAlign w:val="bottom"/>
            <w:gridSpan w:val="2"/>
          </w:tcPr>
          <w:p>
            <w:pPr>
              <w:spacing w:after="0"/>
              <w:rPr>
                <w:sz w:val="20"/>
                <w:szCs w:val="20"/>
                <w:color w:val="auto"/>
              </w:rPr>
            </w:pPr>
            <w:r>
              <w:rPr>
                <w:rFonts w:ascii="Arial" w:cs="Arial" w:eastAsia="Arial" w:hAnsi="Arial"/>
                <w:sz w:val="18"/>
                <w:szCs w:val="18"/>
                <w:color w:val="auto"/>
              </w:rPr>
              <w:t>May 15, 2017</w:t>
            </w:r>
          </w:p>
        </w:tc>
        <w:tc>
          <w:tcPr>
            <w:tcW w:w="2940" w:type="dxa"/>
            <w:vAlign w:val="bottom"/>
          </w:tcPr>
          <w:p>
            <w:pPr>
              <w:spacing w:after="0"/>
              <w:rPr>
                <w:sz w:val="20"/>
                <w:szCs w:val="20"/>
                <w:color w:val="auto"/>
              </w:rPr>
            </w:pPr>
            <w:r>
              <w:rPr>
                <w:rFonts w:ascii="Arial" w:cs="Arial" w:eastAsia="Arial" w:hAnsi="Arial"/>
                <w:sz w:val="18"/>
                <w:szCs w:val="18"/>
                <w:color w:val="auto"/>
              </w:rPr>
              <w:t>Preference equity offering, Series A</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Geneva</w:t>
            </w: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July 3, 2017</w:t>
            </w:r>
          </w:p>
        </w:tc>
      </w:tr>
      <w:tr>
        <w:trPr>
          <w:trHeight w:val="223"/>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Preference Units</w:t>
            </w: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7"/>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2017</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Follow-on common equity offering</w:t>
            </w: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Greece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May 3, 2017</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August 5, 2016</w:t>
            </w:r>
          </w:p>
        </w:tc>
        <w:tc>
          <w:tcPr>
            <w:tcW w:w="294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Seattle</w:t>
            </w: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9"/>
              </w:rPr>
              <w:t>November 1, 2016</w:t>
            </w:r>
          </w:p>
        </w:tc>
      </w:tr>
      <w:tr>
        <w:trPr>
          <w:trHeight w:val="208"/>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2015</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Follow-on common equity offering</w:t>
            </w: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 xml:space="preserve">Acquisition of the </w:t>
            </w:r>
            <w:r>
              <w:rPr>
                <w:rFonts w:ascii="Arial" w:cs="Arial" w:eastAsia="Arial" w:hAnsi="Arial"/>
                <w:sz w:val="18"/>
                <w:szCs w:val="18"/>
                <w:i w:val="1"/>
                <w:iCs w:val="1"/>
                <w:color w:val="auto"/>
                <w:w w:val="94"/>
              </w:rPr>
              <w:t>Methane Alison Victoria, Methane Shirley Elisabeth</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r>
      <w:tr>
        <w:trPr>
          <w:trHeight w:val="224"/>
        </w:trPr>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Methane Heather Sally</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08"/>
        </w:trPr>
        <w:tc>
          <w:tcPr>
            <w:tcW w:w="1540" w:type="dxa"/>
            <w:vAlign w:val="bottom"/>
            <w:gridSpan w:val="2"/>
          </w:tcPr>
          <w:p>
            <w:pPr>
              <w:spacing w:after="0"/>
              <w:rPr>
                <w:sz w:val="20"/>
                <w:szCs w:val="20"/>
                <w:color w:val="auto"/>
              </w:rPr>
            </w:pPr>
            <w:r>
              <w:rPr>
                <w:rFonts w:ascii="Arial" w:cs="Arial" w:eastAsia="Arial" w:hAnsi="Arial"/>
                <w:sz w:val="18"/>
                <w:szCs w:val="18"/>
                <w:color w:val="auto"/>
              </w:rPr>
              <w:t>September 29,</w:t>
            </w:r>
          </w:p>
        </w:tc>
        <w:tc>
          <w:tcPr>
            <w:tcW w:w="294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w w:val="95"/>
              </w:rPr>
              <w:t xml:space="preserve">Acquisition of the </w:t>
            </w:r>
            <w:r>
              <w:rPr>
                <w:rFonts w:ascii="Arial" w:cs="Arial" w:eastAsia="Arial" w:hAnsi="Arial"/>
                <w:sz w:val="18"/>
                <w:szCs w:val="18"/>
                <w:i w:val="1"/>
                <w:iCs w:val="1"/>
                <w:color w:val="auto"/>
                <w:w w:val="95"/>
              </w:rPr>
              <w:t>Methane Rita Andrea</w:t>
            </w:r>
            <w:r>
              <w:rPr>
                <w:rFonts w:ascii="Arial" w:cs="Arial" w:eastAsia="Arial" w:hAnsi="Arial"/>
                <w:sz w:val="18"/>
                <w:szCs w:val="18"/>
                <w:color w:val="auto"/>
                <w:w w:val="95"/>
              </w:rPr>
              <w:t xml:space="preserve"> and </w:t>
            </w:r>
            <w:r>
              <w:rPr>
                <w:rFonts w:ascii="Arial" w:cs="Arial" w:eastAsia="Arial" w:hAnsi="Arial"/>
                <w:sz w:val="18"/>
                <w:szCs w:val="18"/>
                <w:i w:val="1"/>
                <w:iCs w:val="1"/>
                <w:color w:val="auto"/>
                <w:w w:val="95"/>
              </w:rPr>
              <w:t>Methane Jane Elizabeth</w:t>
            </w:r>
          </w:p>
        </w:tc>
        <w:tc>
          <w:tcPr>
            <w:tcW w:w="1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0"/>
              </w:rPr>
              <w:t>September 29, 2014</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1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w:t>
      </w:r>
    </w:p>
    <w:p>
      <w:pPr>
        <w:spacing w:after="0" w:line="186"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http://www.gaslogmlp.com.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multi-year charters. Our fleet of 14 LNG carriers, which have fixed charter terms expiring between 2019 and 2026, except for one which is operating in the spot market, were contributed to us by, or acquired by us from, GasLog, which controls us through its ownership of our general partner. The charters on two of the vessels expire in 2019, one of which will begin a new one-year time charter with Trafigura, and five further charters will expire in 2020. On redelivery, the vessels may operate in the short-term spot market until we secure new multi-year time charters.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fleet consists of 14 LNG carriers, including nine vessels with modern TFDE propulsion technology and five modern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60"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operate our vessels mainly under multi-year charters with fixed-fee contracts that generate predictable cash flows during the life of these charters. One of our vessels currently operates in the spot market through an LNG carrier pooling arrangement operated by GasLog and Golar LNG Ltd. (the "Cool Pool"). We intend to grow our fleet through further acquisitions of LNG carriers from GasLog and third parties. However, we cannot assure you that we will make any particular acquisition or that, as a consequence, we will successfully grow our distributions per common unit. Among other things, our ability to acquire additional LNG carriers will be dependent upon our ability to raise additional equity and debt financing. For further discussion of the risks that we face, please read "Item 3. Key Information—D. Risk Factors".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At the time of its initial public offering, GasLog's wholly owned fleet consisted of ten LNG carriers, including eight newbuildings on order. Since its initial public offering, GasLog has increased by approximately 118% the total carrying capacity of vessels in its fleet, which includes vessels on the water and newbuildings on order. As of February 21, 2019, GasLog's wholly owned and bareboat fleet includes 21 LNG carriers, including 12 ships on the water and nine LNG carriers on order from Samsung, as well as a 27.5% ownership in the Partnership. See "—Our Fleet".</w:t>
      </w:r>
    </w:p>
    <w:p>
      <w:pPr>
        <w:sectPr>
          <w:pgSz w:w="11900" w:h="16838" w:orient="portrait"/>
          <w:cols w:equalWidth="0" w:num="1">
            <w:col w:w="11520"/>
          </w:cols>
          <w:pgMar w:left="160" w:top="51"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fleet as of February 21, 2019:</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Cargo</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rPr>
              <w:t>Capacity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0" w:type="dxa"/>
            <w:vAlign w:val="bottom"/>
          </w:tcPr>
          <w:p>
            <w:pPr>
              <w:spacing w:after="0"/>
              <w:rPr>
                <w:sz w:val="1"/>
                <w:szCs w:val="1"/>
                <w:color w:val="auto"/>
              </w:rPr>
            </w:pPr>
          </w:p>
        </w:tc>
      </w:tr>
      <w:tr>
        <w:trPr>
          <w:trHeight w:val="161"/>
        </w:trPr>
        <w:tc>
          <w:tcPr>
            <w:tcW w:w="3020" w:type="dxa"/>
            <w:vAlign w:val="bottom"/>
            <w:gridSpan w:val="5"/>
          </w:tcPr>
          <w:p>
            <w:pPr>
              <w:spacing w:after="0"/>
              <w:rPr>
                <w:sz w:val="20"/>
                <w:szCs w:val="20"/>
                <w:color w:val="auto"/>
              </w:rPr>
            </w:pPr>
            <w:r>
              <w:rPr>
                <w:rFonts w:ascii="Arial" w:cs="Arial" w:eastAsia="Arial" w:hAnsi="Arial"/>
                <w:sz w:val="13"/>
                <w:szCs w:val="13"/>
                <w:b w:val="1"/>
                <w:bCs w:val="1"/>
                <w:color w:val="auto"/>
              </w:rPr>
              <w:t>LNG Carrier</w:t>
            </w:r>
          </w:p>
        </w:tc>
        <w:tc>
          <w:tcPr>
            <w:tcW w:w="1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Year Built</w:t>
            </w:r>
          </w:p>
        </w:tc>
        <w:tc>
          <w:tcPr>
            <w:tcW w:w="1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Propulsion</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2740" w:type="dxa"/>
            <w:vAlign w:val="bottom"/>
            <w:gridSpan w:val="3"/>
          </w:tcPr>
          <w:p>
            <w:pPr>
              <w:ind w:left="80"/>
              <w:spacing w:after="0" w:line="195" w:lineRule="exact"/>
              <w:rPr>
                <w:sz w:val="20"/>
                <w:szCs w:val="20"/>
                <w:color w:val="auto"/>
              </w:rPr>
            </w:pPr>
            <w:r>
              <w:rPr>
                <w:rFonts w:ascii="Arial" w:cs="Arial" w:eastAsia="Arial" w:hAnsi="Arial"/>
                <w:sz w:val="18"/>
                <w:szCs w:val="18"/>
                <w:i w:val="1"/>
                <w:iCs w:val="1"/>
                <w:color w:val="auto"/>
              </w:rPr>
              <w:t>Methane Rita Andrea</w:t>
            </w:r>
          </w:p>
        </w:tc>
        <w:tc>
          <w:tcPr>
            <w:tcW w:w="140" w:type="dxa"/>
            <w:vAlign w:val="bottom"/>
            <w:vMerge w:val="continue"/>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4"/>
              </w:rPr>
              <w:t>2006</w:t>
            </w:r>
          </w:p>
        </w:tc>
        <w:tc>
          <w:tcPr>
            <w:tcW w:w="160" w:type="dxa"/>
            <w:vAlign w:val="bottom"/>
            <w:vMerge w:val="continue"/>
          </w:tcPr>
          <w:p>
            <w:pPr>
              <w:spacing w:after="0"/>
              <w:rPr>
                <w:sz w:val="16"/>
                <w:szCs w:val="16"/>
                <w:color w:val="auto"/>
              </w:rPr>
            </w:pPr>
          </w:p>
        </w:tc>
        <w:tc>
          <w:tcPr>
            <w:tcW w:w="660" w:type="dxa"/>
            <w:vAlign w:val="bottom"/>
          </w:tcPr>
          <w:p>
            <w:pPr>
              <w:ind w:left="80"/>
              <w:spacing w:after="0" w:line="195" w:lineRule="exact"/>
              <w:rPr>
                <w:sz w:val="20"/>
                <w:szCs w:val="20"/>
                <w:color w:val="auto"/>
              </w:rPr>
            </w:pPr>
            <w:r>
              <w:rPr>
                <w:rFonts w:ascii="Arial" w:cs="Arial" w:eastAsia="Arial" w:hAnsi="Arial"/>
                <w:sz w:val="18"/>
                <w:szCs w:val="18"/>
                <w:color w:val="auto"/>
                <w:w w:val="86"/>
              </w:rPr>
              <w:t>145,000</w:t>
            </w:r>
          </w:p>
        </w:tc>
        <w:tc>
          <w:tcPr>
            <w:tcW w:w="160" w:type="dxa"/>
            <w:vAlign w:val="bottom"/>
            <w:vMerge w:val="continue"/>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9"/>
              </w:rPr>
              <w:t>Shell</w:t>
            </w:r>
          </w:p>
        </w:tc>
        <w:tc>
          <w:tcPr>
            <w:tcW w:w="160" w:type="dxa"/>
            <w:vAlign w:val="bottom"/>
            <w:vMerge w:val="continue"/>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84"/>
              </w:rPr>
              <w:t>Steam</w:t>
            </w:r>
          </w:p>
        </w:tc>
        <w:tc>
          <w:tcPr>
            <w:tcW w:w="160" w:type="dxa"/>
            <w:vAlign w:val="bottom"/>
            <w:vMerge w:val="continue"/>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3"/>
              </w:rPr>
              <w:t>April 2020</w:t>
            </w:r>
          </w:p>
        </w:tc>
        <w:tc>
          <w:tcPr>
            <w:tcW w:w="0" w:type="dxa"/>
            <w:vAlign w:val="bottom"/>
          </w:tcPr>
          <w:p>
            <w:pPr>
              <w:spacing w:after="0"/>
              <w:rPr>
                <w:sz w:val="1"/>
                <w:szCs w:val="1"/>
                <w:color w:val="auto"/>
              </w:rPr>
            </w:pPr>
          </w:p>
        </w:tc>
      </w:tr>
      <w:tr>
        <w:trPr>
          <w:trHeight w:val="256"/>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Jane Elizabeth</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2006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22"/>
                <w:szCs w:val="22"/>
                <w:color w:val="auto"/>
              </w:rPr>
            </w:pPr>
          </w:p>
        </w:tc>
        <w:tc>
          <w:tcPr>
            <w:tcW w:w="1440" w:type="dxa"/>
            <w:vAlign w:val="bottom"/>
          </w:tcPr>
          <w:p>
            <w:pPr>
              <w:jc w:val="center"/>
              <w:spacing w:after="0" w:line="256" w:lineRule="exact"/>
              <w:rPr>
                <w:sz w:val="20"/>
                <w:szCs w:val="20"/>
                <w:color w:val="auto"/>
              </w:rPr>
            </w:pPr>
            <w:r>
              <w:rPr>
                <w:rFonts w:ascii="Arial" w:cs="Arial" w:eastAsia="Arial" w:hAnsi="Arial"/>
                <w:sz w:val="18"/>
                <w:szCs w:val="18"/>
                <w:color w:val="auto"/>
                <w:w w:val="84"/>
              </w:rPr>
              <w:t>October 2019</w:t>
            </w:r>
            <w:r>
              <w:rPr>
                <w:rFonts w:ascii="Arial" w:cs="Arial" w:eastAsia="Arial" w:hAnsi="Arial"/>
                <w:sz w:val="29"/>
                <w:szCs w:val="29"/>
                <w:color w:val="auto"/>
                <w:w w:val="84"/>
                <w:vertAlign w:val="superscript"/>
              </w:rPr>
              <w:t>(1)</w:t>
            </w:r>
          </w:p>
        </w:tc>
        <w:tc>
          <w:tcPr>
            <w:tcW w:w="0" w:type="dxa"/>
            <w:vAlign w:val="bottom"/>
          </w:tcPr>
          <w:p>
            <w:pPr>
              <w:spacing w:after="0"/>
              <w:rPr>
                <w:sz w:val="1"/>
                <w:szCs w:val="1"/>
                <w:color w:val="auto"/>
              </w:rPr>
            </w:pPr>
          </w:p>
        </w:tc>
      </w:tr>
      <w:tr>
        <w:trPr>
          <w:trHeight w:val="26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Alison Victoria</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22"/>
                <w:szCs w:val="22"/>
                <w:color w:val="auto"/>
              </w:rPr>
            </w:pPr>
          </w:p>
        </w:tc>
        <w:tc>
          <w:tcPr>
            <w:tcW w:w="1440" w:type="dxa"/>
            <w:vAlign w:val="bottom"/>
          </w:tcPr>
          <w:p>
            <w:pPr>
              <w:jc w:val="center"/>
              <w:spacing w:after="0" w:line="262" w:lineRule="exact"/>
              <w:rPr>
                <w:sz w:val="20"/>
                <w:szCs w:val="20"/>
                <w:color w:val="auto"/>
              </w:rPr>
            </w:pPr>
            <w:r>
              <w:rPr>
                <w:rFonts w:ascii="Arial" w:cs="Arial" w:eastAsia="Arial" w:hAnsi="Arial"/>
                <w:sz w:val="18"/>
                <w:szCs w:val="18"/>
                <w:color w:val="auto"/>
                <w:w w:val="84"/>
              </w:rPr>
              <w:t>December 2019</w:t>
            </w:r>
            <w:r>
              <w:rPr>
                <w:rFonts w:ascii="Arial" w:cs="Arial" w:eastAsia="Arial" w:hAnsi="Arial"/>
                <w:sz w:val="29"/>
                <w:szCs w:val="29"/>
                <w:color w:val="auto"/>
                <w:w w:val="8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w w:val="91"/>
              </w:rPr>
              <w:t xml:space="preserve">Methane Jane Elizabeth </w:t>
            </w:r>
            <w:r>
              <w:rPr>
                <w:rFonts w:ascii="Arial" w:cs="Arial" w:eastAsia="Arial" w:hAnsi="Arial"/>
                <w:sz w:val="18"/>
                <w:szCs w:val="18"/>
                <w:color w:val="auto"/>
                <w:w w:val="91"/>
              </w:rPr>
              <w:t>or</w:t>
            </w:r>
            <w:r>
              <w:rPr>
                <w:rFonts w:ascii="Arial" w:cs="Arial" w:eastAsia="Arial" w:hAnsi="Arial"/>
                <w:sz w:val="18"/>
                <w:szCs w:val="18"/>
                <w:i w:val="1"/>
                <w:iCs w:val="1"/>
                <w:color w:val="auto"/>
                <w:w w:val="91"/>
              </w:rPr>
              <w:t xml:space="preserve"> Methane</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2006/2007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Trafigura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November or</w:t>
            </w:r>
          </w:p>
        </w:tc>
        <w:tc>
          <w:tcPr>
            <w:tcW w:w="0" w:type="dxa"/>
            <w:vAlign w:val="bottom"/>
          </w:tcPr>
          <w:p>
            <w:pPr>
              <w:spacing w:after="0"/>
              <w:rPr>
                <w:sz w:val="1"/>
                <w:szCs w:val="1"/>
                <w:color w:val="auto"/>
              </w:rPr>
            </w:pPr>
          </w:p>
        </w:tc>
      </w:tr>
      <w:tr>
        <w:trPr>
          <w:trHeight w:val="256"/>
        </w:trPr>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2740" w:type="dxa"/>
            <w:vAlign w:val="bottom"/>
            <w:gridSpan w:val="3"/>
          </w:tcPr>
          <w:p>
            <w:pPr>
              <w:ind w:left="240"/>
              <w:spacing w:after="0" w:line="256" w:lineRule="exact"/>
              <w:rPr>
                <w:sz w:val="20"/>
                <w:szCs w:val="20"/>
                <w:color w:val="auto"/>
              </w:rPr>
            </w:pPr>
            <w:r>
              <w:rPr>
                <w:rFonts w:ascii="Arial" w:cs="Arial" w:eastAsia="Arial" w:hAnsi="Arial"/>
                <w:sz w:val="18"/>
                <w:szCs w:val="18"/>
                <w:i w:val="1"/>
                <w:iCs w:val="1"/>
                <w:color w:val="auto"/>
              </w:rPr>
              <w:t>Alison Victoria</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0" w:type="dxa"/>
            <w:vAlign w:val="bottom"/>
          </w:tcPr>
          <w:p>
            <w:pPr>
              <w:spacing w:after="0"/>
              <w:rPr>
                <w:sz w:val="1"/>
                <w:szCs w:val="1"/>
                <w:color w:val="auto"/>
              </w:rPr>
            </w:pPr>
          </w:p>
        </w:tc>
      </w:tr>
      <w:tr>
        <w:trPr>
          <w:trHeight w:val="210"/>
        </w:trPr>
        <w:tc>
          <w:tcPr>
            <w:tcW w:w="280" w:type="dxa"/>
            <w:vAlign w:val="bottom"/>
            <w:gridSpan w:val="2"/>
            <w:vMerge w:val="continue"/>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Shirley Elisabeth</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0" w:type="dxa"/>
            <w:vAlign w:val="bottom"/>
          </w:tcPr>
          <w:p>
            <w:pPr>
              <w:spacing w:after="0"/>
              <w:rPr>
                <w:sz w:val="1"/>
                <w:szCs w:val="1"/>
                <w:color w:val="auto"/>
              </w:rPr>
            </w:pPr>
          </w:p>
        </w:tc>
      </w:t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Heather Sally</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2007</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0" w:type="dxa"/>
            <w:vAlign w:val="bottom"/>
          </w:tcPr>
          <w:p>
            <w:pPr>
              <w:spacing w:after="0"/>
              <w:rPr>
                <w:sz w:val="1"/>
                <w:szCs w:val="1"/>
                <w:color w:val="auto"/>
              </w:rPr>
            </w:pPr>
          </w:p>
        </w:tc>
      </w:tr>
      <w:tr>
        <w:trPr>
          <w:trHeight w:val="257"/>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Becki Anne</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2010</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170,000</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March 2024</w:t>
            </w:r>
          </w:p>
        </w:tc>
        <w:tc>
          <w:tcPr>
            <w:tcW w:w="0" w:type="dxa"/>
            <w:vAlign w:val="bottom"/>
          </w:tcPr>
          <w:p>
            <w:pPr>
              <w:spacing w:after="0"/>
              <w:rPr>
                <w:sz w:val="1"/>
                <w:szCs w:val="1"/>
                <w:color w:val="auto"/>
              </w:rPr>
            </w:pPr>
          </w:p>
        </w:tc>
      </w:tr>
      <w:tr>
        <w:trPr>
          <w:trHeight w:val="251"/>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Shanghai</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Spot</w:t>
            </w:r>
          </w:p>
        </w:tc>
        <w:tc>
          <w:tcPr>
            <w:tcW w:w="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5"/>
        </w:trPr>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spacing w:after="0" w:line="255" w:lineRule="exact"/>
              <w:rPr>
                <w:sz w:val="20"/>
                <w:szCs w:val="20"/>
                <w:color w:val="auto"/>
              </w:rPr>
            </w:pPr>
            <w:r>
              <w:rPr>
                <w:rFonts w:ascii="Arial" w:cs="Arial" w:eastAsia="Arial" w:hAnsi="Arial"/>
                <w:sz w:val="18"/>
                <w:szCs w:val="18"/>
                <w:color w:val="auto"/>
                <w:w w:val="86"/>
              </w:rPr>
              <w:t>Market</w:t>
            </w:r>
            <w:r>
              <w:rPr>
                <w:rFonts w:ascii="Arial" w:cs="Arial" w:eastAsia="Arial" w:hAnsi="Arial"/>
                <w:sz w:val="29"/>
                <w:szCs w:val="29"/>
                <w:color w:val="auto"/>
                <w:w w:val="86"/>
                <w:vertAlign w:val="superscript"/>
              </w:rPr>
              <w:t>(4)</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0" w:type="dxa"/>
            <w:vAlign w:val="bottom"/>
            <w:gridSpan w:val="2"/>
            <w:vMerge w:val="continue"/>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Santiago</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Trafigura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December 2021 or</w:t>
            </w:r>
          </w:p>
        </w:tc>
        <w:tc>
          <w:tcPr>
            <w:tcW w:w="0" w:type="dxa"/>
            <w:vAlign w:val="bottom"/>
          </w:tcPr>
          <w:p>
            <w:pPr>
              <w:spacing w:after="0"/>
              <w:rPr>
                <w:sz w:val="1"/>
                <w:szCs w:val="1"/>
                <w:color w:val="auto"/>
              </w:rPr>
            </w:pPr>
          </w:p>
        </w:tc>
      </w:tr>
      <w:tr>
        <w:trPr>
          <w:trHeight w:val="216"/>
        </w:trPr>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January 2022</w:t>
            </w:r>
          </w:p>
        </w:tc>
        <w:tc>
          <w:tcPr>
            <w:tcW w:w="0" w:type="dxa"/>
            <w:vAlign w:val="bottom"/>
          </w:tcPr>
          <w:p>
            <w:pPr>
              <w:spacing w:after="0"/>
              <w:rPr>
                <w:sz w:val="1"/>
                <w:szCs w:val="1"/>
                <w:color w:val="auto"/>
              </w:rPr>
            </w:pPr>
          </w:p>
        </w:tc>
      </w:tr>
      <w:tr>
        <w:trPr>
          <w:trHeight w:val="250"/>
        </w:trPr>
        <w:tc>
          <w:tcPr>
            <w:tcW w:w="280" w:type="dxa"/>
            <w:vAlign w:val="bottom"/>
            <w:gridSpan w:val="2"/>
            <w:vMerge w:val="continue"/>
          </w:tcPr>
          <w:p>
            <w:pPr>
              <w:spacing w:after="0"/>
              <w:rPr>
                <w:sz w:val="21"/>
                <w:szCs w:val="21"/>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Sydney</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960" w:type="dxa"/>
            <w:vAlign w:val="bottom"/>
            <w:gridSpan w:val="2"/>
          </w:tcPr>
          <w:p>
            <w:pPr>
              <w:jc w:val="center"/>
              <w:ind w:left="72"/>
              <w:spacing w:after="0" w:line="251" w:lineRule="exact"/>
              <w:rPr>
                <w:sz w:val="20"/>
                <w:szCs w:val="20"/>
                <w:color w:val="auto"/>
              </w:rPr>
            </w:pPr>
            <w:r>
              <w:rPr>
                <w:rFonts w:ascii="Arial" w:cs="Arial" w:eastAsia="Arial" w:hAnsi="Arial"/>
                <w:sz w:val="18"/>
                <w:szCs w:val="18"/>
                <w:color w:val="auto"/>
                <w:w w:val="82"/>
              </w:rPr>
              <w:t>Cheniere</w:t>
            </w:r>
            <w:r>
              <w:rPr>
                <w:rFonts w:ascii="Arial" w:cs="Arial" w:eastAsia="Arial" w:hAnsi="Arial"/>
                <w:sz w:val="29"/>
                <w:szCs w:val="29"/>
                <w:color w:val="auto"/>
                <w:w w:val="82"/>
                <w:vertAlign w:val="superscript"/>
              </w:rPr>
              <w:t>(6)</w:t>
            </w:r>
          </w:p>
        </w:tc>
        <w:tc>
          <w:tcPr>
            <w:tcW w:w="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0" w:type="dxa"/>
            <w:vAlign w:val="bottom"/>
          </w:tcPr>
          <w:p>
            <w:pPr>
              <w:spacing w:after="0"/>
              <w:rPr>
                <w:sz w:val="1"/>
                <w:szCs w:val="1"/>
                <w:color w:val="auto"/>
              </w:rPr>
            </w:pPr>
          </w:p>
        </w:tc>
      </w:tr>
      <w:tr>
        <w:trPr>
          <w:trHeight w:val="216"/>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10</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Seattle</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0" w:type="dxa"/>
            <w:vAlign w:val="bottom"/>
          </w:tcPr>
          <w:p>
            <w:pPr>
              <w:spacing w:after="0"/>
              <w:rPr>
                <w:sz w:val="1"/>
                <w:szCs w:val="1"/>
                <w:color w:val="auto"/>
              </w:rPr>
            </w:pPr>
          </w:p>
        </w:tc>
      </w:tr>
      <w:tr>
        <w:trPr>
          <w:trHeight w:val="216"/>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11</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Solaris</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2014</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0" w:type="dxa"/>
            <w:vAlign w:val="bottom"/>
          </w:tcPr>
          <w:p>
            <w:pPr>
              <w:spacing w:after="0"/>
              <w:rPr>
                <w:sz w:val="1"/>
                <w:szCs w:val="1"/>
                <w:color w:val="auto"/>
              </w:rPr>
            </w:pPr>
          </w:p>
        </w:tc>
      </w:t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12</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Greece</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0" w:type="dxa"/>
            <w:vAlign w:val="bottom"/>
          </w:tcPr>
          <w:p>
            <w:pPr>
              <w:spacing w:after="0"/>
              <w:rPr>
                <w:sz w:val="1"/>
                <w:szCs w:val="1"/>
                <w:color w:val="auto"/>
              </w:rPr>
            </w:pPr>
          </w:p>
        </w:tc>
      </w:tr>
      <w:tr>
        <w:trPr>
          <w:trHeight w:val="257"/>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13</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Geneva</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September 2023</w:t>
            </w:r>
          </w:p>
        </w:tc>
        <w:tc>
          <w:tcPr>
            <w:tcW w:w="0" w:type="dxa"/>
            <w:vAlign w:val="bottom"/>
          </w:tcPr>
          <w:p>
            <w:pPr>
              <w:spacing w:after="0"/>
              <w:rPr>
                <w:sz w:val="1"/>
                <w:szCs w:val="1"/>
                <w:color w:val="auto"/>
              </w:rPr>
            </w:pPr>
          </w:p>
        </w:tc>
      </w:tr>
      <w:tr>
        <w:trPr>
          <w:trHeight w:val="256"/>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14</w:t>
            </w:r>
          </w:p>
        </w:tc>
        <w:tc>
          <w:tcPr>
            <w:tcW w:w="274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Gibraltar</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2016</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-2802255</wp:posOffset>
            </wp:positionV>
            <wp:extent cx="59404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-2502535</wp:posOffset>
            </wp:positionV>
            <wp:extent cx="594042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40425" cy="1625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-2039620</wp:posOffset>
            </wp:positionV>
            <wp:extent cx="59404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-1739265</wp:posOffset>
            </wp:positionV>
            <wp:extent cx="594042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40425" cy="16319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-1276985</wp:posOffset>
            </wp:positionV>
            <wp:extent cx="5940425"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0425" cy="27432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-839470</wp:posOffset>
            </wp:positionV>
            <wp:extent cx="59404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-565150</wp:posOffset>
            </wp:positionV>
            <wp:extent cx="59404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40425" cy="16319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-239395</wp:posOffset>
            </wp:positionV>
            <wp:extent cx="594042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4042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0"/>
        <w:spacing w:after="0"/>
        <w:rPr>
          <w:sz w:val="20"/>
          <w:szCs w:val="20"/>
          <w:color w:val="auto"/>
        </w:rPr>
      </w:pPr>
      <w:r>
        <w:rPr>
          <w:rFonts w:ascii="Arial" w:cs="Arial" w:eastAsia="Arial" w:hAnsi="Arial"/>
          <w:sz w:val="13"/>
          <w:szCs w:val="13"/>
          <w:b w:val="1"/>
          <w:bCs w:val="1"/>
          <w:color w:val="auto"/>
        </w:rPr>
        <w:t>Optional</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3"/>
          <w:szCs w:val="13"/>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6515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p>
    <w:p>
      <w:pPr>
        <w:spacing w:after="0" w:line="51"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2021 - 2024</w:t>
      </w:r>
      <w:r>
        <w:rPr>
          <w:rFonts w:ascii="Arial" w:cs="Arial" w:eastAsia="Arial" w:hAnsi="Arial"/>
          <w:sz w:val="24"/>
          <w:szCs w:val="24"/>
          <w:color w:val="auto"/>
          <w:vertAlign w:val="superscript"/>
        </w:rPr>
        <w:t>(2)</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2023 - 2025</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2027 - 2029</w:t>
      </w:r>
      <w:r>
        <w:rPr>
          <w:rFonts w:ascii="Arial" w:cs="Arial" w:eastAsia="Arial" w:hAnsi="Arial"/>
          <w:sz w:val="24"/>
          <w:szCs w:val="24"/>
          <w:color w:val="auto"/>
          <w:vertAlign w:val="superscript"/>
        </w:rPr>
        <w:t>(3)</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2022 - 2028</w:t>
      </w:r>
      <w:r>
        <w:rPr>
          <w:rFonts w:ascii="Arial" w:cs="Arial" w:eastAsia="Arial" w:hAnsi="Arial"/>
          <w:sz w:val="24"/>
          <w:szCs w:val="24"/>
          <w:color w:val="auto"/>
          <w:vertAlign w:val="superscript"/>
        </w:rPr>
        <w:t>(5)</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2020 - 2021</w:t>
      </w:r>
      <w:r>
        <w:rPr>
          <w:rFonts w:ascii="Arial" w:cs="Arial" w:eastAsia="Arial" w:hAnsi="Arial"/>
          <w:sz w:val="24"/>
          <w:szCs w:val="24"/>
          <w:color w:val="auto"/>
          <w:vertAlign w:val="superscript"/>
        </w:rPr>
        <w:t>(7)</w:t>
      </w:r>
    </w:p>
    <w:p>
      <w:pPr>
        <w:jc w:val="center"/>
        <w:ind w:right="1000"/>
        <w:spacing w:after="0"/>
        <w:rPr>
          <w:sz w:val="20"/>
          <w:szCs w:val="20"/>
          <w:color w:val="auto"/>
        </w:rPr>
      </w:pPr>
      <w:r>
        <w:rPr>
          <w:rFonts w:ascii="Arial" w:cs="Arial" w:eastAsia="Arial" w:hAnsi="Arial"/>
          <w:sz w:val="18"/>
          <w:szCs w:val="18"/>
          <w:color w:val="auto"/>
        </w:rPr>
        <w:t>2025 - 2030</w:t>
      </w:r>
    </w:p>
    <w:p>
      <w:pPr>
        <w:spacing w:after="0" w:line="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p>
    <w:p>
      <w:pPr>
        <w:jc w:val="center"/>
        <w:ind w:right="1000"/>
        <w:spacing w:after="0" w:line="195" w:lineRule="auto"/>
        <w:rPr>
          <w:sz w:val="20"/>
          <w:szCs w:val="20"/>
          <w:color w:val="auto"/>
        </w:rPr>
      </w:pPr>
      <w:r>
        <w:rPr>
          <w:rFonts w:ascii="Arial" w:cs="Arial" w:eastAsia="Arial" w:hAnsi="Arial"/>
          <w:sz w:val="18"/>
          <w:szCs w:val="18"/>
          <w:color w:val="auto"/>
        </w:rPr>
        <w:t>2031</w:t>
      </w:r>
      <w:r>
        <w:rPr>
          <w:rFonts w:ascii="Arial" w:cs="Arial" w:eastAsia="Arial" w:hAnsi="Arial"/>
          <w:sz w:val="29"/>
          <w:szCs w:val="29"/>
          <w:color w:val="auto"/>
          <w:vertAlign w:val="superscript"/>
        </w:rPr>
        <w:t>(8)</w:t>
      </w:r>
    </w:p>
    <w:p>
      <w:pPr>
        <w:jc w:val="center"/>
        <w:ind w:right="1000"/>
        <w:spacing w:after="0" w:line="224" w:lineRule="auto"/>
        <w:rPr>
          <w:sz w:val="20"/>
          <w:szCs w:val="20"/>
          <w:color w:val="auto"/>
        </w:rPr>
      </w:pPr>
      <w:r>
        <w:rPr>
          <w:rFonts w:ascii="Arial" w:cs="Arial" w:eastAsia="Arial" w:hAnsi="Arial"/>
          <w:sz w:val="15"/>
          <w:szCs w:val="15"/>
          <w:color w:val="auto"/>
        </w:rPr>
        <w:t>2028 - 2031</w:t>
      </w:r>
      <w:r>
        <w:rPr>
          <w:rFonts w:ascii="Arial" w:cs="Arial" w:eastAsia="Arial" w:hAnsi="Arial"/>
          <w:sz w:val="24"/>
          <w:szCs w:val="24"/>
          <w:color w:val="auto"/>
          <w:vertAlign w:val="superscript"/>
        </w:rPr>
        <w:t>(9)</w:t>
      </w:r>
    </w:p>
    <w:p>
      <w:pPr>
        <w:jc w:val="center"/>
        <w:ind w:right="1000"/>
        <w:spacing w:after="0"/>
        <w:rPr>
          <w:sz w:val="20"/>
          <w:szCs w:val="20"/>
          <w:color w:val="auto"/>
        </w:rPr>
      </w:pPr>
      <w:r>
        <w:rPr>
          <w:rFonts w:ascii="Arial" w:cs="Arial" w:eastAsia="Arial" w:hAnsi="Arial"/>
          <w:sz w:val="15"/>
          <w:szCs w:val="15"/>
          <w:color w:val="auto"/>
        </w:rPr>
        <w:t>2028 - 2031</w:t>
      </w:r>
      <w:r>
        <w:rPr>
          <w:rFonts w:ascii="Arial" w:cs="Arial" w:eastAsia="Arial" w:hAnsi="Arial"/>
          <w:sz w:val="24"/>
          <w:szCs w:val="24"/>
          <w:color w:val="auto"/>
          <w:vertAlign w:val="superscript"/>
        </w:rPr>
        <w:t>(9)</w:t>
      </w:r>
    </w:p>
    <w:p>
      <w:pPr>
        <w:spacing w:after="0" w:line="289" w:lineRule="exact"/>
        <w:rPr>
          <w:sz w:val="20"/>
          <w:szCs w:val="20"/>
          <w:color w:val="auto"/>
        </w:rPr>
      </w:pPr>
    </w:p>
    <w:p>
      <w:pPr>
        <w:sectPr>
          <w:pgSz w:w="11900" w:h="16838" w:orient="portrait"/>
          <w:cols w:equalWidth="0" w:num="2">
            <w:col w:w="9340" w:space="160"/>
            <w:col w:w="2020"/>
          </w:cols>
          <w:pgMar w:left="160" w:top="51" w:right="219" w:bottom="1440" w:gutter="0" w:footer="0" w:header="0"/>
          <w:type w:val="continuous"/>
        </w:sectPr>
      </w:pPr>
    </w:p>
    <w:p>
      <w:pPr>
        <w:ind w:left="1700" w:right="420" w:hanging="536"/>
        <w:spacing w:after="0" w:line="274" w:lineRule="auto"/>
        <w:tabs>
          <w:tab w:leader="none" w:pos="1700" w:val="left"/>
        </w:tabs>
        <w:numPr>
          <w:ilvl w:val="0"/>
          <w:numId w:val="52"/>
        </w:numPr>
        <w:rPr>
          <w:rFonts w:ascii="Arial" w:cs="Arial" w:eastAsia="Arial" w:hAnsi="Arial"/>
          <w:sz w:val="11"/>
          <w:szCs w:val="11"/>
          <w:color w:val="auto"/>
        </w:rPr>
      </w:pPr>
      <w:r>
        <w:rPr>
          <w:rFonts w:ascii="Arial" w:cs="Arial" w:eastAsia="Arial" w:hAnsi="Arial"/>
          <w:sz w:val="13"/>
          <w:szCs w:val="13"/>
          <w:color w:val="auto"/>
        </w:rPr>
        <w:t xml:space="preserve">GasLog Partners has secured a one-year charter for either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or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(as nominated by the Partnership) commencing in either November or December 2019 at the Partnership's option. The charter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 xml:space="preserve">rate for this one-year charter is lower than the current charter rates of either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or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w:t>
      </w:r>
    </w:p>
    <w:p>
      <w:pPr>
        <w:spacing w:after="0" w:line="202" w:lineRule="exact"/>
        <w:rPr>
          <w:sz w:val="20"/>
          <w:szCs w:val="20"/>
          <w:color w:val="auto"/>
        </w:rPr>
      </w:pPr>
    </w:p>
    <w:p>
      <w:pPr>
        <w:ind w:left="1700" w:right="140" w:hanging="536"/>
        <w:spacing w:after="0" w:line="274" w:lineRule="auto"/>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700" w:hanging="536"/>
        <w:spacing w:after="0" w:line="274" w:lineRule="auto"/>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The vessel is currently operating in the spot market under the Cool Pool.</w:t>
      </w:r>
    </w:p>
    <w:p>
      <w:pPr>
        <w:spacing w:after="0" w:line="134" w:lineRule="exact"/>
        <w:rPr>
          <w:rFonts w:ascii="Arial" w:cs="Arial" w:eastAsia="Arial" w:hAnsi="Arial"/>
          <w:sz w:val="11"/>
          <w:szCs w:val="11"/>
          <w:color w:val="auto"/>
        </w:rPr>
      </w:pPr>
    </w:p>
    <w:p>
      <w:pPr>
        <w:ind w:left="1700" w:right="60" w:hanging="536"/>
        <w:spacing w:after="0" w:line="274" w:lineRule="auto"/>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The vessel began its 18-month charter with Cheniere in December 2018.</w:t>
      </w:r>
    </w:p>
    <w:p>
      <w:pPr>
        <w:spacing w:after="0" w:line="134" w:lineRule="exact"/>
        <w:rPr>
          <w:rFonts w:ascii="Arial" w:cs="Arial" w:eastAsia="Arial" w:hAnsi="Arial"/>
          <w:sz w:val="11"/>
          <w:szCs w:val="11"/>
          <w:color w:val="auto"/>
        </w:rPr>
      </w:pPr>
    </w:p>
    <w:p>
      <w:pPr>
        <w:ind w:left="1700" w:right="320" w:hanging="536"/>
        <w:spacing w:after="0" w:line="274" w:lineRule="auto"/>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the time charter for a period of five years, provided that the charterer gives us advance notice of declaration.</w:t>
      </w:r>
    </w:p>
    <w:p>
      <w:pPr>
        <w:spacing w:after="0" w:line="134" w:lineRule="exact"/>
        <w:rPr>
          <w:rFonts w:ascii="Arial" w:cs="Arial" w:eastAsia="Arial" w:hAnsi="Arial"/>
          <w:sz w:val="11"/>
          <w:szCs w:val="11"/>
          <w:color w:val="auto"/>
        </w:rPr>
      </w:pPr>
    </w:p>
    <w:p>
      <w:pPr>
        <w:ind w:left="1700" w:right="120" w:hanging="536"/>
        <w:spacing w:after="0" w:line="274" w:lineRule="auto"/>
        <w:tabs>
          <w:tab w:leader="none" w:pos="1700" w:val="left"/>
        </w:tabs>
        <w:numPr>
          <w:ilvl w:val="0"/>
          <w:numId w:val="53"/>
        </w:numPr>
        <w:rPr>
          <w:rFonts w:ascii="Arial" w:cs="Arial" w:eastAsia="Arial" w:hAnsi="Arial"/>
          <w:sz w:val="11"/>
          <w:szCs w:val="11"/>
          <w:color w:val="auto"/>
        </w:rPr>
      </w:pPr>
      <w:r>
        <w:rPr>
          <w:rFonts w:ascii="Arial" w:cs="Arial" w:eastAsia="Arial" w:hAnsi="Arial"/>
          <w:sz w:val="13"/>
          <w:szCs w:val="13"/>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fleet include the following:</w:t>
      </w:r>
    </w:p>
    <w:p>
      <w:pPr>
        <w:spacing w:after="0" w:line="239" w:lineRule="exact"/>
        <w:rPr>
          <w:sz w:val="20"/>
          <w:szCs w:val="20"/>
          <w:color w:val="auto"/>
        </w:rPr>
      </w:pPr>
    </w:p>
    <w:p>
      <w:pPr>
        <w:ind w:left="1080" w:right="20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 and have competitive levels of LNG boil-off;</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300" w:hanging="532"/>
        <w:spacing w:after="0" w:line="369"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TFDE propulsion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Bermuda is the flag state of each ship;</w:t>
      </w:r>
    </w:p>
    <w:p>
      <w:pPr>
        <w:spacing w:after="0" w:line="238" w:lineRule="exact"/>
        <w:rPr>
          <w:rFonts w:ascii="Arial" w:cs="Arial" w:eastAsia="Arial" w:hAnsi="Arial"/>
          <w:sz w:val="18"/>
          <w:szCs w:val="18"/>
          <w:color w:val="auto"/>
        </w:rPr>
      </w:pPr>
    </w:p>
    <w:p>
      <w:pPr>
        <w:ind w:left="1080" w:right="5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20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fleet has an average age of 7.3 years, making it one of the youngest in the industry, compared to a current average age of 9.89 years for the global LNG carrier fleet including LNG carriers of all sizes as of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Heather Sally </w:t>
      </w:r>
      <w:r>
        <w:rPr>
          <w:rFonts w:ascii="Arial" w:cs="Arial" w:eastAsia="Arial" w:hAnsi="Arial"/>
          <w:sz w:val="18"/>
          <w:szCs w:val="18"/>
          <w:color w:val="auto"/>
        </w:rPr>
        <w:t>are due to come off charter in October 2019, December 2019, April 2020, June 2020, June 2020 and December 2020, respectively, each plus or minus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30 days. GasLog Partners has secured a one-year charter for either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Methane Alison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Victoria</w:t>
      </w:r>
      <w:r>
        <w:rPr>
          <w:rFonts w:ascii="Arial" w:cs="Arial" w:eastAsia="Arial" w:hAnsi="Arial"/>
          <w:sz w:val="18"/>
          <w:szCs w:val="18"/>
          <w:color w:val="auto"/>
        </w:rPr>
        <w:t>. GasLog Partners continues to pursue opportunities for new multi-year charters with third parties and, on an interim basis, may consider trading the vessels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spot market, pursuing the most advantageous redeployment depending on evolving market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 xml:space="preserve">We currently have the option to purchase from GasLog: (i)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within 36 months after GasLog notifies our board of directors of her acceptance by her charterers and (ii)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within 30 days following receipt of notice from GasLog that the vessel has commenced its multi-year charter (being at least five years in length). In each case, our option to purchase is at fair market value as determined pursuant to the omnibus agreement. Our option to acquire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expired in March 2018, while the options to acquire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expired in April 2018.</w:t>
      </w:r>
    </w:p>
    <w:p>
      <w:pPr>
        <w:spacing w:after="0" w:line="15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See "Item 7. Major Unitholders and Related Party Transactions—B. Related Party Transactions—Omnibus Agreement—Noncompetition" for additional information on the LNG carrier purchase options.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Charter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Capacity</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40" w:type="dxa"/>
            <w:vAlign w:val="bottom"/>
            <w:gridSpan w:val="5"/>
          </w:tcPr>
          <w:p>
            <w:pPr>
              <w:spacing w:after="0"/>
              <w:rPr>
                <w:sz w:val="20"/>
                <w:szCs w:val="20"/>
                <w:color w:val="auto"/>
              </w:rPr>
            </w:pPr>
            <w:r>
              <w:rPr>
                <w:rFonts w:ascii="Arial" w:cs="Arial" w:eastAsia="Arial" w:hAnsi="Arial"/>
                <w:sz w:val="13"/>
                <w:szCs w:val="13"/>
                <w:b w:val="1"/>
                <w:bCs w:val="1"/>
                <w:color w:val="auto"/>
              </w:rPr>
              <w:t>LNG Carrier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8"/>
              </w:rPr>
              <w:t>Year Built</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Charterer</w:t>
            </w:r>
          </w:p>
        </w:tc>
        <w:tc>
          <w:tcPr>
            <w:tcW w:w="16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b w:val="1"/>
                <w:bCs w:val="1"/>
                <w:color w:val="auto"/>
              </w:rPr>
              <w:t>Propulsion</w:t>
            </w:r>
          </w:p>
        </w:tc>
        <w:tc>
          <w:tcPr>
            <w:tcW w:w="16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GasLog Glasgow</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2</w:t>
            </w:r>
          </w:p>
        </w:tc>
        <w:tc>
          <w:tcPr>
            <w:tcW w:w="47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Houston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LP-2S</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May 2028</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55"/>
        </w:numPr>
        <w:rPr>
          <w:rFonts w:ascii="Arial" w:cs="Arial" w:eastAsia="Arial" w:hAnsi="Arial"/>
          <w:sz w:val="11"/>
          <w:szCs w:val="11"/>
          <w:color w:val="auto"/>
        </w:rPr>
      </w:pPr>
      <w:r>
        <w:rPr>
          <w:rFonts w:ascii="Arial" w:cs="Arial" w:eastAsia="Arial" w:hAnsi="Arial"/>
          <w:sz w:val="13"/>
          <w:szCs w:val="13"/>
          <w:color w:val="auto"/>
        </w:rPr>
        <w:t>Indicates the expiration of the initial fixed term.</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seven newbuildings listed below will each qualify as a Five-Year Vessel upon commencement of their respective multi-year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3"/>
              </w:rPr>
              <w:t>Estimated</w:t>
            </w:r>
          </w:p>
        </w:tc>
      </w:tr>
      <w:tr>
        <w:trPr>
          <w:trHeight w:val="148"/>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1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Capacity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9"/>
              </w:rPr>
              <w:t>Charter</w:t>
            </w:r>
          </w:p>
        </w:tc>
      </w:tr>
      <w:tr>
        <w:trPr>
          <w:trHeight w:val="175"/>
        </w:trPr>
        <w:tc>
          <w:tcPr>
            <w:tcW w:w="116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LNG Carrier</w:t>
            </w:r>
          </w:p>
        </w:tc>
        <w:tc>
          <w:tcPr>
            <w:tcW w:w="288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Built</w:t>
            </w:r>
            <w:r>
              <w:rPr>
                <w:rFonts w:ascii="Arial" w:cs="Arial" w:eastAsia="Arial" w:hAnsi="Arial"/>
                <w:sz w:val="20"/>
                <w:szCs w:val="20"/>
                <w:b w:val="1"/>
                <w:bCs w:val="1"/>
                <w:color w:val="auto"/>
                <w:w w:val="97"/>
                <w:vertAlign w:val="superscript"/>
              </w:rPr>
              <w:t>(1)</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(cbm)</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(2)</w:t>
            </w:r>
          </w:p>
        </w:tc>
        <w:tc>
          <w:tcPr>
            <w:tcW w:w="1120" w:type="dxa"/>
            <w:vAlign w:val="bottom"/>
          </w:tcPr>
          <w:p>
            <w:pPr>
              <w:spacing w:after="0"/>
              <w:rPr>
                <w:sz w:val="15"/>
                <w:szCs w:val="15"/>
                <w:color w:val="auto"/>
              </w:rPr>
            </w:pPr>
          </w:p>
        </w:tc>
      </w:tr>
      <w:tr>
        <w:trPr>
          <w:trHeight w:val="210"/>
        </w:trPr>
        <w:tc>
          <w:tcPr>
            <w:tcW w:w="116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3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Hull No. 2131</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Q1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2029</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40" w:type="dxa"/>
            <w:vAlign w:val="bottom"/>
            <w:gridSpan w:val="3"/>
          </w:tcPr>
          <w:p>
            <w:pPr>
              <w:ind w:left="100"/>
              <w:spacing w:after="0"/>
              <w:rPr>
                <w:sz w:val="20"/>
                <w:szCs w:val="20"/>
                <w:color w:val="auto"/>
              </w:rPr>
            </w:pPr>
            <w:r>
              <w:rPr>
                <w:rFonts w:ascii="Arial" w:cs="Arial" w:eastAsia="Arial" w:hAnsi="Arial"/>
                <w:sz w:val="18"/>
                <w:szCs w:val="18"/>
                <w:color w:val="auto"/>
              </w:rPr>
              <w:t>Hull No. 2213</w:t>
            </w:r>
          </w:p>
        </w:tc>
        <w:tc>
          <w:tcPr>
            <w:tcW w:w="1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Q2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2027</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3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Hull No. 2262</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Q3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2027</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40" w:type="dxa"/>
            <w:vAlign w:val="bottom"/>
            <w:gridSpan w:val="3"/>
          </w:tcPr>
          <w:p>
            <w:pPr>
              <w:ind w:left="100"/>
              <w:spacing w:after="0"/>
              <w:rPr>
                <w:sz w:val="20"/>
                <w:szCs w:val="20"/>
                <w:color w:val="auto"/>
              </w:rPr>
            </w:pPr>
            <w:r>
              <w:rPr>
                <w:rFonts w:ascii="Arial" w:cs="Arial" w:eastAsia="Arial" w:hAnsi="Arial"/>
                <w:sz w:val="18"/>
                <w:szCs w:val="18"/>
                <w:color w:val="auto"/>
              </w:rPr>
              <w:t>Hull No. 2300</w:t>
            </w:r>
          </w:p>
        </w:tc>
        <w:tc>
          <w:tcPr>
            <w:tcW w:w="1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Q4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2027</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3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Hull No. 2301</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Q4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2027</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40" w:type="dxa"/>
            <w:vAlign w:val="bottom"/>
            <w:gridSpan w:val="3"/>
          </w:tcPr>
          <w:p>
            <w:pPr>
              <w:ind w:left="100"/>
              <w:spacing w:after="0"/>
              <w:rPr>
                <w:sz w:val="20"/>
                <w:szCs w:val="20"/>
                <w:color w:val="auto"/>
              </w:rPr>
            </w:pPr>
            <w:r>
              <w:rPr>
                <w:rFonts w:ascii="Arial" w:cs="Arial" w:eastAsia="Arial" w:hAnsi="Arial"/>
                <w:sz w:val="18"/>
                <w:szCs w:val="18"/>
                <w:color w:val="auto"/>
              </w:rPr>
              <w:t>Hull No. 2311</w:t>
            </w:r>
          </w:p>
        </w:tc>
        <w:tc>
          <w:tcPr>
            <w:tcW w:w="1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Q2 2021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2028</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3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Hull No. 2312</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Q3 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0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2028</w:t>
            </w:r>
          </w:p>
        </w:tc>
        <w:tc>
          <w:tcPr>
            <w:tcW w:w="112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358"/>
        </w:trPr>
        <w:tc>
          <w:tcPr>
            <w:tcW w:w="1380" w:type="dxa"/>
            <w:vAlign w:val="bottom"/>
            <w:gridSpan w:val="2"/>
          </w:tcPr>
          <w:p>
            <w:pPr>
              <w:ind w:left="1160"/>
              <w:spacing w:after="0"/>
              <w:rPr>
                <w:sz w:val="20"/>
                <w:szCs w:val="20"/>
                <w:color w:val="auto"/>
              </w:rPr>
            </w:pPr>
            <w:r>
              <w:rPr>
                <w:rFonts w:ascii="Arial" w:cs="Arial" w:eastAsia="Arial" w:hAnsi="Arial"/>
                <w:sz w:val="11"/>
                <w:szCs w:val="11"/>
                <w:color w:val="auto"/>
              </w:rPr>
              <w:t>(1)</w:t>
            </w:r>
          </w:p>
        </w:tc>
        <w:tc>
          <w:tcPr>
            <w:tcW w:w="3440" w:type="dxa"/>
            <w:vAlign w:val="bottom"/>
            <w:gridSpan w:val="3"/>
          </w:tcPr>
          <w:p>
            <w:pPr>
              <w:ind w:left="320"/>
              <w:spacing w:after="0"/>
              <w:rPr>
                <w:sz w:val="20"/>
                <w:szCs w:val="20"/>
                <w:color w:val="auto"/>
              </w:rPr>
            </w:pPr>
            <w:r>
              <w:rPr>
                <w:rFonts w:ascii="Arial" w:cs="Arial" w:eastAsia="Arial" w:hAnsi="Arial"/>
                <w:sz w:val="13"/>
                <w:szCs w:val="13"/>
                <w:color w:val="auto"/>
              </w:rPr>
              <w:t>Expected delivery quarters are presented.</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7"/>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700" w:hanging="536"/>
        <w:spacing w:after="0"/>
        <w:tabs>
          <w:tab w:leader="none" w:pos="1700" w:val="left"/>
        </w:tabs>
        <w:numPr>
          <w:ilvl w:val="0"/>
          <w:numId w:val="56"/>
        </w:numPr>
        <w:rPr>
          <w:rFonts w:ascii="Arial" w:cs="Arial" w:eastAsia="Arial" w:hAnsi="Arial"/>
          <w:sz w:val="11"/>
          <w:szCs w:val="11"/>
          <w:color w:val="auto"/>
        </w:rPr>
      </w:pPr>
      <w:r>
        <w:rPr>
          <w:rFonts w:ascii="Arial" w:cs="Arial" w:eastAsia="Arial" w:hAnsi="Arial"/>
          <w:sz w:val="13"/>
          <w:szCs w:val="13"/>
          <w:color w:val="auto"/>
        </w:rPr>
        <w:t>Charter expiration to be determined based upon actual date of delivery.</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Following the Series C Preference Units raise completed on November 15, 2018, we have raised additional net proceeds of approximately $96.3 million which will be used for general partnership purposes, which may include funding future vessel acquisitions. We currently expect that this will include future acquisitions from GasLog.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We provide the services of all of our ships under multi-year time charters, except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which is trading in the Cool Pool.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Our subsidiaries that own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have entered into separate time charters for each vessel with MSL. Our subsidiaries that own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have entered into separate time charters for the vessels with a subsidiary of Shell.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also managed and operated by a subsidiary of Shell. The subsidiary that owns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has entered into a master time charter with MSL that also includes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a GasLog vessel. The subsidiaries that own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are party to a master time charter with MSL. A separate confirmation memorandum has been issued for each ship to specify the individual commercial charter terms.</w:t>
      </w:r>
    </w:p>
    <w:p>
      <w:pPr>
        <w:spacing w:after="0" w:line="19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subsidiaries that own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have entered into separate time charters with subsidiaries of Cheniere and Trafigura, respectively. If we exercise our option to purchase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or the </w:t>
      </w:r>
      <w:r>
        <w:rPr>
          <w:rFonts w:ascii="Arial" w:cs="Arial" w:eastAsia="Arial" w:hAnsi="Arial"/>
          <w:sz w:val="16"/>
          <w:szCs w:val="16"/>
          <w:i w:val="1"/>
          <w:iCs w:val="1"/>
          <w:color w:val="auto"/>
        </w:rPr>
        <w:t>GasLog Houston</w:t>
      </w:r>
      <w:r>
        <w:rPr>
          <w:rFonts w:ascii="Arial" w:cs="Arial" w:eastAsia="Arial" w:hAnsi="Arial"/>
          <w:sz w:val="16"/>
          <w:szCs w:val="16"/>
          <w:color w:val="auto"/>
        </w:rPr>
        <w:t>, or, once offered by GasLog, Hull No. 2131, such LNG carriers will be chartered to Shell. If we exercise our option to purchase Hull Nos. 2213 or 2262 once offered by GasLog, such LNG carriers will be chartered to Centrica. If we exercise our option to purchase Hull Nos. 2300, 2301, 2311 or 2312 once offered by GasLog, such LNG carriers will be chartered to Cheniere.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began upon their acquisition by GasLog in April 2014 and will terminate in April 2020 plus or minus 30 days and October 2019 plus or minus 30 days, respectively.</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began upon their acquisition by GasLog on June 4, 2014, June 11, 2014 and June 25, 2014, respectively, and will terminate in December 2019 plus or minus 30 days, June 2020 plus or minus 30 days and December 2020 plus or minus 30 days, respectively.</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began upon delivery of the ship to GasLog in 2013 and will terminate in June 2021. Shell has two consecutive five-year extension options which, if exercised, would extend the charter for a period of either five or ten years beyond the initial charter expiration date. The charter requires that the charterer provide the owner with advance notice of its exercise of any extension option and no such nomination has been received within the required notice period. Accordingly,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is due to come off charter on June 2021 plus or minus 30 days.</w:t>
      </w:r>
    </w:p>
    <w:p>
      <w:pPr>
        <w:spacing w:after="0" w:line="166" w:lineRule="exact"/>
        <w:rPr>
          <w:sz w:val="20"/>
          <w:szCs w:val="20"/>
          <w:color w:val="auto"/>
        </w:rPr>
      </w:pPr>
    </w:p>
    <w:p>
      <w:pPr>
        <w:ind w:right="500" w:firstLine="348"/>
        <w:spacing w:after="0" w:line="256"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began upon delivery of the ships and will terminate in 2026, 2023 and 2023, respectively.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MSL has the option to extend the term of the charter for up to five years and, for the </w:t>
      </w:r>
      <w:r>
        <w:rPr>
          <w:rFonts w:ascii="Arial" w:cs="Arial" w:eastAsia="Arial" w:hAnsi="Arial"/>
          <w:sz w:val="18"/>
          <w:szCs w:val="18"/>
          <w:i w:val="1"/>
          <w:iCs w:val="1"/>
          <w:color w:val="auto"/>
        </w:rPr>
        <w:t xml:space="preserve">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w:t>
      </w:r>
      <w:r>
        <w:rPr>
          <w:rFonts w:ascii="Arial" w:cs="Arial" w:eastAsia="Arial" w:hAnsi="Arial"/>
          <w:sz w:val="18"/>
          <w:szCs w:val="18"/>
          <w:color w:val="auto"/>
        </w:rPr>
        <w:t>, MSL has the option to extend the term of the charter for up to eight years. Each charter requires that the charterer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owner with advance notice of its exercise of any extension option.</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term of the time charter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began upon delivery of the ship to GasLog in 2014 following an initial period during which the ship operated under a maiden voyage time charter, the purpose of which was to facilitate completion by Shell of an operational discharge inspection of the ship. The charter requires that the charterer provides the owner with advance notice of its exercise of any extension option and no such nomination has been received within the required notice period. Accordingly,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due to come off charter in June 2021 plus or minus 30 days.</w:t>
      </w:r>
    </w:p>
    <w:p>
      <w:pPr>
        <w:spacing w:after="0" w:line="16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began upon its acquisition by GasLog in 2015 and will terminate in 2024. MSL has the option to extend the term of the time charter for an additional period of either three years beyond the initial charter expiration date.</w:t>
      </w:r>
    </w:p>
    <w:p>
      <w:pPr>
        <w:spacing w:after="0" w:line="186" w:lineRule="exact"/>
        <w:rPr>
          <w:sz w:val="20"/>
          <w:szCs w:val="20"/>
          <w:color w:val="auto"/>
        </w:rPr>
      </w:pPr>
    </w:p>
    <w:p>
      <w:pPr>
        <w:ind w:right="420" w:firstLine="348"/>
        <w:spacing w:after="0" w:line="331" w:lineRule="auto"/>
        <w:rPr>
          <w:sz w:val="20"/>
          <w:szCs w:val="20"/>
          <w:color w:val="auto"/>
        </w:rPr>
      </w:pPr>
      <w:r>
        <w:rPr>
          <w:rFonts w:ascii="Arial" w:cs="Arial" w:eastAsia="Arial" w:hAnsi="Arial"/>
          <w:sz w:val="16"/>
          <w:szCs w:val="16"/>
          <w:color w:val="auto"/>
        </w:rPr>
        <w:t xml:space="preserve">The term of the time charter of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on its delivery to Cheniere in December 2018 and will terminate in June 2020. Cheniere has the option to extend the term of the time charter for two further periods of one hundred and eighty days each at specified rates.</w:t>
      </w:r>
    </w:p>
    <w:p>
      <w:pPr>
        <w:spacing w:after="0" w:line="14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 xml:space="preserve">The term of the time charter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began on its delivery to Trafigura in August 2018 and will terminate in December 2021. Trafigura has various options to extend the term of the time charter for between one and seven years at specified rates.</w:t>
      </w:r>
    </w:p>
    <w:p>
      <w:pPr>
        <w:spacing w:after="0" w:line="186"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 xml:space="preserve">A one-year charter for either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(as nominated by the Partnership) has been secured with Trafigura commencing in either November or December 2019 at the Partnership's option. The charter rate for this one-year charter is lower than the current charter rates of either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terms and periods for fixtures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vary from charter to charter, as is the nature of trading in the spot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"Hire rate" refers to the basic payment from the customer for use of the ship. Under all of our time charters, the hire rate is payable to us monthly in advance in U.S. dollars.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 xml:space="preserve">The hire rates provided for under the time charters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include only one component that is a fixed daily amount that increases during any option period.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Under the time charter for the </w:t>
      </w:r>
      <w:r>
        <w:rPr>
          <w:rFonts w:ascii="Arial" w:cs="Arial" w:eastAsia="Arial" w:hAnsi="Arial"/>
          <w:sz w:val="16"/>
          <w:szCs w:val="16"/>
          <w:i w:val="1"/>
          <w:iCs w:val="1"/>
          <w:color w:val="auto"/>
        </w:rPr>
        <w:t>GasLog Seattle</w:t>
      </w:r>
      <w:r>
        <w:rPr>
          <w:rFonts w:ascii="Arial" w:cs="Arial" w:eastAsia="Arial" w:hAnsi="Arial"/>
          <w:sz w:val="16"/>
          <w:szCs w:val="16"/>
          <w:color w:val="auto"/>
        </w:rPr>
        <w:t>, the hire rate for an initial period of up to two years, at the charterer's option, was set at the prevailing market rate for a comparable ship, subject to a cap and a floor. Following such initial period, the hire rate is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pass-through fully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Under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the vessel is managed by a subsidiary of Shell and such entity covers operating costs. Therefore, the hire rate includes only one component that is a fixed daily amount equivalent to the capital cost component.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hire rates for each of our ships may be reduced if the ship does not perform to certain of its specifications or if we breach our obligations under the charter.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Our time charters provide an annual allowance period for us to schedule preventative maintenance work on the ship.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74"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Ships are considered to be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225" w:lineRule="exact"/>
        <w:rPr>
          <w:sz w:val="20"/>
          <w:szCs w:val="20"/>
          <w:color w:val="auto"/>
        </w:rPr>
      </w:pPr>
    </w:p>
    <w:p>
      <w:pPr>
        <w:jc w:val="center"/>
        <w:ind w:right="520"/>
        <w:spacing w:after="0" w:line="369" w:lineRule="auto"/>
        <w:rPr>
          <w:sz w:val="20"/>
          <w:szCs w:val="20"/>
          <w:color w:val="auto"/>
        </w:rPr>
      </w:pPr>
      <w:r>
        <w:rPr>
          <w:rFonts w:ascii="Arial" w:cs="Arial" w:eastAsia="Arial" w:hAnsi="Arial"/>
          <w:sz w:val="15"/>
          <w:szCs w:val="15"/>
          <w:color w:val="auto"/>
        </w:rPr>
        <w:t xml:space="preserve">Under our time charters, we are responsible for the technical management of the majority of our ships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is managed by Shell). Technical management includes the engagement and provision of qualified crews, employment of armed guards for transport in certain high-risk areas, maintaining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wholly-owned subsidiary of GasLog. See "Item 7. Major Unitholders and Related Party Transactions—B. Related Party Transactions—Ship Management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for a period exceeding 90 consecutive days, or for more than 90 days in any one-year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Cool Pool</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On May 18, 2018, the Partnership, through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to market its vessel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February 21, 2019, the Cool Pool consists of 16 modern efficient TFDE LNG carriers in the 153,500-170,000 cbm range. The Cool Pool charters the vessels for periods up to one year in duration as agents for the owners, who each remain responsible for the technical and commercial operation of their vessels and performance of the contracts.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Cool Pool focuses on charters of 12 months' duration or less. The scheduling of employment opportunities in excess of 12 months will remain the mandate of the respective vessel owner. If a Cool Pool vessel is scheduled by an owner for a charter that exceeds 12 months in duration, such vessel will cease to be part of the Cool Pool. Gross pool revenues represent time charter revenues earned by GasLog vessels participating in the pool under charter agreements where GasLog or GasLog Partners contracts directly with charterers. Revenue is recognised on a monthly basis given that, when the vessel is made available and services are provided to the charterer during the period, the amount can be estimated reliably and collection of the related revenue is reasonably assured.</w:t>
      </w:r>
    </w:p>
    <w:p>
      <w:pPr>
        <w:spacing w:after="0" w:line="16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Voyage expenses and commissions include the net allocation from the pool which represents GasLog's or GasLog Partners' share of the net revenues earned from the other pool participants' vessels less the other participants' share of the net revenues earned by GasLog's or GasLog Partners' vessels included in the pool. Each participant's share of the net pool revenues is based on the number of pool points attributable to its vessels and the number of days such vessels participated in the pool.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shipping industry relationships and reputation for customer service, and technical ability and reputation for operation of highly specialized ships. In addition, through the </w:t>
      </w:r>
      <w:r>
        <w:rPr>
          <w:rFonts w:ascii="Arial" w:cs="Arial" w:eastAsia="Arial" w:hAnsi="Arial"/>
          <w:sz w:val="18"/>
          <w:szCs w:val="18"/>
          <w:i w:val="1"/>
          <w:iCs w:val="1"/>
          <w:color w:val="auto"/>
        </w:rPr>
        <w:t>GasLog Shanghai</w:t>
      </w:r>
      <w:r>
        <w:rPr>
          <w:rFonts w:ascii="Arial" w:cs="Arial" w:eastAsia="Arial" w:hAnsi="Arial"/>
          <w:sz w:val="18"/>
          <w:szCs w:val="18"/>
          <w:color w:val="auto"/>
        </w:rPr>
        <w:t>, we operate in the spot market that covers short-term charters of one year or less. In the future, more of our vessels may operate in the more volatile spot market.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6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right="360" w:firstLine="348"/>
        <w:spacing w:after="0" w:line="314" w:lineRule="auto"/>
        <w:rPr>
          <w:sz w:val="20"/>
          <w:szCs w:val="20"/>
          <w:color w:val="auto"/>
        </w:rPr>
      </w:pPr>
      <w:r>
        <w:rPr>
          <w:rFonts w:ascii="Arial" w:cs="Arial" w:eastAsia="Arial" w:hAnsi="Arial"/>
          <w:sz w:val="15"/>
          <w:szCs w:val="15"/>
          <w:color w:val="auto"/>
        </w:rPr>
        <w:t>We do not directly employ any on-shore or seagoing employees. The services of our executive officers and other employees are provided pursuant to the administrative services agreement, under which we pay an annual fee. As of December 31, 2018, GasLog employed (directly and through ship managers) approximately 1,517 seafaring staff who serve on GasLog's owned and managed vessels (including our fleet) as well as 160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5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2018, GasLog's retention rate was 96% for senior seagoing officers, 98% for other seagoing officers and 94% for shore staff.</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our time charters, including automatic periodic adjustment and cost review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66"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w:t>
      </w:r>
    </w:p>
    <w:p>
      <w:pPr>
        <w:spacing w:after="0" w:line="19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or "ABS". Each ship has been awarded International Safety Management ("ISM") certification and is currently "in class".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fleet:</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Dry-docking</w:t>
            </w:r>
          </w:p>
        </w:tc>
      </w:tr>
      <w:tr>
        <w:trPr>
          <w:trHeight w:val="148"/>
        </w:trPr>
        <w:tc>
          <w:tcPr>
            <w:tcW w:w="6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Ship Name</w:t>
            </w:r>
          </w:p>
        </w:tc>
        <w:tc>
          <w:tcPr>
            <w:tcW w:w="65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Special Survey</w:t>
            </w:r>
          </w:p>
        </w:tc>
      </w:tr>
      <w:tr>
        <w:trPr>
          <w:trHeight w:val="20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maintain hull and machinery insurance on all our ships against marine and war risks in amounts that we believe to be prudent to cover such risks. In addition, we maintain protection and indemnity insurance on all our ships up to the maximum insurable limit available at any given time. We also maintain cyber insurance coverage on all of our ships.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180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two days with a maximum of 12 days (which takes it up to the loss of hire deductible of 14 days) and the hire rate agreed as per the loss of hire insurance.</w:t>
      </w:r>
    </w:p>
    <w:p>
      <w:pPr>
        <w:spacing w:after="0" w:line="201"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6"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186"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insurance coverage for cyber-related risks. Our policy covers physical damage to any of our vessels up to $50 million per vessel with a fleet aggregate limit of $150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GasLog provides intensive onboard training for its officers and crews to instill a culture of the highest operational and safety standards. During 2018, GasLog's fleet experienced three recordable injuries and six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7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Moreover, additional legislation or regulation applicable to the operation of our ships that may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implemented in the future, such as in response to a serious marine incident like the 2010 Deepwater Horizon oil spill in the Gulf of Mexico, could negatively affect our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GasLog LNG Services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2019,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20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were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are being phased in between 2012 and 2020, and by establishing new tiers of nitrogen oxide emission standards for new marine diesel engines, depending on their date of installation. Additionally, more stringent emission standards could apply in coastal areas designated as Emission Control Areas, or "ECAs". For example, "Tier III" emission standards apply in North American and U.S. Caribbean Sea ECAs to all marine diesel engines installed on a ship constructed after January 1, 2016. The European Union 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spacing w:after="0" w:line="178"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that there is in place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201"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as far as possible all up-to-date standards of existing international maritime labour conventions and recommendations, as well as the fundamental principles to be found in other international labour conventions.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the U.S. Pollution Act of 1990, or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OPA currently limits the liability of responsible parties with respect to ships over 3,000 gross tons to the greater of $2,200 per gross ton or $18,796,800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3"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 billion per incident for our ships. We also believe that we will be in substantial compliance with OPA, CERCLA and all applicable state regulations in the ports where our ships will call.</w:t>
      </w:r>
    </w:p>
    <w:p>
      <w:pPr>
        <w:spacing w:after="0" w:line="169"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6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or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98"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by new vessels constructed on or after December 1, 2013 and existing vessels as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their first dry-docking after January 1, 2016. Several states have adopted legislation and regulations relating to the permitting and management of ballast water discharges.</w:t>
      </w:r>
    </w:p>
    <w:p>
      <w:pPr>
        <w:spacing w:after="0" w:line="186"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4" w:lineRule="exact"/>
        <w:rPr>
          <w:sz w:val="20"/>
          <w:szCs w:val="20"/>
          <w:color w:val="auto"/>
        </w:rPr>
      </w:pPr>
    </w:p>
    <w:p>
      <w:pPr>
        <w:ind w:right="60" w:firstLine="351"/>
        <w:spacing w:after="0" w:line="317" w:lineRule="auto"/>
        <w:rPr>
          <w:sz w:val="20"/>
          <w:szCs w:val="20"/>
          <w:color w:val="auto"/>
        </w:rPr>
      </w:pPr>
      <w:r>
        <w:rPr>
          <w:rFonts w:ascii="Arial" w:cs="Arial" w:eastAsia="Arial" w:hAnsi="Arial"/>
          <w:sz w:val="15"/>
          <w:szCs w:val="15"/>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69"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International Paris Agreement, which entered into force on November 4, 2016, establishes a framework for reducing global greenhouse gas emissions designed to take effect by 2020,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as they implement the Paris Agreement.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7"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these claims would be covered by insurance, subject to customary deductibles. However, those claims, even if lacking merit, could result in the expenditure of significant financial and managerial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Our Subsidiaries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100" w:firstLine="348"/>
        <w:spacing w:after="0" w:line="317" w:lineRule="auto"/>
        <w:rPr>
          <w:sz w:val="20"/>
          <w:szCs w:val="20"/>
          <w:color w:val="auto"/>
        </w:rPr>
      </w:pPr>
      <w:r>
        <w:rPr>
          <w:rFonts w:ascii="Arial" w:cs="Arial" w:eastAsia="Arial" w:hAnsi="Arial"/>
          <w:sz w:val="15"/>
          <w:szCs w:val="15"/>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5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2019 tax year, unless our general partner exercises the "GasLog option".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6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2018, our U.S. source gross transportation tax was $0.6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Jurisdictions and Additional Information</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additional information regarding the taxation of our subsidiaries, see Note 2 to our audited consolidated financial statements included elsewhere in this annual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GasLog Partners is a publicly traded limited partnership formed in the Marshall Islands on January 23, 2014. The diagram below depicts our simplified organizational and ownership structure as of 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123190</wp:posOffset>
            </wp:positionV>
            <wp:extent cx="5863590" cy="39090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359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41"/>
        <w:spacing w:after="0" w:line="331" w:lineRule="auto"/>
        <w:rPr>
          <w:sz w:val="20"/>
          <w:szCs w:val="20"/>
          <w:color w:val="auto"/>
        </w:rPr>
      </w:pPr>
      <w:r>
        <w:rPr>
          <w:rFonts w:ascii="Arial" w:cs="Arial" w:eastAsia="Arial" w:hAnsi="Arial"/>
          <w:sz w:val="16"/>
          <w:szCs w:val="16"/>
          <w:color w:val="auto"/>
        </w:rPr>
        <w:t>As of February 21, 2019, we have 15 subsidiaries, one is incorporated in the Marshall Islands and 14 are incorporated in Bermuda. Of our subsidiaries, 14 own vessels in our fleet. Our subsidiaries are wholly owned by us. A list of our subsidiaries is set forth in Exhibit 8.1 to this annual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i w:val="1"/>
          <w:iCs w:val="1"/>
          <w:color w:val="auto"/>
        </w:rPr>
        <w:t>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4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Prior to the closing of the IPO, we did not own any vessels. Our IFRS Common Control Reported Results represent the results of GasLog Partners as an entity under the common control of GasLog. The following discussion assumes that our business was operated as a separate entity prior to its inception.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the transfer of three vessels from GasLog to the Partnership in May, July and October 2017, respectively, and the transfer of two vessels from GasLog to the Partnership in April and November 2018, respectively, were each accounted for as a reorganization of entities under common control under IFRS. Accordingly, the annual consolidated financial statements and the accompanying discussion under "Results of Operations" include the accounts of the Partnership and its subsidiaries assuming that they are consolidated from the date of their incorporation by GasLog, as they were under the common control of GasLog.</w:t>
      </w:r>
    </w:p>
    <w:p>
      <w:pPr>
        <w:spacing w:after="0" w:line="178"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manage our business and analyze and report our results of operations in a single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multi-year charters. Our fleet of 14 LNG carriers, which have fixed charter terms expiring between 2019 and 2026, except for one which is currently operating in the spot market, were contributed to us by, or acquired by us from, GasLog, which controls us through its ownership of our general partner. The charter on two of the vessels expire in 2019, one of which has been rechartered for one year, and five further charters will expire in 2020. On redelivery, the vessels may operate in the short-term spot market until we secure new multi-year time charters.</w:t>
      </w:r>
    </w:p>
    <w:p>
      <w:pPr>
        <w:spacing w:after="0" w:line="20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fleet consists of 14 LNG carriers, including nine vessels with modern TFDE propulsion technology and five modern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6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One of our vessels currently operates in the spot market through the Cool Pool, an LNG carrier pooling arrangement operated by GasLog and Golar LNG Ltd. We intend to grow our fleet through further acquisitions of LNG carriers from GasLog and third parties. However, we cannot assure you that we will make any particular acquisition or that, as a consequence, we will successfully grow our distributions per common unit. Among other things, our ability to acquire additional LNG carriers will be dependent upon our ability to raise additional equity and debt financing.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You Should Consider When Evaluating Our Historical Financial Performance and Assessing Our Future Prospects</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consider the following facts when evaluating our historical results of operations and assessing our future prospects:</w:t>
      </w:r>
    </w:p>
    <w:p>
      <w:pPr>
        <w:spacing w:after="0" w:line="239" w:lineRule="exact"/>
        <w:rPr>
          <w:sz w:val="20"/>
          <w:szCs w:val="20"/>
          <w:color w:val="auto"/>
        </w:rPr>
      </w:pPr>
    </w:p>
    <w:p>
      <w:pPr>
        <w:ind w:left="1080" w:hanging="532"/>
        <w:spacing w:after="0" w:line="29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fleet consists of 14 LNG carriers. The charters on two of the vessels expire in 2019, one of which has been rechartered for one year, and five further charters expire in 2020, including four Steam Vessels. </w:t>
      </w:r>
      <w:r>
        <w:rPr>
          <w:rFonts w:ascii="Arial" w:cs="Arial" w:eastAsia="Arial" w:hAnsi="Arial"/>
          <w:sz w:val="16"/>
          <w:szCs w:val="16"/>
          <w:color w:val="auto"/>
        </w:rPr>
        <w:t>We continue to pursue opportunities for new multi-year charters with third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these vessels, but we may have difficulty in securing new charters at attractive rates and durations. In the interim, we may have exposure to the volatile spot market which is highly competitive and subject to significant price fluctuations. If we are unable to re-deploy a vessel, we will not receive any revenues from that vessel and we will be required to pay expenses necessary to maintain the vessel in proper operating condition as well as to service the debt attached to that vessel.</w:t>
      </w:r>
    </w:p>
    <w:p>
      <w:pPr>
        <w:spacing w:after="0" w:line="200" w:lineRule="exact"/>
        <w:rPr>
          <w:rFonts w:ascii="Arial" w:cs="Arial" w:eastAsia="Arial" w:hAnsi="Arial"/>
          <w:sz w:val="16"/>
          <w:szCs w:val="16"/>
          <w:color w:val="auto"/>
        </w:rPr>
      </w:pPr>
    </w:p>
    <w:p>
      <w:pPr>
        <w:ind w:left="1080" w:right="60" w:hanging="532"/>
        <w:spacing w:after="0" w:line="302" w:lineRule="auto"/>
        <w:tabs>
          <w:tab w:leader="none" w:pos="1080" w:val="left"/>
        </w:tabs>
        <w:numPr>
          <w:ilvl w:val="0"/>
          <w:numId w:val="6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The size of our fleet continues to change. </w:t>
      </w:r>
      <w:r>
        <w:rPr>
          <w:rFonts w:ascii="Arial" w:cs="Arial" w:eastAsia="Arial" w:hAnsi="Arial"/>
          <w:sz w:val="15"/>
          <w:szCs w:val="15"/>
          <w:color w:val="auto"/>
        </w:rPr>
        <w:t>Our historical results of operations, as reported under common control accounting, reflect changes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size and composition of our fleet due to vessel deliveries and acquisitions. For example, each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GasLog Sydney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Seattle </w:t>
      </w:r>
      <w:r>
        <w:rPr>
          <w:rFonts w:ascii="Arial" w:cs="Arial" w:eastAsia="Arial" w:hAnsi="Arial"/>
          <w:sz w:val="15"/>
          <w:szCs w:val="15"/>
          <w:color w:val="auto"/>
        </w:rPr>
        <w:t>were delivered from the shipyard during 2013, and the</w:t>
      </w:r>
      <w:r>
        <w:rPr>
          <w:rFonts w:ascii="Arial" w:cs="Arial" w:eastAsia="Arial" w:hAnsi="Arial"/>
          <w:sz w:val="15"/>
          <w:szCs w:val="15"/>
          <w:i w:val="1"/>
          <w:iCs w:val="1"/>
          <w:color w:val="auto"/>
        </w:rPr>
        <w:t xml:space="preserve"> Methane Rita Andrea</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Jane Elizabeth</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were acquired by GasLog during 2014 and did not have any historical operations in GasLog prior to that time. In addition, pursuant to the omnibus agreement, (i) we have the option to purchase from GasLog two additional LNG carriers at fair market value as determined in accordance with the provisions of the omnibus agreement, and</w:t>
      </w:r>
    </w:p>
    <w:p>
      <w:pPr>
        <w:ind w:left="1080" w:right="220"/>
        <w:spacing w:after="0" w:line="295" w:lineRule="auto"/>
        <w:rPr>
          <w:rFonts w:ascii="Arial" w:cs="Arial" w:eastAsia="Arial" w:hAnsi="Arial"/>
          <w:sz w:val="15"/>
          <w:szCs w:val="15"/>
          <w:color w:val="auto"/>
        </w:rPr>
      </w:pPr>
      <w:r>
        <w:rPr>
          <w:rFonts w:ascii="Arial" w:cs="Arial" w:eastAsia="Arial" w:hAnsi="Arial"/>
          <w:sz w:val="16"/>
          <w:szCs w:val="16"/>
          <w:color w:val="auto"/>
        </w:rPr>
        <w:t>(ii) GasLog will be required to offer to us for purchase at fair market value, as determined in accordance with the omnibus agreement, any LNG carrier with a cargo capacity greater than 75,000 cbm engaged in oceangoing LNG transportation that GasLog owns or acquires if charters are secured with committed terms of five full years or more. Furthermore, we may grow through the acquisition in the future of other vessels or other LNG infrastructure assets from other parties as part of our growth strategy.</w:t>
      </w:r>
    </w:p>
    <w:p>
      <w:pPr>
        <w:spacing w:after="0" w:line="182" w:lineRule="exact"/>
        <w:rPr>
          <w:rFonts w:ascii="Arial" w:cs="Arial" w:eastAsia="Arial" w:hAnsi="Arial"/>
          <w:sz w:val="15"/>
          <w:szCs w:val="15"/>
          <w:color w:val="auto"/>
        </w:rPr>
      </w:pPr>
    </w:p>
    <w:p>
      <w:pPr>
        <w:ind w:left="1080" w:right="20" w:hanging="532"/>
        <w:spacing w:after="0" w:line="288"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future capital needs are uncertain and we may need to raise additional funds in the future. </w:t>
      </w:r>
      <w:r>
        <w:rPr>
          <w:rFonts w:ascii="Arial" w:cs="Arial" w:eastAsia="Arial" w:hAnsi="Arial"/>
          <w:sz w:val="16"/>
          <w:szCs w:val="16"/>
          <w:color w:val="auto"/>
        </w:rPr>
        <w:t>We may need to raise additional capital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replace and expand the operating capacity of our fleet, fund our operations and meet our debt service obligations. Our future funding requirements will depend on many factors, including the cost and timing of vessel acquisitions, the cost of retrofitting or modifying existing ships as a result of technological advances, changes in applicable environmental or other regulations or standards, customer requirements or otherwise. Our ability to obtain bank financing or to access the capital markets for future offerings may be limited by our financial condition at the time of any such financing or offering, as well as by adverse market conditions that are beyond our control. If we raise additional funds by issuing equity or equity-linked securities, our unitholders may experience dilution or reduced distributions per unit. Inability to secure bank financing or access the capital markets could have a material adverse effect on our business, or financial condition, results of operations and cash flows, including cash available for distributions to our unitholders.</w:t>
      </w:r>
    </w:p>
    <w:p>
      <w:pPr>
        <w:spacing w:after="0" w:line="186"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historical results of operations reflect administrative costs that are not necessarily indicative of future costs. </w:t>
      </w:r>
      <w:r>
        <w:rPr>
          <w:rFonts w:ascii="Arial" w:cs="Arial" w:eastAsia="Arial" w:hAnsi="Arial"/>
          <w:sz w:val="18"/>
          <w:szCs w:val="18"/>
          <w:color w:val="auto"/>
        </w:rPr>
        <w:t>The aggregate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payable for services under the administrative services agreement, commercial management agreements and ship management agreements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91" w:lineRule="auto"/>
        <w:rPr>
          <w:sz w:val="20"/>
          <w:szCs w:val="20"/>
          <w:color w:val="auto"/>
        </w:rPr>
      </w:pPr>
      <w:r>
        <w:rPr>
          <w:rFonts w:ascii="Arial" w:cs="Arial" w:eastAsia="Arial" w:hAnsi="Arial"/>
          <w:sz w:val="16"/>
          <w:szCs w:val="16"/>
          <w:color w:val="auto"/>
        </w:rPr>
        <w:t xml:space="preserve">the year ended December 31, 2018 were $7.2 million, $5.0 million and $10.4 million, respectively. As the fees under the administrative services agreement relate to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only since their acquisitions from GasLog in April and November 2018, respectively, the fees and expenses payable pursuant to this agreement will likely be higher for future periods than reflected in our results of operations for the year ended December 31, 2018. Additionally, these fees and expenses will be payable without regard to our business, results of operations and financial condition. For a description of the administrative services agreement, commercial management agreements and ship management agreements, see "Item 7. Major Unitholders and Related Party Transactions—B. Related Party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As referenced in "Item 3. Key Information—Risk Factors", oil prices exhibited significant volatility during the final months of 2018. Oil prices had risen steadily during 2018, pushed higher by an encouraging macroeconomic backdrop and positive supply and demand fundamentals. Oil prices subsequently posted multi-year highs in October 2018. However, oil prices then declined significantly on concerns of a global economic slow down and its potential impact on the oil markets, as well as perceptions of oversupply as a result of growing inventories.</w:t>
      </w:r>
    </w:p>
    <w:p>
      <w:pPr>
        <w:spacing w:after="0" w:line="166"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After a period of strength during the third quarter of 2018 following strong demand in both Asia and Europe, global gas prices, as measured by the Title Transfer Facility ("TTF") and the Japan Korea Marker ("JKM") price indices in North West Europe and North Asia respectively, were also weaker in the fourth quarter of 2018 as a result of the fall in oil prices, ample gas inventory levels and warmer than normal temperatures at the start of the winter in both regions. On the contrary, spot U.S. natural gas prices rose sharply towards the end of 2018, reflecting inventory drawdowns during a colder than normal start to the winter in the U.S.</w:t>
      </w:r>
    </w:p>
    <w:p>
      <w:pPr>
        <w:spacing w:after="0" w:line="20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concerns over oil market oversupply and deteriorating macroeconomic fundamentals seen in late 2018 have partially reversed in early 2019, resulting in a modest recovery in oil prices. However, international gas prices have continued to fall due to weaker than normal winter demand, healthy inventory levels in key demand regions and ample supply of both piped gas and LNG. As of February 21, 2019, Brent crude oil was quoted at approximately $67.1 per barrel compared to approximately $65.4 per barrel at this time last year, while international natural gas prices were quoted at approximately $5.9 per million British thermal units ("MMBtu") for TTF compared to $5.8 per MMBtu at the same time last year, and at approximately $6.9 per MMBtu for JKM compared to $8.3 per MMBtu at the same time last year. In the U.S., spot Henry Hub natural gas price of $2.7 per MMBtu as of February 21, 2019 was unchanged year-on-year.</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believe that the differential between Asian market gas prices and those in the Atlantic Basin and U.S. markets, where Henry Hub gas pricing averaged (on a volume weighted basis) $3.26 per MMBtu in 2018, is a significant driver of spot global LNG trade, as the differential incentivizes natural gas marketers and buyers to ship LNG over longer distances, such as between sources of LNG in the Atlantic Basin and markets in Asia. The recent declines in Asian and European gas prices referenced above have resulted in a differential not currently wide enough to incentivize inter-basin trade. However, gas price futures imply that the inter-basin arbitrage opportunity will exist periodically in coming years, potentially leading to longer voyages for LNG cargoes and, all else equal, increasing the demand for spot LNG shipping.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global seaborne trade of LNG was 326 mtpa in 2018, with LNG supply projected by Wood Mackenzie to rise 12% to approximately 366 mtpa in 2019. This expected growth is driven by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ramp-up of new supply commissioned in 2018 and new capacity scheduled onstream in 2019. During the second half of 2018, the Ichthys, Corpus Christi Train 1, Sabine Pass Train 5 and Yamal Train 3 projects were brought onstream with a combined production capacity size of 23.7 mtpa. According to Wood Mackenzie, new supply additions during 2019 will come mainly from the U.S., including Elba Island, Cameron Trains 1 and 2, Freeport Trains 1 and 2 (combined total of 26.5 mtpa), new projects in Australia (Prelude 3.6 mtpa) and Russia (2.2 mtpa).</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During 2018, there was renewed momentum in the planning and approval of new LNG production capacity. A total of 21 mtpa of capacity from the LNG Canada, Corpus Christi Train 3 and the Greater Tortue Ahmeyim projects reached a final investment decision ("FID") in 2018. In February 2019, the Golden Pass (16 mpta) project in the U.S. also reached FID. Based on Wood Mackenzie data and our estimates, approximately 57 mtpa of new capacity is expected to come onstream between 2020 and 2024. This includes the third trains at both Cameron and Freeport in the U.S., first LNG production from Mozambique's Coral project, Corpus Christi Train 3, LNG Canada, Tangguh Train 3, Greater Tortue Ahmeyim and Golden Pass.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Demand for LNG continued to grow strongly in 2018, primarily as a result of economic growth, energy and environmental policy, energy security considerations and declines in domestic natural gas production in certain countries. According to Wood Mackenzie, LNG demand increased by 9%, from 288 mtpa in 2017 to 313 mtpa in 2018. China's LNG imports registered another year of significant growth, rising by 41% to 54 mtpa in 2018 following 44% growth in 2017. During 2018, China overtook Japan as the largest importer of piped gas and LNG globally. Other established markets where LNG demand grew strongly in 2018 included India, South Korea, Pakistan and Thailand. During 2018, Bangladesh, Panama and Russia (Kaliningrad) also began importing LNG, bringing the total number of LNG importing countries to 43.</w:t>
      </w:r>
    </w:p>
    <w:p>
      <w:pPr>
        <w:spacing w:after="0" w:line="198"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increase in the total number of importing nations has been facilitated by the versatility in energy demand, declining domestic natural gas production in certain countries, energy policies resulting in a switch to natural gas from fuels with higher carbon emissions, a desire to enhance energy security through diversification of supply and the versatility and attractive economics of FSRUs. These are either custom-built vessels or LNG carriers that have been converted to operate as FSRUs and offer cheaper and quicker access to LNG markets. FSRUs remain a growing sector of the LNG trade and they increase the number of potential LNG markets and trade routes. In 2018, Bangladesh inaugurated its first FSRU terminal. Several other countries are steadily progressing FSRU projects, including Greece, Hong Kong and Australia.</w:t>
      </w:r>
    </w:p>
    <w:p>
      <w:pPr>
        <w:spacing w:after="0" w:line="198"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According to Poten, there are currently 30 FSRUs on the water, with a further ten being delivered over the next two to three years. However, the availability of on-the-water FSRUs without charters and increasingly competitive tenders have put FSRU charter rates and financial returns under pressure. In addition, newbuild FSRU costs are at historical lows, with a comparable all-in cost to a modern TFDE conversion. While this continues to be the case, the competitive advantage of an FSRU conversion is predominantly 'speed-to-market', targeting projects where permanent land-based LNG regasification terminals cannot be delivered in time to meet gas import requirements.</w:t>
      </w:r>
    </w:p>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2018 there was a significant increase in the number of long-term LNG off-take contracts announced, a positive indicator for future LNG demand. According to Wood Mackenzie and company disclosures, 95 mtpa of long-term (defined as greater than 5 years duration) off-take commitments have been agreed since the beginning of 2018, compared to 25 mtpa in 2017. The nature of the LNG marketplace continued to evolve in 2018. According to the Financial Times, the top three independent commodity traders increased their delivered LNG volumes by almost 40% to 31 million tonnes in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taking market share from traditional participants such as national oil companies and major integrated oil companies.</w:t>
      </w:r>
    </w:p>
    <w:p>
      <w:pPr>
        <w:spacing w:after="0" w:line="225" w:lineRule="exact"/>
        <w:rPr>
          <w:sz w:val="20"/>
          <w:szCs w:val="20"/>
          <w:color w:val="auto"/>
        </w:rPr>
      </w:pPr>
    </w:p>
    <w:p>
      <w:pPr>
        <w:ind w:right="100" w:firstLine="348"/>
        <w:spacing w:after="0" w:line="285" w:lineRule="auto"/>
        <w:rPr>
          <w:sz w:val="20"/>
          <w:szCs w:val="20"/>
          <w:color w:val="auto"/>
        </w:rPr>
      </w:pPr>
      <w:r>
        <w:rPr>
          <w:rFonts w:ascii="Arial" w:cs="Arial" w:eastAsia="Arial" w:hAnsi="Arial"/>
          <w:sz w:val="16"/>
          <w:szCs w:val="16"/>
          <w:color w:val="auto"/>
        </w:rPr>
        <w:t>The agreements signed in 2018 and early 2019 included Trafigura purchasing 1 mtpa from Cheniere Marketing, LLC for 15 years beginning in 2019. Tokyo Gas Co. Ltd. and Centrica LNG Company Limited entered into a Heads of Agreement for a combined 2.6 mtpa over 20 years from the Area 1 Project in Mozambique. Polish Oil and Gas Company has contracted to receive 2.0 mtpa over 20 years from both Venture Global LNG's proposed Calcasieu Pass and Plaquemines LNG export facilities and Port Arthur LNG, LLC. Taiwan's state owned oil and gas company, CPC Corporation, has contracted to take 2.0 mtpa over 25 years from Cheniere commencing in 2021. In September 2018, Qatargas announced an agreement to sell approximately 3.4 mtpa of LNG to PetroChina International Company Limited over 22 years. Sumitomo Corporation of the Americas contracted to receive 2.2 mtpa over 20 years from the Freeport project (FLNG Liquefaction 4) in the U.S. The partners in the LNG Canada project (Korea Gas Corporation, Mitsubishi Corporation, Petronas, PetroChina Company Limited and Shell) are expected to market LNG production from the project either as portfolio volumes or market for onward sale, with Toho Gas Co., Ltd. and Tokyo Gas signing for a combined 0.9 mtpa over 15 and 13 years, respectively, from Mitsubishi Corporation. Vitol Asia Pte. Ltd. recently signed for 0.8 mtpa of LNG supply over 15 years from Petronas LNG Ltd., which is primarily expected to be sourced from the LNG Canada project. Petronas LNG Ltd. announced in December 2018 an agreement to purchase 1.1 mtpa from Cheniere Energy Partners, L.P. for a term of 20 years. In late 2018, the Rovuma LNG project offshore Mozambique secured off-take commitments from its joint venture partners, a key milestone ahead of a probable FID in 2019. In early 2019, the Mozambique Area 1 partners announced long-term offtake agreements with CNOOC (1.5 mtpa over 13 years), Shell (2 mtpa for 13 years), Bharat Petroleum (1 mtpa over 15 years) and Pertamina (1 mtpa over 20 years). Finally, the Golden Pass project in the U.S. reached FID in February 2019, with its partners Qatar Petroleum and ExxonMobil expected to market LNG production from the project as portfolio volumes.</w:t>
      </w:r>
    </w:p>
    <w:p>
      <w:pPr>
        <w:spacing w:after="0" w:line="17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Several of these projects and others continue to make progress towards taking FID.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beginning of 2018 spot rates for TFDE LNG carriers, as quoted by Clarksons, stood at $82,000 per day, displaying continued strength following significant demand for spot LNG cargoes during a colder than anticipated Northern Hemisphere winter and strong demand growth in North Asia, especially China and South Korea. Rates subsequently declined, reaching a low of $38,000 per day in April 2018, as the seasonal fall in Northern Hemisphere gas demand coincided with new LNG carrier capacity entering the market, unexpected supply outages from existing LNG plants and a delay in commissioning new LNG supply capacity. Spot rates increased counter-seasonally in mid-2018 and strengthened further in the second half of the year. Warmer than anticipated temperatures during the Northern Hemisphere summer led to increased gas demand for power generation, driving an increase in LNG imports. In addition, China sought to front load its LNG imports during the third quarter of 2018 to avoid a repeat of the 2017/2018 winter, when a significant number of LNG cargoes were procured at short notice to meet high demand. The combination of these factors, as well as high levels of utilization across the global LNG fleet, saw an unprecedented spike in rates for available spot LNG vessels in the final months of 2018, resulting in all-time highs of $190,000 per day for a TFDE carrier. Rates started to moderate late in the year and continued to fall in early 2019 as prompt shipping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availability increased following a weaker than normal winter demand in the later stages of the Northern Hemisphere winter and the delivery of 53 new LNG carriers in 2018. Clarksons currently estimates spot rates for TFDEs at $60,000/day.</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number of spot charterers increased during 2018, with Poten estimating that 58 companies chartered at least one ship in 2018, compared to 55 in 2017. However, many charterers fixed vessels on multi-month and/or multi-voyage terms ahead of anticipated tightness in LNG shipping markets during the Northern Hemisphere winter. As a result, average charter durations rose from 32 days in 2017 to 45 days in 2018. Consequently, the total number of spot fixtures declined in 2018, with Poten estimating that 326 spot fixtures (defined as 180 days or less in duration) of LNG vessels in the year, compared with 339 in 2017. However, short and medium term fixtures (defined by Poten as 181 days to seven years in duration) increased from 19 in 2017 to 77 in 2018. Structural medium-term tightness in the LNG carrier market combined with a recent increase in spot vessel availability could result in this trend continuing.</w:t>
      </w:r>
    </w:p>
    <w:p>
      <w:pPr>
        <w:spacing w:after="0" w:line="174"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Looking ahead, in our view, further LNG demand growth, new sources of supply coming onstream and a slower pace of LNG carrier fleet growth in 2019 compared to 2018 should combine to create the potential for LNG shipping spot rates to stage a strong recovery from recent seasonal falls. However, there is no guarantee that LNG shipping spot rates will stay at or near current levels or return to the levels experienced in the fourth quarter of 2018, which could harm our business, financial condition, results of operations and cash flows, including cash available for distributions to unitholders.</w:t>
      </w:r>
    </w:p>
    <w:p>
      <w:pPr>
        <w:spacing w:after="0" w:line="166"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 xml:space="preserve">Over the longer term, if construction and commissioning of the new LNG production facilities referenced above in </w:t>
      </w:r>
      <w:r>
        <w:rPr>
          <w:rFonts w:ascii="Arial" w:cs="Arial" w:eastAsia="Arial" w:hAnsi="Arial"/>
          <w:sz w:val="16"/>
          <w:szCs w:val="16"/>
          <w:b w:val="1"/>
          <w:bCs w:val="1"/>
          <w:i w:val="1"/>
          <w:iCs w:val="1"/>
          <w:color w:val="auto"/>
        </w:rPr>
        <w:t>"LNG Supply"</w:t>
      </w:r>
      <w:r>
        <w:rPr>
          <w:rFonts w:ascii="Arial" w:cs="Arial" w:eastAsia="Arial" w:hAnsi="Arial"/>
          <w:sz w:val="16"/>
          <w:szCs w:val="16"/>
          <w:color w:val="auto"/>
        </w:rPr>
        <w:t xml:space="preserve"> proceed as expected by Wood Mackenzie, the incremental supply of LNG will increase the demand for LNG shipping capacity. Although some of the shipping required to transport this additional volume has been contracted and is currently under construction, encouraging levels of tendering activity are being noted and consensus LNG demand forecasts continue to suggest a potential shortfall of LNG shipping capacity during the middle of the next decade. However, 2018 newbuild order activity has reduced the potential shortfall in shipping capacity we had previously identified for early in the next decade.</w:t>
      </w:r>
    </w:p>
    <w:p>
      <w:pPr>
        <w:spacing w:after="0" w:line="16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there is a broad consensus that the LNG shipping market will be tight over the next two to three years, delays to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According to Poten, as of February 11, 2019, the global fleet of dedicated LNG carriers (&gt;65,000 cbm) consisted of 493 vessels with 105 LNG carriers on order, of which 66 have long-term charters. Poten estimates that a total of 38 LNG carriers are due to be delivered in 2019, with 24 of these in the first half of the year.</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2018, 61 orders for LNG carriers were placed, as estimated by Poten. Newbuild ordering saw a significant increase in 2018 relative to previous years, as industry participants reacted to the positive outlook for LNG demand and supply, the increase in long-term chartering activity referenced above, and attractive shipyard prices for newbuild vessels, although these prices have started to increase while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still being relatively low by historical standards. We believe that the growing global demand for natural gas, especially in Asia, increasing supply from the U.S. and other regions, and other LNG market trends, including increased trading of LNG leading to transportation inefficiencies with cargoes spending more time on the water,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72"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supply and demand for LNG shipping services and the number of vessels available in the short-term or spot LNG carrier charter market;</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 for the six vessels with charters expiring in 2019 and 2020 which includes all five of our Steam vessels;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expand our fleet by accessing the drop-down pipeline at GasLog and/or by acquiring LNG infrastructure assets from third parties, and to raise the equity and debt financing required to fund any such acquisition;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25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customers and our ability to increase the number of our customers through the development of new working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effective and efficient technical and operational management of our ships;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99"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the LNG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hire rate earned by our ships including any of our ships that may trade in the spot market if we are unable to secure new multi-year charters;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 ;</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such time charters through an annual escalation of the operating cost component of the daily hire rate. We believe these adjustment provisions can provide substantial protection against significant operating cost increases. See "Item 4. Information on the Partnership—B. Business Overview—Ship Time Charters—Hire Rate Provisions" for a more detailed discussion of the hire rate provisions of our charter contracts.</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LNG carriers are employed through time charter or spot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vessel participating in the Cool Pool receives a net allocation from the pool, which is recognized separately in the consolidated statement of profit or loss and represents GasLog Partners' share of the net revenues earned from the other pool participants' vessels less the other participants' share of the net revenues earned by GasLog Partners' vessels included in the pool. Each participant's share of the net pool revenues is based on the number of pool points attributable to its vessels and the number of days such vessels participated in the pool.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w:t>
      </w:r>
    </w:p>
    <w:p>
      <w:pPr>
        <w:spacing w:after="0" w:line="225"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Costs</w:t>
      </w:r>
    </w:p>
    <w:p>
      <w:pPr>
        <w:spacing w:after="0" w:line="225" w:lineRule="exact"/>
        <w:rPr>
          <w:sz w:val="20"/>
          <w:szCs w:val="20"/>
          <w:color w:val="auto"/>
        </w:rPr>
      </w:pPr>
    </w:p>
    <w:p>
      <w:pPr>
        <w:jc w:val="both"/>
        <w:ind w:right="4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However, as described above, the hire rate provisions of our time charters are intended to reflect the operating costs borne by us. The charters on four vessels in our fleet contain provisions that are designed to reduce our exposure to increases in operating costs, including review provisions and cost pass-through provisions. Ship operating expenses are recognized as expenses when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5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580" w:firstLine="351"/>
        <w:spacing w:after="0" w:line="369" w:lineRule="auto"/>
        <w:rPr>
          <w:sz w:val="20"/>
          <w:szCs w:val="20"/>
          <w:color w:val="auto"/>
        </w:rPr>
      </w:pPr>
      <w:r>
        <w:rPr>
          <w:rFonts w:ascii="Arial" w:cs="Arial" w:eastAsia="Arial" w:hAnsi="Arial"/>
          <w:sz w:val="15"/>
          <w:szCs w:val="15"/>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and amortization of loan issuance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Derivatives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gain or loss derived from the movement in the fair value of the derivatives (interest rate swaps and forward foreign exchange contracts) that have not been designated as hedges, the ineffective portion of changes in the fair value of the derivatives that meet hedge accounting criteria, realized gain/loss on derivatives held for trading, and the amortization of the cumulative unrealized loss for the derivatives in respect of which hedge accounting was discontinued, are presented as gain or loss on derivatives in our consolidated statements of profit or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Our results set forth below are derived from the annual consolidated financial statements of the Partnership. Prior to the closing of our IPO, we did not own any vessels. The presentation assumes that our business was operated as a separate entity prior to its inception. The transfer of the three initial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the transfer of three vessels from GasLog to the Partnership in May, July and October 2017, respectively, and the transfer of two vessels from GasLog to the Partnership in April and November 2018, respectively, were each accounted for as reorganizations of entities under common control under IFRS. The consolidated financial statements include the accounts of the Partnership and its subsidiaries assuming that they are consolidated from the date of their incorporation by GasLog as they were under the common control of GasLog.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Eight of our LNG carriers,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were delivered and immediately commenced their time charters in January, March, May and December 2013, July 2014, March,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and October 2016, respectively.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commenced their time charters upon their acquisition by GasLog in April 2014.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commenced their time charters upon their acquisition by GasLog in June 2014.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commenced her time charter upon her acquisition by GasLog in March 2015.</w:t>
      </w:r>
    </w:p>
    <w:p>
      <w:pPr>
        <w:spacing w:after="0" w:line="16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2017 compared to the year ended December 31, 2018</w:t>
      </w: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58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5"/>
              </w:rPr>
              <w:t>IFRS Common Control Reported</w:t>
            </w:r>
          </w:p>
        </w:tc>
      </w:t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9"/>
              </w:rPr>
              <w:t>Results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2018</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8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3"/>
              </w:rPr>
              <w:t>(in thousands of U.S. dollars)</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371,146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352,541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(18,605)</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(81,089)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(81,590)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w:t>
            </w: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198,727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179,435</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(19,292)</w:t>
            </w:r>
          </w:p>
        </w:tc>
        <w:tc>
          <w:tcPr>
            <w:tcW w:w="160" w:type="dxa"/>
            <w:vAlign w:val="bottom"/>
          </w:tcPr>
          <w:p>
            <w:pPr>
              <w:spacing w:after="0"/>
              <w:rPr>
                <w:sz w:val="18"/>
                <w:szCs w:val="18"/>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1,019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1,394</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Profit for the year</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134,745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115,513</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(19,232)</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Profit attributable to Partnership's operations</w:t>
            </w: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94,117</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102,597</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8,480</w:t>
            </w:r>
          </w:p>
        </w:tc>
      </w:tr>
      <w:tr>
        <w:trPr>
          <w:trHeight w:val="20"/>
        </w:trPr>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80" w:right="40" w:hanging="539"/>
        <w:spacing w:after="0" w:line="274" w:lineRule="auto"/>
        <w:tabs>
          <w:tab w:leader="none" w:pos="2280" w:val="left"/>
        </w:tabs>
        <w:numPr>
          <w:ilvl w:val="0"/>
          <w:numId w:val="64"/>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results of GAS-fourteen Ltd. and GAS-twenty seven Ltd. acquired on April 26, 2018 and November 14, 2018, respectively, from GasLog. See Note 1 to our audited consolidated financial statements included elsewhere in this annual report.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During the year ended December 31, 2017, we had an average of 14.0 vessels operating in our owned fleet having 5,091 operating days while during the year ended December 31, 2018, we had an average of 14.0 vessels operating in our owned fleet having 4,910 operating days.</w:t>
      </w:r>
    </w:p>
    <w:p>
      <w:pPr>
        <w:spacing w:after="0" w:line="1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$18.6 million, or 5.0%, from $371.1 million for the year ended December 31, 2017 to 352.5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2018. The decrease is mainly attributable to a net decrease of $13.0 million due to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which ended in May, June and September 2018, respectively. Following the expiry of their initial charters, the</w:t>
      </w:r>
      <w:r>
        <w:rPr>
          <w:rFonts w:ascii="Arial" w:cs="Arial" w:eastAsia="Arial" w:hAnsi="Arial"/>
          <w:sz w:val="16"/>
          <w:szCs w:val="16"/>
          <w:i w:val="1"/>
          <w:iCs w:val="1"/>
          <w:color w:val="auto"/>
        </w:rPr>
        <w:t xml:space="preserve"> GasLog Shanghai </w:t>
      </w:r>
      <w:r>
        <w:rPr>
          <w:rFonts w:ascii="Arial" w:cs="Arial" w:eastAsia="Arial" w:hAnsi="Arial"/>
          <w:sz w:val="16"/>
          <w:szCs w:val="16"/>
          <w:color w:val="auto"/>
        </w:rPr>
        <w:t>has been trading on the spot market through the Cool Pool,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began a new, multi-year charter with Trafigura in August 2018 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began a new 18-month charter with Cheniere in December 2018. There was also a decrease in net revenues of $6.0 million due to the increased off-hire days for three scheduled dry-dockings performed during 2018 as opposed to one scheduled dry-docking during 2017, partially set-off by an increase of</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$0.4 million from the remaining fleet. As a result, the average daily hire rate decreased from $72,902 for the year ended December 31, 2017 to $71,801 for the year ended December 31, 2018.</w:t>
      </w:r>
    </w:p>
    <w:p>
      <w:pPr>
        <w:spacing w:after="0" w:line="193"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 million during the year ended December 31, 2017 and $3.7 million during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2018. The $3.7 million of net pool allocation in the year ended December 31, 2018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GasLog Partners recognized gross revenues and gross voyage expenses and commissions of $11.5 million and</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 xml:space="preserve">$0.4 million, respectively, from the operation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which entered the Cool Pool in May 2018 (December 31, 2017: $0.0 million). GasLog Partners' total net pool performance is presented below:</w:t>
      </w:r>
    </w:p>
    <w:p>
      <w:pPr>
        <w:spacing w:after="0" w:line="24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80" w:type="dxa"/>
            <w:vAlign w:val="bottom"/>
            <w:gridSpan w:val="4"/>
          </w:tcPr>
          <w:p>
            <w:pPr>
              <w:ind w:left="82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360" w:type="dxa"/>
            <w:vAlign w:val="bottom"/>
          </w:tcPr>
          <w:p>
            <w:pPr>
              <w:spacing w:after="0"/>
              <w:rPr>
                <w:sz w:val="12"/>
                <w:szCs w:val="12"/>
                <w:color w:val="auto"/>
              </w:rPr>
            </w:pPr>
          </w:p>
        </w:tc>
        <w:tc>
          <w:tcPr>
            <w:tcW w:w="1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w w:val="99"/>
              </w:rPr>
              <w:t>December 31, 2017</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w w:val="99"/>
              </w:rPr>
              <w:t>December 31, 2018</w:t>
            </w:r>
          </w:p>
        </w:tc>
        <w:tc>
          <w:tcPr>
            <w:tcW w:w="160" w:type="dxa"/>
            <w:vAlign w:val="bottom"/>
          </w:tcPr>
          <w:p>
            <w:pPr>
              <w:spacing w:after="0"/>
              <w:rPr>
                <w:sz w:val="12"/>
                <w:szCs w:val="12"/>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11,475</w:t>
            </w:r>
          </w:p>
        </w:tc>
        <w:tc>
          <w:tcPr>
            <w:tcW w:w="160" w:type="dxa"/>
            <w:vAlign w:val="bottom"/>
          </w:tcPr>
          <w:p>
            <w:pPr>
              <w:spacing w:after="0"/>
              <w:rPr>
                <w:sz w:val="18"/>
                <w:szCs w:val="18"/>
                <w:color w:val="auto"/>
              </w:rPr>
            </w:pPr>
          </w:p>
        </w:tc>
      </w:tr>
      <w:tr>
        <w:trPr>
          <w:trHeight w:val="20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6"/>
              </w:rPr>
              <w:t>Pool gross voyage expenses and commissions (included in Voyage expenses and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 Partners' total net pool performance</w:t>
            </w: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$2.4 million, or 51.1%, from $4.7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2017 to $7.1 million for the year ended December 31, 2018. The increase in voyage expenses and commissions is attributable to an increase in bunker consumption costs of $2.8 million for the periods during which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not operating under a time-charter mainly during the second half of 2018, partially offset by a decrease in broker commissions of $0.4 million.</w:t>
      </w:r>
    </w:p>
    <w:p>
      <w:pPr>
        <w:spacing w:after="0" w:line="166"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decreased by $2.7 million, or 3.8%, from $71.4 million for the year ended December 31, 2017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$68.7 million for the year ended December 31, 2018. The decrease in vessel operating costs is mainly attributable to a decrease in crew costs, mainly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decreased crew travelling and training costs, and a decrease in insurance expenses.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decreased from $15,041 per day during the year ended December 31, 2017 to $14,484 per day during the year ended December 31, 2018.</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$4.1 million, or 26.8%, from $15.3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to $19.4 million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2018. The increase in general and administrative expenses is mainly attributable to an increase in administrative expenses of</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$3.9 million for services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October 20, 2017,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 26, 2018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 November 14, 2018.</w:t>
      </w:r>
    </w:p>
    <w:p>
      <w:pPr>
        <w:spacing w:after="0" w:line="16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$1.2 million, or 1.8%, from $65.1 million for the year ended December 31, 2017 to $66.3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The increase in financial costs is attributable to a $2.6 million increase in interest expense on loans, partially set-off by the decrease in amortization of loan fees of $1.3 million and a decrease in other financial expenses of $0.1 million. The decrease in amortization of loan fees was mainly driven by a decrease of $2.0 million relating to the pre-payment of the Junior Tranche of the credit agreements entered into on February 18, 2016 ("Five Vessel Refinancing") in April 2017 (GAS-twenty seven Ltd.) and January 2018 (GAS-nineteen Ltd., GAS-twenty Ltd. and GAS-twenty one Ltd., partially offset by the $0.9 million write-off of the unamortized fees associated with the term loan facility with GasLog that was prepaid and terminated in March 2018. During the year ended December 31, 2017, we had an average of $1,487.2 million of outstanding indebtedness, with a weighted average interest rate of 3.7%, compared to an average of $1,306.5 million of outstanding indebtedness with a weighted average interest rate of 4.4% during the year ended December 31, 2018.</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Gain/(loss) on derivatives: </w:t>
      </w:r>
      <w:r>
        <w:rPr>
          <w:rFonts w:ascii="Arial" w:cs="Arial" w:eastAsia="Arial" w:hAnsi="Arial"/>
          <w:sz w:val="16"/>
          <w:szCs w:val="16"/>
          <w:color w:val="auto"/>
        </w:rPr>
        <w:t>Gain on derivatives decreased by $0.1 million, from a gain of $0.1 million for the year ended December 31, 2017 to $0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decrease is attributable to a $3.6 million decrease in gain from the mark-to-market valuation of the derivatives which were carried at fair value through profit or loss, which reflected a gain of $2.2 million for the year ended December 31, 2017 as compared to a loss of $1.4 million for the year ended December 31, 2018, which was partially offset by a decrease of $3.5 million in realized loss on derivatives held for trading.</w:t>
      </w:r>
    </w:p>
    <w:p>
      <w:pPr>
        <w:spacing w:after="0" w:line="16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decreased by $19.2 million, or 14.3%, from $134.7 million for the year ended December 31, 2017 to $115.5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2018, as a result of the aforementioned factors.</w:t>
      </w:r>
    </w:p>
    <w:p>
      <w:pPr>
        <w:spacing w:after="0" w:line="18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for the year increased by $8.5 million, or 9.0% from $94.1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2017 to $102.6 million for the year ended December 31, 2018. The increase is mainly attributable to the increase in revenues of $66.9 million as a result of the increased operating days (3,764 operating days in the year ended December 31, 2017 as compared to 4,476 operating days in the year ended December 31, 2018), which was partially offset by a $19.0 million decrease in revenues from the terminated charter parties and the increased off-hire days, an increase of $14.1 million in net financial costs (comprising financial costs, net of loss on derivatives and financial income), mainly resulting from the increased weighted average outstanding debt and the increased weighted average interest rate, and an increase of $3.9 million in administrative fees resulting from the acquisitions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October 20, 2017,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 26, 2018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 November 14, 2018.</w:t>
      </w:r>
    </w:p>
    <w:p>
      <w:pPr>
        <w:spacing w:after="0" w:line="17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Specifically, the profit attributable to the Partnership was mainly affected by (a) an increase in revenues of $66.5 million contributed by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partially offset by a decrease in revenues of $13.0 million from the expiry of the initial charters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a further decrease of $6.0 million due to the increased off-hire days from the scheduled dry-dockings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as compared to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in 2017, (b) an increase in the net pool allocation of $3.3 million,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8"/>
        <w:spacing w:after="0" w:line="284" w:lineRule="auto"/>
        <w:tabs>
          <w:tab w:leader="none" w:pos="23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increase in voyage expenses and commissions attributable to the Partnership of $3.7 million, mainly attributable to the voyage expenses of the vessels operating in the spot market, (d) an increase in operating expenses attributable to the Partnership of $5.8 million, mainly attributable to the operating expenses of the aforementioned acquired vessels less savings on the remaining vessels and (e) an increase in depreciation expense attributable to the Partnership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$15.0 million, also resulting primarily from the aforementioned acquisitions.</w:t>
      </w:r>
    </w:p>
    <w:p>
      <w:pPr>
        <w:spacing w:after="0" w:line="21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general and administrative expenses attributable to the Partnership of $5.0 million, which is primarily attributable to an increase in administrative fees and (b) an increase in financial costs attributable to the Partnership of $15.3 million, mainly due to increased financial costs with respect to the aggregate outstanding debt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after their respective drop-downs to the Partnership.</w:t>
      </w:r>
    </w:p>
    <w:p>
      <w:pPr>
        <w:spacing w:after="0" w:line="166"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above discussion of revenues, net pool allocation, voyage expenses and commissions, operating expenses, general and administrative expenses and financial costs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2016 compared to the year ended December 31, 2017</w:t>
      </w: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580" w:type="dxa"/>
            <w:vAlign w:val="bottom"/>
            <w:gridSpan w:val="7"/>
          </w:tcPr>
          <w:p>
            <w:pPr>
              <w:jc w:val="center"/>
              <w:ind w:right="140"/>
              <w:spacing w:after="0"/>
              <w:rPr>
                <w:sz w:val="20"/>
                <w:szCs w:val="20"/>
                <w:color w:val="auto"/>
              </w:rPr>
            </w:pPr>
            <w:r>
              <w:rPr>
                <w:rFonts w:ascii="Arial" w:cs="Arial" w:eastAsia="Arial" w:hAnsi="Arial"/>
                <w:sz w:val="13"/>
                <w:szCs w:val="13"/>
                <w:b w:val="1"/>
                <w:bCs w:val="1"/>
                <w:color w:val="auto"/>
                <w:w w:val="95"/>
              </w:rPr>
              <w:t>IFRS Common Control Reported</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9"/>
              </w:rPr>
              <w:t>Results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700" w:type="dxa"/>
            <w:vAlign w:val="bottom"/>
          </w:tcPr>
          <w:p>
            <w:pPr>
              <w:ind w:left="40"/>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80" w:type="dxa"/>
            <w:vAlign w:val="bottom"/>
            <w:gridSpan w:val="7"/>
          </w:tcPr>
          <w:p>
            <w:pPr>
              <w:jc w:val="center"/>
              <w:ind w:right="14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317,489</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371,146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53,657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(63,076)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(71,369)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(70,290)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(13,206)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(15,311)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166,584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198,727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32,143</w:t>
            </w:r>
          </w:p>
        </w:tc>
        <w:tc>
          <w:tcPr>
            <w:tcW w:w="0" w:type="dxa"/>
            <w:vAlign w:val="bottom"/>
          </w:tcPr>
          <w:p>
            <w:pPr>
              <w:spacing w:after="0"/>
              <w:rPr>
                <w:sz w:val="1"/>
                <w:szCs w:val="1"/>
                <w:color w:val="auto"/>
              </w:rPr>
            </w:pP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(65,122)</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(Loss)/gain on derivatives</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(6,837)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134,745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35,036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b w:val="1"/>
                <w:bCs w:val="1"/>
                <w:color w:val="auto"/>
                <w:w w:val="79"/>
              </w:rPr>
              <w:t>77,270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94,117</w:t>
            </w:r>
          </w:p>
        </w:tc>
        <w:tc>
          <w:tcPr>
            <w:tcW w:w="1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16,847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80" w:hanging="539"/>
        <w:spacing w:after="0" w:line="274" w:lineRule="auto"/>
        <w:tabs>
          <w:tab w:leader="none" w:pos="2280" w:val="left"/>
        </w:tabs>
        <w:numPr>
          <w:ilvl w:val="0"/>
          <w:numId w:val="66"/>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results of GAS-fourteen Ltd. and GAS-twenty seven Ltd. acquired on April 26, 2018 and November 14, 2018, respectively, from GasLog. See Note 1 to our audited consolidated financial statements included elsewhere in this annual report.</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year ended December 31, 2016, we had an average of 12.2 vessels operating in our owned fleet having 4,411 operating days while during the year ended December 31, 2017, we had an average of 14 vessels operating in our owned fleet having 5,091 operating days.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by $53.6 million, or 16.9%, from $317.5 million for the year ended December 31, 2016 to $371.1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The increase is mainly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 xml:space="preserve">attributable to an increase of $54.1 million from the deliveries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on March 29, 2016,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on September 30, 2016 and the </w:t>
      </w:r>
      <w:r>
        <w:rPr>
          <w:rFonts w:ascii="Arial" w:cs="Arial" w:eastAsia="Arial" w:hAnsi="Arial"/>
          <w:sz w:val="15"/>
          <w:szCs w:val="15"/>
          <w:i w:val="1"/>
          <w:iCs w:val="1"/>
          <w:color w:val="auto"/>
        </w:rPr>
        <w:t xml:space="preserve">GasLog Gibraltar </w:t>
      </w:r>
      <w:r>
        <w:rPr>
          <w:rFonts w:ascii="Arial" w:cs="Arial" w:eastAsia="Arial" w:hAnsi="Arial"/>
          <w:sz w:val="15"/>
          <w:szCs w:val="15"/>
          <w:color w:val="auto"/>
        </w:rPr>
        <w:t>on October 31, 2016, which resulted in an increase in operating days, an increase of $1.3 million due to the reduced off-hire days from scheduled</w:t>
      </w:r>
      <w:r>
        <w:rPr>
          <w:rFonts w:ascii="Arial" w:cs="Arial" w:eastAsia="Arial" w:hAnsi="Arial"/>
          <w:sz w:val="15"/>
          <w:szCs w:val="15"/>
          <w:i w:val="1"/>
          <w:iCs w:val="1"/>
          <w:color w:val="auto"/>
        </w:rPr>
        <w:t xml:space="preserve"> </w:t>
      </w:r>
      <w:r>
        <w:rPr>
          <w:rFonts w:ascii="Arial" w:cs="Arial" w:eastAsia="Arial" w:hAnsi="Arial"/>
          <w:sz w:val="15"/>
          <w:szCs w:val="15"/>
          <w:color w:val="auto"/>
        </w:rPr>
        <w:t>dry-dockings (during the year ended December 31, 2016 two vessels underwent dry-docking versus only one vessel during the year ended December 31, 2017), partially offset by a decrease of $1.1 million from the remaining fleet and a decrease of $0.7 million due to one additional calendar day during the year ended December 31, 2016. The average daily hire rate increased from $71,977 for the year ended December 31, 2016 to $72,902 for the year ended December 31, 2017.</w:t>
      </w:r>
    </w:p>
    <w:p>
      <w:pPr>
        <w:spacing w:after="0" w:line="15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increased by $0.4 million, or 9.3%, from $4.3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to $4.7 million for the year ended December 31, 2017. The increase is mainly attributable to the increased operating days in the year ended December 31, 2017.</w:t>
      </w:r>
    </w:p>
    <w:p>
      <w:pPr>
        <w:spacing w:after="0" w:line="194"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increased by $8.3 million, or 13.2%, from $63.1 million for the year ended December 31, 2016 to</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$71.4 million for the year ended December 31, 2017. The increase is mainly attributable to the increase in operating days and an increase in crew wages, mainly due to the unfavourable movement of the EUR/USD exchange rate.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increased from $14,765 per day during the year ended December 31, 2016 to $15,041 per day during the year ended December 31, 2017.</w:t>
      </w:r>
    </w:p>
    <w:p>
      <w:pPr>
        <w:spacing w:after="0" w:line="163"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$10.8 million, or 15.4%, from $70.3 million for the year ended December 31, 2016 to $81.1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2017. The increase is attributable to the deliveries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on September 30, 2016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on October 31, 2016.</w:t>
      </w:r>
    </w:p>
    <w:p>
      <w:pPr>
        <w:spacing w:after="0" w:line="194" w:lineRule="exact"/>
        <w:rPr>
          <w:sz w:val="20"/>
          <w:szCs w:val="20"/>
          <w:color w:val="auto"/>
        </w:rPr>
      </w:pPr>
    </w:p>
    <w:p>
      <w:pPr>
        <w:ind w:right="360" w:firstLine="351"/>
        <w:spacing w:after="0" w:line="285"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$2.1 million, or 15.9%, from $13.2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to $15.3 million for the year ended December 31, 2017. The increase is mainly attributable to an increase in administrative expenses of</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$1.7 million for services under the administrative services agreement with GasLog related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acquired from GasLog in November 2016 and the three vessels acquired from GasLog in May, July and October 2017.</w:t>
      </w:r>
    </w:p>
    <w:p>
      <w:pPr>
        <w:spacing w:after="0" w:line="193"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$4.9 million, or 8.1%, from $60.2 million for the year ended December 31, 2016 to $65.1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2017. The increase is attributable to a $11.1 million increase in interest expense on loans, partially set off by the decrease in amortization of loan fees of $6.1 million, mainly driven by a write-off of $5.6 million of unamortized loan fees associated with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credit facilities that were refinanced in July 2016, and a decrease in other financial expenses of $0.1 million. During the year ended December 31, 2016, we had an average of $1,357.1 million of outstanding indebtedness, with a weighted average interest rate of 3.3%, compared to an average of $1,487.2 million of outstanding indebtedness with a weighted average interest rate of 3.7% during the year ended December 31, 2017.</w:t>
      </w:r>
    </w:p>
    <w:p>
      <w:pPr>
        <w:spacing w:after="0" w:line="174"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b w:val="1"/>
          <w:bCs w:val="1"/>
          <w:i w:val="1"/>
          <w:iCs w:val="1"/>
          <w:color w:val="auto"/>
        </w:rPr>
        <w:t>(Loss)/gain on Derivatives:</w:t>
      </w:r>
      <w:r>
        <w:rPr>
          <w:sz w:val="20"/>
          <w:szCs w:val="20"/>
          <w:color w:val="auto"/>
        </w:rPr>
        <w:tab/>
      </w:r>
      <w:r>
        <w:rPr>
          <w:rFonts w:ascii="Arial" w:cs="Arial" w:eastAsia="Arial" w:hAnsi="Arial"/>
          <w:sz w:val="15"/>
          <w:szCs w:val="15"/>
          <w:color w:val="auto"/>
        </w:rPr>
        <w:t>Loss on derivatives decreased by $6.9 million, from a loss of $6.8 million for the year ended December 31, 2016 to a gain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year ended December 31, 2017. The decrease is attributable to a $3.7 million decrease in loss from the mark-to-market valuation of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rate swaps which were carried at fair value through profit or loss, which reflected a loss of $1.6 million for the year ended December 31, 2016 as compared to a gain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$2.2 million for the year ended December 31, 2017, a $2.5 million decrease in recycled loss of cash flow hedges reclassified to profit or loss resulting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Partnership's interest rate swaps in July 2016 and a decrease of $0.7 million in realized loss on interest rate swaps held for trading.</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increased by $35.0 million, or 35.1%, from $99.7 million for the year ended December 31, 2016 to $134.7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2017, as a result of the aforementioned factors.</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for the year increased by $16.8 million, or 21.7%, from $77.3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2016 to $94.1 million for the year ended December 31, 2017. The increase is mainly attributable to the increase in operating days (2,944 operating days in the year ended December 31, 2016 as compared to 3,764 operating days in the year ended December 31, 2017), which was partially offset by an increase of $17.4 million in net financial costs (comprising financial costs, net of gain on derivatives and financial income), mainly resulting from the aforementioned valuation of the derivatives and the increased weighted average outstanding debt, and an increase of $1.8 million in administrative fees resulting from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Specifically,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on November 1, 2016,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and the </w:t>
      </w:r>
      <w:r>
        <w:rPr>
          <w:rFonts w:ascii="Arial" w:cs="Arial" w:eastAsia="Arial" w:hAnsi="Arial"/>
          <w:sz w:val="16"/>
          <w:szCs w:val="16"/>
          <w:i w:val="1"/>
          <w:iCs w:val="1"/>
          <w:color w:val="auto"/>
        </w:rPr>
        <w:t xml:space="preserve">Solaris </w:t>
      </w:r>
      <w:r>
        <w:rPr>
          <w:rFonts w:ascii="Arial" w:cs="Arial" w:eastAsia="Arial" w:hAnsi="Arial"/>
          <w:sz w:val="16"/>
          <w:szCs w:val="16"/>
          <w:color w:val="auto"/>
        </w:rPr>
        <w:t>on October 20, 2017 resulted in an increase in profit from operations of $36.5 million. In addition, the Profit Attributable to the Partnership was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(a) an increase in revenues of $0.7 million mainly due to the reduced off-hire days from the scheduled dry-dockings of our vessels, partially offset by the one additional calendar day during the year ended December 31, 2016, (b) an increase in vessel operating expenses of $1.2 million deriving mainly from an increase in crew wages and various repairs and technical certifications, (c) an increase in general and administrative expenses of $1.8 million due to the administrative fees for the four vessels acquired by the Partnership, (d) an increase in financial costs of $14.7 million due to the outstanding debt of the acquired vessels after their respective drop-downs to the Partnership and (e) a decrease of $3.5 million in gain on derivatives signed in November 2016 and July 2017.</w:t>
      </w:r>
    </w:p>
    <w:p>
      <w:pPr>
        <w:spacing w:after="0" w:line="172" w:lineRule="exact"/>
        <w:rPr>
          <w:sz w:val="20"/>
          <w:szCs w:val="20"/>
          <w:color w:val="auto"/>
        </w:rPr>
      </w:pPr>
    </w:p>
    <w:p>
      <w:pPr>
        <w:ind w:right="340" w:firstLine="348"/>
        <w:spacing w:after="0" w:line="254" w:lineRule="auto"/>
        <w:rPr>
          <w:sz w:val="20"/>
          <w:szCs w:val="20"/>
          <w:color w:val="auto"/>
        </w:rPr>
      </w:pPr>
      <w:r>
        <w:rPr>
          <w:rFonts w:ascii="Arial" w:cs="Arial" w:eastAsia="Arial" w:hAnsi="Arial"/>
          <w:sz w:val="18"/>
          <w:szCs w:val="18"/>
          <w:color w:val="auto"/>
        </w:rPr>
        <w:t>The above discussion of revenues, operating expenses, general and administrative expenses, financial costs and gain on derivatives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2018, 92% of our revenues derived from subsidiaries of Shell.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our vessels are mainly employed under fixed-rate charter arrangements, seasonal trends did not significantly impact our revenues during the year ended December 31, 2018. However, our vessel trading in the spot market is subject to seasonality in spot rates which has been evident in the LNG shipping market during 2018. To the extent that more of our vessels cease to be employed under fixed rate charter arrangements in the future, there may be some additional seasonality in our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paying our operating and general and administrative expenses, servicing our debt, funding investments, funding working capital and maintaining cash reserves against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fluctuations in operating cash flows. Our funding and treasury activities are intended to maximize investment returns while maintaining appropriate liquidity.</w:t>
      </w:r>
    </w:p>
    <w:p>
      <w:pPr>
        <w:spacing w:after="0" w:line="24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 million and to include UBS Securities LLC as a sales agent. On September 26, 2018, the Partnership agreed to sell 2,250,000 common units to funds managed by Tortoise for gross proceeds of $53.1 million through the ATM Programme.</w:t>
      </w:r>
    </w:p>
    <w:p>
      <w:pPr>
        <w:spacing w:after="0" w:line="20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From establishment of the ATM Programme through December 31, 2018, GasLog Partners issued and received payment for 5,291,304 common units at a weighted average price of $23.33 per common unit for total gross proceeds of $123.4 million and total net proceeds of $121.2 million, after broker commissions of $1.0 million and other expenses of $1.2 million. In connection with the issuance of common units under the ATM Programme during this period, the Partnership also issued 107,987 general partner units to its general partner in order for GasLog to retain its 2.0% general partner interest. The net proceeds from the issuance of the general partner units were $2.5 million.</w:t>
      </w:r>
    </w:p>
    <w:p>
      <w:pPr>
        <w:spacing w:after="0" w:line="20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ATM Programme, in the year ended December 31, 2018, GasLog Partners issued and received payment for 2,553,889 common units at a weighted average price of $23.72 per common unit for total gross proceeds of $60.6 million and total net proceeds of $60.0 million, after broker commissions of $0.2 million and other expenses of $0.4 million. In connection with the issuance of common units under the ATM Programme during this period, the Partnership also issued 52,121 general partner units to its general partner in order for GasLog to retain its 2.0% general partner interest. The net proceeds from the issuance of the general partner units were $1.2 million.</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On January 5, 2018, the Partnership prepaid the remaining $29.8 million of debt of GAS-nineteen Ltd., the entity that owns the </w:t>
      </w:r>
      <w:r>
        <w:rPr>
          <w:rFonts w:ascii="Arial" w:cs="Arial" w:eastAsia="Arial" w:hAnsi="Arial"/>
          <w:sz w:val="16"/>
          <w:szCs w:val="16"/>
          <w:i w:val="1"/>
          <w:iCs w:val="1"/>
          <w:color w:val="auto"/>
        </w:rPr>
        <w:t>Methane Alison-Victoria</w:t>
      </w:r>
      <w:r>
        <w:rPr>
          <w:rFonts w:ascii="Arial" w:cs="Arial" w:eastAsia="Arial" w:hAnsi="Arial"/>
          <w:sz w:val="16"/>
          <w:szCs w:val="16"/>
          <w:color w:val="auto"/>
        </w:rPr>
        <w:t xml:space="preserve">, GAS-twenty Ltd., the entity that owns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GAS-twenty one Ltd., the entity that owns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which would have been originally due in April 2018. The prepaid debt was associated with the Junior Tranche of the Five Vessel Facility, which was terminated on January 5, 2018.</w:t>
      </w:r>
    </w:p>
    <w:p>
      <w:pPr>
        <w:spacing w:after="0" w:line="16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January 17, 2018, the Partnership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$111.2 million. The Series B Preference Units are listed on the New York Stock Exchange under the symbol "GLOP PR B".</w:t>
      </w:r>
    </w:p>
    <w:p>
      <w:pPr>
        <w:spacing w:after="0" w:line="16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On March 23, 2018, the $45.0 million term loan under the New Sponsor Facility with GasLog was prepaid and terminated, which would have been due in March 2022.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April 26, 2018, in connection with the acquisition of GAS-fourteen Ltd., the entity that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the Partnership paid GasLog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$19.0 million representing the $207.0 million aggregate purchase price, less the $45.0 million new privately placed common units issued to GasLog (1,858,975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common units at a price of $24.21 per common unit) and the $143.6 million of outstanding indebtedness of the acquired entity assumed by GasLog Partners plus 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adjustment of $0.6 million in order to maintain the agreed working capital position in the acquired entity of $1.0 million.</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May 23, 2018, the Partnership entered into a new interest rate swap agreement with GasLog with a notional value of $80.0 million, maturing in 2023. On the same date, the Partnership also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entered into twelve forward foreign exchange contracts with GasLog with a notional value of €24.0 million and staggered maturities until mid-2019 to mitigate its foreign exchange transaction exposure in its operating expenses.</w:t>
      </w:r>
    </w:p>
    <w:p>
      <w:pPr>
        <w:spacing w:after="0" w:line="186" w:lineRule="exact"/>
        <w:rPr>
          <w:sz w:val="20"/>
          <w:szCs w:val="20"/>
          <w:color w:val="auto"/>
        </w:rPr>
      </w:pPr>
    </w:p>
    <w:p>
      <w:pPr>
        <w:ind w:right="640" w:firstLine="351"/>
        <w:spacing w:after="0" w:line="331" w:lineRule="auto"/>
        <w:rPr>
          <w:sz w:val="20"/>
          <w:szCs w:val="20"/>
          <w:color w:val="auto"/>
        </w:rPr>
      </w:pPr>
      <w:r>
        <w:rPr>
          <w:rFonts w:ascii="Arial" w:cs="Arial" w:eastAsia="Arial" w:hAnsi="Arial"/>
          <w:sz w:val="16"/>
          <w:szCs w:val="16"/>
          <w:color w:val="auto"/>
        </w:rPr>
        <w:t>On August 13, 2018, the Partnership entered into three new forward foreign exchange contracts with GasLog with a notional value of €6.0 million and staggered maturities during the third quarter of 2019 to mitigate its foreign exchange transaction exposure in its operating expenses.</w:t>
      </w:r>
    </w:p>
    <w:p>
      <w:pPr>
        <w:spacing w:after="0" w:line="14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On November 14, 2018, in connection with the acquisition of GAS-twenty seven Ltd., the entity that owns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Partnership paid GasLog $109.4 million representing the $207.4 million aggregate purchase price, less the $93.9 million of outstanding indebtedness of the acquired entity assumed by GasLog Partners less an adjustment of $4.1 million in order to maintain the agreed working capital position in the acquired entity of $1.0 million.</w:t>
      </w:r>
    </w:p>
    <w:p>
      <w:pPr>
        <w:spacing w:after="0" w:line="16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November 15, 2018, the Partnership completed a public offering of 4,000,000 8.500% Series C Preference Units liquidation preference $25.00 per unit, at a price to the public of $25.00 per Preference Unit. The net proceeds from the offering after deducting underwriting discounts, commissions and other offering expenses were $96.3 million. The Series C Preference Units are listed on the New York Stock Exchange under the symbol "GLOP PR C".</w:t>
      </w:r>
    </w:p>
    <w:p>
      <w:pPr>
        <w:spacing w:after="0" w:line="160"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Partnership has entered into six interest rate swap agreements with GasLog at a notional value of $625.0 million in aggregate, maturing between 2020 and 2024. As of December 31, 2018, the Partnership has hedged 43.9% of its floating interest rate exposure on its outstanding debt at a weighted average interest rate of approximately 1.9% (excluding margin).</w:t>
      </w:r>
    </w:p>
    <w:p>
      <w:pPr>
        <w:spacing w:after="0" w:line="19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Partnership has also entered into nine forward foreign exchange contracts with GasLog with a notional value of €18.0 million and staggered maturities during 2019 to mitigate its foreign exchange transaction exposure in its operating expenses.</w:t>
      </w:r>
    </w:p>
    <w:p>
      <w:pPr>
        <w:spacing w:after="0" w:line="186"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31, 2018, we had $129.1 million of cash and cash equivalents, of which $85.3 million was held in current accounts and $43.8 million was held in time deposits with an original duration of less than three months. An amount of $10.0 million of time deposits with an original duration greater than three months was classified as short-term investments.</w:t>
      </w:r>
    </w:p>
    <w:p>
      <w:pPr>
        <w:spacing w:after="0" w:line="194"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As of December 31, 2018, we had an aggregate of $1,235.0 million of indebtedness outstanding under our credit facilities. An amount of $429.4 million of outstanding debt is repayable within one year. Current debt includes $360.0 million from the outstanding indebtedness of GAS-three Ltd., GAS-four Ltd., GAS-five Ltd., GAS-sixteen Ltd., and GAS-seventeen Ltd., due in November 2019. In February 2019, we signed a debt refinancing of up to $450.0 million with certain financial institutions (described under "Borrowing Activities" below), in order to refinance such indebtedness. In addition, we had unused availability under our revolving credit facilities of $55.9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440" w:firstLine="341"/>
        <w:spacing w:after="0" w:line="331" w:lineRule="auto"/>
        <w:rPr>
          <w:sz w:val="20"/>
          <w:szCs w:val="20"/>
          <w:color w:val="auto"/>
        </w:rPr>
      </w:pPr>
      <w:r>
        <w:rPr>
          <w:rFonts w:ascii="Arial" w:cs="Arial" w:eastAsia="Arial" w:hAnsi="Arial"/>
          <w:sz w:val="16"/>
          <w:szCs w:val="16"/>
          <w:color w:val="auto"/>
        </w:rPr>
        <w:t>As of December 31, 2018, our current assets totaled $166.8 million while current liabilities totaled $498.0 million, resulting in a negative working capital position of $331.2 million, mainly attributable to the classification of the $360.0 million of debt due in November 2019, mentioned above as current debt.</w:t>
      </w:r>
    </w:p>
    <w:p>
      <w:pPr>
        <w:spacing w:after="0" w:line="141"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4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Borders>
              <w:bottom w:val="single" w:sz="8" w:color="auto"/>
            </w:tcBorders>
          </w:tcPr>
          <w:p>
            <w:pPr>
              <w:jc w:val="right"/>
              <w:ind w:right="205"/>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80" w:type="dxa"/>
            <w:vAlign w:val="bottom"/>
            <w:gridSpan w:val="8"/>
          </w:tcPr>
          <w:p>
            <w:pPr>
              <w:jc w:val="right"/>
              <w:ind w:right="680"/>
              <w:spacing w:after="0"/>
              <w:rPr>
                <w:sz w:val="20"/>
                <w:szCs w:val="20"/>
                <w:color w:val="auto"/>
              </w:rPr>
            </w:pPr>
            <w:r>
              <w:rPr>
                <w:rFonts w:ascii="Arial" w:cs="Arial" w:eastAsia="Arial" w:hAnsi="Arial"/>
                <w:sz w:val="13"/>
                <w:szCs w:val="13"/>
                <w:b w:val="1"/>
                <w:bCs w:val="1"/>
                <w:color w:val="auto"/>
              </w:rPr>
              <w:t>(in thousands of U.S. dollars)</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242,827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185,107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(57,720)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(35,232)</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(160,926)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(173,586)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(12,660)</w:t>
            </w:r>
          </w:p>
        </w:tc>
      </w:tr>
      <w:tr>
        <w:trPr>
          <w:trHeight w:val="108"/>
        </w:trPr>
        <w:tc>
          <w:tcPr>
            <w:tcW w:w="212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80" w:right="20" w:hanging="539"/>
        <w:spacing w:after="0" w:line="274" w:lineRule="auto"/>
        <w:tabs>
          <w:tab w:leader="none" w:pos="22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results of GAS-fourteen Ltd. and GAS-twenty seven Ltd. acquired on April 26, 2018 and November 14, 2018, respectively, from GasLog. See Note 1 to our audited consolidated financial statements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color w:val="auto"/>
        </w:rPr>
        <w:t>Net cash provided by operating activities decreased by $57.7 million, from $242.8 million in the year ended December 31, 2017 to $185.1 million in the year ended December 31, 2018. The decrease of $57.7 million is mainly attributable to a $42.1 million movement in working capital accounts, a decrease of</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$18.6 million in revenues and an increase of $4.1 million in general and administrative expenses, partially offset by an increase of $3.4 million in realized loss on derivatives and a decrease of $2.6 million in vessel operating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provided by investing activities decreased by $35. 3million, from net cash provided by investing activities of $3.4 million in the year ended December 31, 2017 to net cash used in investing activities of $31.9 million in the year ended December 31, 2018. The decrease of $35.3 million is attributable to an increase of net cash used in payments for vessels of $19.1 million and an increase in net cash used in short-term investments of $17.5 million, partially offset by an increase in financial income received of $1.3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Net cash used in financing activities increased by $12.7 million, from cash used in financing activities of $160.9 million in the year ended December 31, 2017 to $173.6 million in the year ended December 31, 2018. The increase of $12.7 million is attributable to a decrease in bank loan drawdowns of $34.1 million, an increase of $27.8 million in distributions paid, payments for the modification of incentive distribution rights of $25.0 million and a decrease in net public offering proceeds of $11.5 million, partially offset by a decrease in cash distributions to GasLog in exchange for contribution of net assets of $63.7 million, a decrease of $20.6 million in bank loan repayments and a decrease of $1.4 million in payments of loan issuance costs.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6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w w:val="92"/>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Borders>
              <w:bottom w:val="single" w:sz="8" w:color="auto"/>
            </w:tcBorders>
          </w:tcPr>
          <w:p>
            <w:pPr>
              <w:jc w:val="right"/>
              <w:ind w:right="205"/>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6"/>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
              <w:spacing w:after="0" w:line="157" w:lineRule="exact"/>
              <w:rPr>
                <w:sz w:val="20"/>
                <w:szCs w:val="20"/>
                <w:color w:val="auto"/>
              </w:rPr>
            </w:pPr>
            <w:r>
              <w:rPr>
                <w:rFonts w:ascii="Arial" w:cs="Arial" w:eastAsia="Arial" w:hAnsi="Arial"/>
                <w:sz w:val="11"/>
                <w:szCs w:val="11"/>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gridSpan w:val="8"/>
          </w:tcPr>
          <w:p>
            <w:pPr>
              <w:jc w:val="right"/>
              <w:ind w:right="720"/>
              <w:spacing w:after="0"/>
              <w:rPr>
                <w:sz w:val="20"/>
                <w:szCs w:val="20"/>
                <w:color w:val="auto"/>
              </w:rPr>
            </w:pPr>
            <w:r>
              <w:rPr>
                <w:rFonts w:ascii="Arial" w:cs="Arial" w:eastAsia="Arial" w:hAnsi="Arial"/>
                <w:sz w:val="13"/>
                <w:szCs w:val="13"/>
                <w:b w:val="1"/>
                <w:bCs w:val="1"/>
                <w:color w:val="auto"/>
              </w:rPr>
              <w:t>(in thousands of U.S. dollars)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204,930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242,827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37,897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Net cash provided (used in)/provided by investing activities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(506,428)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509,809</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295,392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(456,318)</w:t>
            </w:r>
          </w:p>
        </w:tc>
      </w:tr>
      <w:tr>
        <w:trPr>
          <w:trHeight w:val="108"/>
        </w:trPr>
        <w:tc>
          <w:tcPr>
            <w:tcW w:w="212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80" w:right="20" w:hanging="539"/>
        <w:spacing w:after="0" w:line="274" w:lineRule="auto"/>
        <w:tabs>
          <w:tab w:leader="none" w:pos="2280" w:val="left"/>
        </w:tabs>
        <w:numPr>
          <w:ilvl w:val="0"/>
          <w:numId w:val="68"/>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results of GAS-fourteen Ltd. and GAS-twenty seven Ltd. acquired on April 26, 2018 and November 14, 2018, respectively, from GasLog. See Note 1 to our audited consolidated financial statements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Net cash provided by operating activities increased by $37.9 million, from $204.9 million in the year ended December 31, 2016 to $242.8 million in the year ended December 31, 2017. The increase of $37.9 million is mainly attributable to an increase of $53.7 million in revenues, an increase of $15.0 million caused by movements in working capital accounts, partially offset by an increase of $21.1 million in interest paid and an increase of $10.7 million in vessel operating costs, voyage expenses and commissions and 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Net cash used in investing activities decreased by $509.8 million, from net cash used in investing activities of $506.4 million in the year ended December 31, 2016 to net cash provided by investing activities of $3.4 million in the year ended December 31, 2017. The decrease of $509.8 million is attributable to a decrease of net cash used in payments for vessels of $497.0 million, an increase in net cash from short-term investments of $12.0 million and an increase in financial income received of $0.8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cash provided by financing activities decreased by $456.3 million, from net cash provided by financing activities of $295.4 million in the year ended December 31, 2016 to net cash used in financing activities of $160.9 million in the year ended December 31, 2017. The decrease of $456.3 million is attributable to a decrease in borrowings of $1,153.7 million, an increase of $124.0 million in cash remittance to GasLog in exchange for contribution of net assets and an increase of $24.7 million in payments of distributions, partially offset by a decrease of $572.8 million in bank loan repayments, increased net public offering proceeds of $228.1 million, a decrease of $22.8 million in payments of loan issuance costs, a decrease of $11.8 million in payments for dividends due to GasLog prior to vessels' drop-down to the Partnership and net payments of $10.6 million related to the termination of our interest rate swap agreements in July 2016.</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Below is a summary of certain provisions of the Partnership's credit facilities outstanding as of December 31, 2018:</w:t>
      </w:r>
    </w:p>
    <w:p>
      <w:pPr>
        <w:sectPr>
          <w:pgSz w:w="11900" w:h="16838" w:orient="portrait"/>
          <w:cols w:equalWidth="0" w:num="1">
            <w:col w:w="11560"/>
          </w:cols>
          <w:pgMar w:left="160" w:top="5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Facility Name</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Facility Agreement dated November 12, 2014 among GAS-three Ltd., GAS-four Ltd., GAS-five Ltd., GAS-sixteen Ltd. and GAS-seventeen Ltd. as borrowers, and the financial institutions party thereto, or the "Partnership Facility"</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New Sponsor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Five Vessel Refinancing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9"/>
        <w:spacing w:after="0"/>
        <w:rPr>
          <w:sz w:val="20"/>
          <w:szCs w:val="20"/>
          <w:color w:val="auto"/>
        </w:rPr>
      </w:pPr>
      <w:r>
        <w:rPr>
          <w:rFonts w:ascii="Arial" w:cs="Arial" w:eastAsia="Arial" w:hAnsi="Arial"/>
          <w:sz w:val="13"/>
          <w:szCs w:val="13"/>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019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Citibank, N.A., London Branch, Nordea Bank Finland plc, London Branch, DVB Bank America N.V., ABN Amro Bank N.V., Skandinaviska Enskilda Banken AB (publ), BNP Paribas</w:t>
      </w: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ABN Amro Bank N.V., DNB</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(UK) Ltd., DVB Bank</w:t>
      </w:r>
    </w:p>
    <w:p>
      <w:pPr>
        <w:spacing w:after="0"/>
        <w:rPr>
          <w:sz w:val="20"/>
          <w:szCs w:val="20"/>
          <w:color w:val="auto"/>
        </w:rPr>
      </w:pPr>
      <w:r>
        <w:rPr>
          <w:rFonts w:ascii="Arial" w:cs="Arial" w:eastAsia="Arial" w:hAnsi="Arial"/>
          <w:sz w:val="13"/>
          <w:szCs w:val="13"/>
          <w:color w:val="auto"/>
        </w:rPr>
        <w:t>America N.V.,</w:t>
      </w:r>
    </w:p>
    <w:p>
      <w:pPr>
        <w:spacing w:after="0"/>
        <w:rPr>
          <w:sz w:val="20"/>
          <w:szCs w:val="20"/>
          <w:color w:val="auto"/>
        </w:rPr>
      </w:pPr>
      <w:r>
        <w:rPr>
          <w:rFonts w:ascii="Arial" w:cs="Arial" w:eastAsia="Arial" w:hAnsi="Arial"/>
          <w:sz w:val="13"/>
          <w:szCs w:val="13"/>
          <w:color w:val="auto"/>
        </w:rPr>
        <w:t>Commonwealth Bank of</w:t>
      </w:r>
    </w:p>
    <w:p>
      <w:pPr>
        <w:spacing w:after="0"/>
        <w:rPr>
          <w:sz w:val="20"/>
          <w:szCs w:val="20"/>
          <w:color w:val="auto"/>
        </w:rPr>
      </w:pPr>
      <w:r>
        <w:rPr>
          <w:rFonts w:ascii="Arial" w:cs="Arial" w:eastAsia="Arial" w:hAnsi="Arial"/>
          <w:sz w:val="13"/>
          <w:szCs w:val="13"/>
          <w:color w:val="auto"/>
        </w:rPr>
        <w:t>Australia, ING Bank N.V.,</w:t>
      </w:r>
    </w:p>
    <w:p>
      <w:pPr>
        <w:spacing w:after="0"/>
        <w:rPr>
          <w:sz w:val="20"/>
          <w:szCs w:val="20"/>
          <w:color w:val="auto"/>
        </w:rPr>
      </w:pPr>
      <w:r>
        <w:rPr>
          <w:rFonts w:ascii="Arial" w:cs="Arial" w:eastAsia="Arial" w:hAnsi="Arial"/>
          <w:sz w:val="13"/>
          <w:szCs w:val="13"/>
          <w:color w:val="auto"/>
        </w:rPr>
        <w:t>London Branch, Credit</w:t>
      </w:r>
    </w:p>
    <w:p>
      <w:pPr>
        <w:spacing w:after="0"/>
        <w:rPr>
          <w:sz w:val="20"/>
          <w:szCs w:val="20"/>
          <w:color w:val="auto"/>
        </w:rPr>
      </w:pPr>
      <w:r>
        <w:rPr>
          <w:rFonts w:ascii="Arial" w:cs="Arial" w:eastAsia="Arial" w:hAnsi="Arial"/>
          <w:sz w:val="13"/>
          <w:szCs w:val="13"/>
          <w:color w:val="auto"/>
        </w:rPr>
        <w:t>Agricole Corporate and</w:t>
      </w:r>
    </w:p>
    <w:p>
      <w:pPr>
        <w:spacing w:after="0"/>
        <w:rPr>
          <w:sz w:val="20"/>
          <w:szCs w:val="20"/>
          <w:color w:val="auto"/>
        </w:rPr>
      </w:pPr>
      <w:r>
        <w:rPr>
          <w:rFonts w:ascii="Arial" w:cs="Arial" w:eastAsia="Arial" w:hAnsi="Arial"/>
          <w:sz w:val="13"/>
          <w:szCs w:val="13"/>
          <w:color w:val="auto"/>
        </w:rPr>
        <w:t>Investment Bank and</w:t>
      </w:r>
    </w:p>
    <w:p>
      <w:pPr>
        <w:spacing w:after="0"/>
        <w:rPr>
          <w:sz w:val="20"/>
          <w:szCs w:val="20"/>
          <w:color w:val="auto"/>
        </w:rPr>
      </w:pPr>
      <w:r>
        <w:rPr>
          <w:rFonts w:ascii="Arial" w:cs="Arial" w:eastAsia="Arial" w:hAnsi="Arial"/>
          <w:sz w:val="13"/>
          <w:szCs w:val="13"/>
          <w:color w:val="auto"/>
        </w:rPr>
        <w:t>National Australia Bank</w:t>
      </w:r>
    </w:p>
    <w:p>
      <w:pPr>
        <w:spacing w:after="0"/>
        <w:rPr>
          <w:sz w:val="20"/>
          <w:szCs w:val="20"/>
          <w:color w:val="auto"/>
        </w:rPr>
      </w:pPr>
      <w:r>
        <w:rPr>
          <w:rFonts w:ascii="Arial" w:cs="Arial" w:eastAsia="Arial" w:hAnsi="Arial"/>
          <w:sz w:val="13"/>
          <w:szCs w:val="13"/>
          <w:color w:val="auto"/>
        </w:rPr>
        <w:t>Limited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1"/>
              </w:rPr>
              <w:t>Payment of</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Principals</w:t>
            </w:r>
          </w:p>
        </w:tc>
      </w:tr>
      <w:tr>
        <w:trPr>
          <w:trHeight w:val="148"/>
        </w:trPr>
        <w:tc>
          <w:tcPr>
            <w:tcW w:w="3020" w:type="dxa"/>
            <w:vAlign w:val="bottom"/>
          </w:tcPr>
          <w:p>
            <w:pPr>
              <w:ind w:left="102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Installments</w:t>
            </w:r>
          </w:p>
        </w:tc>
      </w:tr>
      <w:tr>
        <w:trPr>
          <w:trHeight w:val="161"/>
        </w:trPr>
        <w:tc>
          <w:tcPr>
            <w:tcW w:w="302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3020" w:type="dxa"/>
            <w:vAlign w:val="bottom"/>
          </w:tcPr>
          <w:p>
            <w:pPr>
              <w:spacing w:after="0" w:line="131" w:lineRule="exact"/>
              <w:rPr>
                <w:sz w:val="20"/>
                <w:szCs w:val="20"/>
                <w:color w:val="auto"/>
              </w:rPr>
            </w:pPr>
            <w:r>
              <w:rPr>
                <w:rFonts w:ascii="Arial" w:cs="Arial" w:eastAsia="Arial" w:hAnsi="Arial"/>
                <w:sz w:val="13"/>
                <w:szCs w:val="13"/>
                <w:color w:val="auto"/>
              </w:rPr>
              <w:t>GAS-three Ltd. (</w:t>
            </w:r>
            <w:r>
              <w:rPr>
                <w:rFonts w:ascii="Arial" w:cs="Arial" w:eastAsia="Arial" w:hAnsi="Arial"/>
                <w:sz w:val="13"/>
                <w:szCs w:val="13"/>
                <w:i w:val="1"/>
                <w:iCs w:val="1"/>
                <w:color w:val="auto"/>
              </w:rPr>
              <w:t>GasLog Shanghai</w:t>
            </w:r>
            <w:r>
              <w:rPr>
                <w:rFonts w:ascii="Arial" w:cs="Arial" w:eastAsia="Arial" w:hAnsi="Arial"/>
                <w:sz w:val="13"/>
                <w:szCs w:val="13"/>
                <w:color w:val="auto"/>
              </w:rPr>
              <w:t>), GAS-four Ltd.</w:t>
            </w:r>
          </w:p>
        </w:tc>
        <w:tc>
          <w:tcPr>
            <w:tcW w:w="160" w:type="dxa"/>
            <w:vAlign w:val="bottom"/>
          </w:tcPr>
          <w:p>
            <w:pPr>
              <w:spacing w:after="0"/>
              <w:rPr>
                <w:sz w:val="11"/>
                <w:szCs w:val="11"/>
                <w:color w:val="auto"/>
              </w:rPr>
            </w:pPr>
          </w:p>
        </w:tc>
        <w:tc>
          <w:tcPr>
            <w:tcW w:w="1060" w:type="dxa"/>
            <w:vAlign w:val="bottom"/>
          </w:tcPr>
          <w:p>
            <w:pPr>
              <w:spacing w:after="0" w:line="131" w:lineRule="exact"/>
              <w:rPr>
                <w:sz w:val="20"/>
                <w:szCs w:val="20"/>
                <w:color w:val="auto"/>
              </w:rPr>
            </w:pPr>
            <w:r>
              <w:rPr>
                <w:rFonts w:ascii="Arial" w:cs="Arial" w:eastAsia="Arial" w:hAnsi="Arial"/>
                <w:sz w:val="13"/>
                <w:szCs w:val="13"/>
                <w:color w:val="auto"/>
              </w:rPr>
              <w:t>$360.0 million</w:t>
            </w:r>
          </w:p>
        </w:tc>
        <w:tc>
          <w:tcPr>
            <w:tcW w:w="16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3"/>
                <w:szCs w:val="13"/>
                <w:color w:val="auto"/>
                <w:w w:val="97"/>
              </w:rPr>
              <w:t>LIBOR + applicable</w:t>
            </w:r>
          </w:p>
        </w:tc>
        <w:tc>
          <w:tcPr>
            <w:tcW w:w="160" w:type="dxa"/>
            <w:vAlign w:val="bottom"/>
          </w:tcPr>
          <w:p>
            <w:pPr>
              <w:spacing w:after="0"/>
              <w:rPr>
                <w:sz w:val="11"/>
                <w:szCs w:val="11"/>
                <w:color w:val="auto"/>
              </w:rPr>
            </w:pPr>
          </w:p>
        </w:tc>
        <w:tc>
          <w:tcPr>
            <w:tcW w:w="580" w:type="dxa"/>
            <w:vAlign w:val="bottom"/>
          </w:tcPr>
          <w:p>
            <w:pPr>
              <w:ind w:left="300"/>
              <w:spacing w:after="0" w:line="131" w:lineRule="exact"/>
              <w:rPr>
                <w:sz w:val="20"/>
                <w:szCs w:val="20"/>
                <w:color w:val="auto"/>
              </w:rPr>
            </w:pPr>
            <w:r>
              <w:rPr>
                <w:rFonts w:ascii="Arial" w:cs="Arial" w:eastAsia="Arial" w:hAnsi="Arial"/>
                <w:sz w:val="13"/>
                <w:szCs w:val="13"/>
                <w:color w:val="auto"/>
                <w:w w:val="89"/>
              </w:rPr>
              <w:t>2019</w:t>
            </w:r>
          </w:p>
        </w:tc>
        <w:tc>
          <w:tcPr>
            <w:tcW w:w="160" w:type="dxa"/>
            <w:vAlign w:val="bottom"/>
          </w:tcPr>
          <w:p>
            <w:pPr>
              <w:spacing w:after="0"/>
              <w:rPr>
                <w:sz w:val="11"/>
                <w:szCs w:val="11"/>
                <w:color w:val="auto"/>
              </w:rPr>
            </w:pPr>
          </w:p>
        </w:tc>
        <w:tc>
          <w:tcPr>
            <w:tcW w:w="1600" w:type="dxa"/>
            <w:vAlign w:val="bottom"/>
          </w:tcPr>
          <w:p>
            <w:pPr>
              <w:spacing w:after="0" w:line="131" w:lineRule="exact"/>
              <w:rPr>
                <w:sz w:val="20"/>
                <w:szCs w:val="20"/>
                <w:color w:val="auto"/>
              </w:rPr>
            </w:pPr>
            <w:r>
              <w:rPr>
                <w:rFonts w:ascii="Arial" w:cs="Arial" w:eastAsia="Arial" w:hAnsi="Arial"/>
                <w:sz w:val="13"/>
                <w:szCs w:val="13"/>
                <w:color w:val="auto"/>
              </w:rPr>
              <w:t>4 consecutive quarterly</w:t>
            </w: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i w:val="1"/>
                <w:iCs w:val="1"/>
                <w:color w:val="auto"/>
                <w:w w:val="99"/>
              </w:rPr>
              <w:t>GasLog Santiago</w:t>
            </w:r>
            <w:r>
              <w:rPr>
                <w:rFonts w:ascii="Arial" w:cs="Arial" w:eastAsia="Arial" w:hAnsi="Arial"/>
                <w:sz w:val="13"/>
                <w:szCs w:val="13"/>
                <w:color w:val="auto"/>
                <w:w w:val="99"/>
              </w:rPr>
              <w:t>), GAS-five Ltd. (</w:t>
            </w:r>
            <w:r>
              <w:rPr>
                <w:rFonts w:ascii="Arial" w:cs="Arial" w:eastAsia="Arial" w:hAnsi="Arial"/>
                <w:sz w:val="13"/>
                <w:szCs w:val="13"/>
                <w:i w:val="1"/>
                <w:iCs w:val="1"/>
                <w:color w:val="auto"/>
                <w:w w:val="99"/>
              </w:rPr>
              <w:t>GasLog Sydney</w:t>
            </w:r>
            <w:r>
              <w:rPr>
                <w:rFonts w:ascii="Arial" w:cs="Arial" w:eastAsia="Arial" w:hAnsi="Arial"/>
                <w:sz w:val="13"/>
                <w:szCs w:val="13"/>
                <w:color w:val="auto"/>
                <w:w w:val="99"/>
              </w:rPr>
              <w:t>),</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GAS-sixteen Ltd. (</w:t>
            </w:r>
            <w:r>
              <w:rPr>
                <w:rFonts w:ascii="Arial" w:cs="Arial" w:eastAsia="Arial" w:hAnsi="Arial"/>
                <w:sz w:val="13"/>
                <w:szCs w:val="13"/>
                <w:i w:val="1"/>
                <w:iCs w:val="1"/>
                <w:color w:val="auto"/>
              </w:rPr>
              <w:t>Methane Rita Andrea</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7"/>
              </w:rPr>
              <w:t>$5.625 million and a balloon</w:t>
            </w: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seventeen Ltd. (</w:t>
            </w:r>
            <w:r>
              <w:rPr>
                <w:rFonts w:ascii="Arial" w:cs="Arial" w:eastAsia="Arial" w:hAnsi="Arial"/>
                <w:sz w:val="13"/>
                <w:szCs w:val="13"/>
                <w:i w:val="1"/>
                <w:iCs w:val="1"/>
                <w:color w:val="auto"/>
              </w:rPr>
              <w:t>Methane Jane Elizabeth</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payment of $337.5 million</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together with the final</w:t>
            </w:r>
          </w:p>
        </w:tc>
      </w:tr>
      <w:tr>
        <w:trPr>
          <w:trHeight w:val="17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quarterly payment</w:t>
            </w:r>
          </w:p>
        </w:tc>
      </w:tr>
      <w:tr>
        <w:trPr>
          <w:trHeight w:val="813"/>
        </w:trPr>
        <w:tc>
          <w:tcPr>
            <w:tcW w:w="3020" w:type="dxa"/>
            <w:vAlign w:val="bottom"/>
          </w:tcPr>
          <w:p>
            <w:pPr>
              <w:spacing w:after="0"/>
              <w:rPr>
                <w:sz w:val="20"/>
                <w:szCs w:val="20"/>
                <w:color w:val="auto"/>
              </w:rPr>
            </w:pPr>
            <w:r>
              <w:rPr>
                <w:rFonts w:ascii="Arial" w:cs="Arial" w:eastAsia="Arial" w:hAnsi="Arial"/>
                <w:sz w:val="13"/>
                <w:szCs w:val="13"/>
                <w:color w:val="auto"/>
              </w:rPr>
              <w:t>GasLog Partners LP</w:t>
            </w: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w w:val="99"/>
              </w:rPr>
              <w:t>Unsecured 5 Year</w:t>
            </w:r>
          </w:p>
        </w:tc>
        <w:tc>
          <w:tcPr>
            <w:tcW w:w="1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Fixed interest rate</w:t>
            </w:r>
          </w:p>
        </w:tc>
        <w:tc>
          <w:tcPr>
            <w:tcW w:w="160" w:type="dxa"/>
            <w:vAlign w:val="bottom"/>
          </w:tcPr>
          <w:p>
            <w:pPr>
              <w:spacing w:after="0"/>
              <w:rPr>
                <w:sz w:val="24"/>
                <w:szCs w:val="24"/>
                <w:color w:val="auto"/>
              </w:rPr>
            </w:pPr>
          </w:p>
        </w:tc>
        <w:tc>
          <w:tcPr>
            <w:tcW w:w="2340" w:type="dxa"/>
            <w:vAlign w:val="bottom"/>
            <w:gridSpan w:val="3"/>
          </w:tcPr>
          <w:p>
            <w:pPr>
              <w:ind w:left="300"/>
              <w:spacing w:after="0"/>
              <w:rPr>
                <w:sz w:val="20"/>
                <w:szCs w:val="20"/>
                <w:color w:val="auto"/>
              </w:rPr>
            </w:pPr>
            <w:r>
              <w:rPr>
                <w:rFonts w:ascii="Arial" w:cs="Arial" w:eastAsia="Arial" w:hAnsi="Arial"/>
                <w:sz w:val="13"/>
                <w:szCs w:val="13"/>
                <w:color w:val="auto"/>
              </w:rPr>
              <w:t>2022   Term loan facility: Balloon</w:t>
            </w:r>
          </w:p>
        </w:tc>
      </w:tr>
      <w:tr>
        <w:trPr>
          <w:trHeight w:val="148"/>
        </w:trPr>
        <w:tc>
          <w:tcPr>
            <w:tcW w:w="302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term loan: nil</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5"/>
              </w:rPr>
              <w:t>payment of $45.0 million due</w:t>
            </w:r>
          </w:p>
        </w:tc>
      </w:tr>
      <w:tr>
        <w:trPr>
          <w:trHeight w:val="148"/>
        </w:trPr>
        <w:tc>
          <w:tcPr>
            <w:tcW w:w="302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Revolving Credit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in March 2022 without</w:t>
            </w:r>
          </w:p>
        </w:tc>
      </w:tr>
      <w:tr>
        <w:trPr>
          <w:trHeight w:val="148"/>
        </w:trPr>
        <w:tc>
          <w:tcPr>
            <w:tcW w:w="302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Facility: nil</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intermediate payments. On</w:t>
            </w:r>
          </w:p>
        </w:tc>
      </w:t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March 23, 2018 the Term</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Loan was prepaid and</w:t>
            </w:r>
          </w:p>
        </w:tc>
      </w:tr>
      <w:tr>
        <w:trPr>
          <w:trHeight w:val="17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cancelled.</w:t>
            </w:r>
          </w:p>
        </w:tc>
      </w:tr>
      <w:tr>
        <w:trPr>
          <w:trHeight w:val="273"/>
        </w:trPr>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Revolving facility of</w:t>
            </w:r>
          </w:p>
        </w:tc>
      </w:t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$30.0 million available in</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minimum amounts of</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$2.0 million which are</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9"/>
              </w:rPr>
              <w:t>repayable within a period of</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six months after the</w:t>
            </w:r>
          </w:p>
        </w:tc>
      </w:t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respective drawdown date,</w:t>
            </w:r>
          </w:p>
        </w:tc>
      </w:tr>
      <w:tr>
        <w:trPr>
          <w:trHeight w:val="148"/>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5"/>
              </w:rPr>
              <w:t>subject to automatic renewal</w:t>
            </w:r>
          </w:p>
        </w:tc>
      </w:tr>
      <w:tr>
        <w:trPr>
          <w:trHeight w:val="17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if not repaid.</w:t>
            </w:r>
          </w:p>
        </w:tc>
      </w:tr>
      <w:tr>
        <w:trPr>
          <w:trHeight w:val="368"/>
        </w:trPr>
        <w:tc>
          <w:tcPr>
            <w:tcW w:w="3020" w:type="dxa"/>
            <w:vAlign w:val="bottom"/>
          </w:tcPr>
          <w:p>
            <w:pPr>
              <w:spacing w:after="0"/>
              <w:rPr>
                <w:sz w:val="20"/>
                <w:szCs w:val="20"/>
                <w:color w:val="auto"/>
              </w:rPr>
            </w:pPr>
            <w:r>
              <w:rPr>
                <w:rFonts w:ascii="Arial" w:cs="Arial" w:eastAsia="Arial" w:hAnsi="Arial"/>
                <w:sz w:val="13"/>
                <w:szCs w:val="13"/>
                <w:color w:val="auto"/>
              </w:rPr>
              <w:t xml:space="preserve">GAS-nineteen Ltd.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GAS-</w:t>
            </w: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Senior Tranche:</w:t>
            </w:r>
          </w:p>
        </w:tc>
        <w:tc>
          <w:tcPr>
            <w:tcW w:w="1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w w:val="97"/>
              </w:rPr>
              <w:t>LIBOR + applicable</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w w:val="89"/>
              </w:rPr>
              <w:t>2021</w:t>
            </w: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Senior Tranche: 10</w:t>
            </w:r>
          </w:p>
        </w:tc>
      </w:tr>
      <w:tr>
        <w:trPr>
          <w:trHeight w:val="149"/>
        </w:trPr>
        <w:tc>
          <w:tcPr>
            <w:tcW w:w="3020" w:type="dxa"/>
            <w:vAlign w:val="bottom"/>
          </w:tcPr>
          <w:p>
            <w:pPr>
              <w:spacing w:after="0"/>
              <w:rPr>
                <w:sz w:val="20"/>
                <w:szCs w:val="20"/>
                <w:color w:val="auto"/>
              </w:rPr>
            </w:pPr>
            <w:r>
              <w:rPr>
                <w:rFonts w:ascii="Arial" w:cs="Arial" w:eastAsia="Arial" w:hAnsi="Arial"/>
                <w:sz w:val="13"/>
                <w:szCs w:val="13"/>
                <w:color w:val="auto"/>
                <w:w w:val="99"/>
              </w:rPr>
              <w:t xml:space="preserve">twenty Ltd. </w:t>
            </w:r>
            <w:r>
              <w:rPr>
                <w:rFonts w:ascii="Arial" w:cs="Arial" w:eastAsia="Arial" w:hAnsi="Arial"/>
                <w:sz w:val="13"/>
                <w:szCs w:val="13"/>
                <w:i w:val="1"/>
                <w:iCs w:val="1"/>
                <w:color w:val="auto"/>
                <w:w w:val="99"/>
              </w:rPr>
              <w:t>(Methane Shirley Elisabeth)</w:t>
            </w:r>
            <w:r>
              <w:rPr>
                <w:rFonts w:ascii="Arial" w:cs="Arial" w:eastAsia="Arial" w:hAnsi="Arial"/>
                <w:sz w:val="13"/>
                <w:szCs w:val="13"/>
                <w:color w:val="auto"/>
                <w:w w:val="99"/>
              </w:rPr>
              <w:t xml:space="preserve"> GAS- twenty</w:t>
            </w: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$265.6 million</w:t>
            </w:r>
          </w:p>
        </w:tc>
        <w:tc>
          <w:tcPr>
            <w:tcW w:w="16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consecutive quarterly</w:t>
            </w: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 xml:space="preserve">one Ltd.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GAS-twenty</w:t>
            </w: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w w:val="97"/>
              </w:rPr>
              <w:t>Junior Tranche: nil</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installments of $6.3 million</w:t>
            </w: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seven Ltd. (</w:t>
            </w:r>
            <w:r>
              <w:rPr>
                <w:rFonts w:ascii="Arial" w:cs="Arial" w:eastAsia="Arial" w:hAnsi="Arial"/>
                <w:sz w:val="13"/>
                <w:szCs w:val="13"/>
                <w:i w:val="1"/>
                <w:iCs w:val="1"/>
                <w:color w:val="auto"/>
              </w:rPr>
              <w:t>Methane Becki Anne</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and a balloon payment of</w:t>
            </w:r>
          </w:p>
        </w:tc>
      </w:tr>
      <w:tr>
        <w:trPr>
          <w:trHeight w:val="161"/>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9"/>
              </w:rPr>
              <w:t>$202.7 million together with</w:t>
            </w:r>
          </w:p>
        </w:tc>
      </w:tr>
    </w:tbl>
    <w:p>
      <w:pPr>
        <w:ind w:left="6420"/>
        <w:spacing w:after="0"/>
        <w:rPr>
          <w:sz w:val="20"/>
          <w:szCs w:val="20"/>
          <w:color w:val="auto"/>
        </w:rPr>
      </w:pPr>
      <w:r>
        <w:rPr>
          <w:rFonts w:ascii="Arial" w:cs="Arial" w:eastAsia="Arial" w:hAnsi="Arial"/>
          <w:sz w:val="13"/>
          <w:szCs w:val="13"/>
          <w:color w:val="auto"/>
        </w:rPr>
        <w:t>the final quarterly</w:t>
      </w:r>
    </w:p>
    <w:p>
      <w:pPr>
        <w:ind w:left="6420"/>
        <w:spacing w:after="0"/>
        <w:rPr>
          <w:sz w:val="20"/>
          <w:szCs w:val="20"/>
          <w:color w:val="auto"/>
        </w:rPr>
      </w:pPr>
      <w:r>
        <w:rPr>
          <w:rFonts w:ascii="Arial" w:cs="Arial" w:eastAsia="Arial" w:hAnsi="Arial"/>
          <w:sz w:val="13"/>
          <w:szCs w:val="13"/>
          <w:color w:val="auto"/>
        </w:rPr>
        <w:t>installment. Junior Tranche:</w:t>
      </w:r>
    </w:p>
    <w:p>
      <w:pPr>
        <w:ind w:left="6420"/>
        <w:spacing w:after="0"/>
        <w:rPr>
          <w:sz w:val="20"/>
          <w:szCs w:val="20"/>
          <w:color w:val="auto"/>
        </w:rPr>
      </w:pPr>
      <w:r>
        <w:rPr>
          <w:rFonts w:ascii="Arial" w:cs="Arial" w:eastAsia="Arial" w:hAnsi="Arial"/>
          <w:sz w:val="13"/>
          <w:szCs w:val="13"/>
          <w:color w:val="auto"/>
        </w:rPr>
        <w:t>On January 5, 2018 the</w:t>
      </w:r>
    </w:p>
    <w:p>
      <w:pPr>
        <w:ind w:left="6420"/>
        <w:spacing w:after="0"/>
        <w:rPr>
          <w:sz w:val="20"/>
          <w:szCs w:val="20"/>
          <w:color w:val="auto"/>
        </w:rPr>
      </w:pPr>
      <w:r>
        <w:rPr>
          <w:rFonts w:ascii="Arial" w:cs="Arial" w:eastAsia="Arial" w:hAnsi="Arial"/>
          <w:sz w:val="12"/>
          <w:szCs w:val="12"/>
          <w:color w:val="auto"/>
        </w:rPr>
        <w:t>Junior Tranche was prepaid</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and the tranche was</w:t>
      </w:r>
    </w:p>
    <w:p>
      <w:pPr>
        <w:ind w:left="6420"/>
        <w:spacing w:after="0"/>
        <w:rPr>
          <w:sz w:val="20"/>
          <w:szCs w:val="20"/>
          <w:color w:val="auto"/>
        </w:rPr>
      </w:pPr>
      <w:r>
        <w:rPr>
          <w:rFonts w:ascii="Arial" w:cs="Arial" w:eastAsia="Arial" w:hAnsi="Arial"/>
          <w:sz w:val="13"/>
          <w:szCs w:val="13"/>
          <w:color w:val="auto"/>
        </w:rPr>
        <w:t>terminated.</w:t>
      </w:r>
    </w:p>
    <w:p>
      <w:pPr>
        <w:spacing w:after="0" w:line="200" w:lineRule="exact"/>
        <w:rPr>
          <w:sz w:val="20"/>
          <w:szCs w:val="20"/>
          <w:color w:val="auto"/>
        </w:rPr>
      </w:pPr>
    </w:p>
    <w:p>
      <w:pPr>
        <w:sectPr>
          <w:pgSz w:w="11900" w:h="16838" w:orient="portrait"/>
          <w:cols w:equalWidth="0" w:num="3">
            <w:col w:w="1560" w:space="220"/>
            <w:col w:w="1580" w:space="180"/>
            <w:col w:w="8020"/>
          </w:cols>
          <w:pgMar w:left="160" w:top="51" w:right="17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3418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1"/>
              </w:rPr>
              <w:t>Payment of</w:t>
            </w:r>
          </w:p>
        </w:tc>
      </w:tr>
      <w:tr>
        <w:trPr>
          <w:trHeight w:val="149"/>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Principals</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ind w:left="92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Installments</w:t>
            </w:r>
          </w:p>
        </w:tc>
      </w:tr>
      <w:tr>
        <w:trPr>
          <w:trHeight w:val="161"/>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16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Arial" w:cs="Arial" w:eastAsia="Arial" w:hAnsi="Arial"/>
                <w:sz w:val="13"/>
                <w:szCs w:val="13"/>
                <w:b w:val="1"/>
                <w:bCs w:val="1"/>
                <w:color w:val="auto"/>
              </w:rPr>
              <w:t>Lender(s)</w:t>
            </w:r>
          </w:p>
        </w:tc>
        <w:tc>
          <w:tcPr>
            <w:tcW w:w="160" w:type="dxa"/>
            <w:vAlign w:val="bottom"/>
          </w:tcPr>
          <w:p>
            <w:pPr>
              <w:spacing w:after="0"/>
              <w:rPr>
                <w:sz w:val="14"/>
                <w:szCs w:val="14"/>
                <w:color w:val="auto"/>
              </w:rPr>
            </w:pPr>
          </w:p>
        </w:tc>
        <w:tc>
          <w:tcPr>
            <w:tcW w:w="2800" w:type="dxa"/>
            <w:vAlign w:val="bottom"/>
          </w:tcPr>
          <w:p>
            <w:pPr>
              <w:ind w:left="92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Amount</w:t>
            </w:r>
          </w:p>
        </w:tc>
        <w:tc>
          <w:tcPr>
            <w:tcW w:w="1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i w:val="1"/>
                <w:iCs w:val="1"/>
                <w:color w:val="auto"/>
                <w:w w:val="89"/>
              </w:rPr>
              <w:t>GasLog Seattle</w:t>
            </w:r>
          </w:p>
        </w:tc>
        <w:tc>
          <w:tcPr>
            <w:tcW w:w="800" w:type="dxa"/>
            <w:vAlign w:val="bottom"/>
          </w:tcPr>
          <w:p>
            <w:pPr>
              <w:ind w:left="60"/>
              <w:spacing w:after="0" w:line="131" w:lineRule="exact"/>
              <w:rPr>
                <w:sz w:val="20"/>
                <w:szCs w:val="20"/>
                <w:color w:val="auto"/>
              </w:rPr>
            </w:pPr>
            <w:r>
              <w:rPr>
                <w:rFonts w:ascii="Arial" w:cs="Arial" w:eastAsia="Arial" w:hAnsi="Arial"/>
                <w:sz w:val="13"/>
                <w:szCs w:val="13"/>
                <w:color w:val="auto"/>
              </w:rPr>
              <w:t xml:space="preserve">and </w:t>
            </w:r>
            <w:r>
              <w:rPr>
                <w:rFonts w:ascii="Arial" w:cs="Arial" w:eastAsia="Arial" w:hAnsi="Arial"/>
                <w:sz w:val="13"/>
                <w:szCs w:val="13"/>
                <w:i w:val="1"/>
                <w:iCs w:val="1"/>
                <w:color w:val="auto"/>
              </w:rPr>
              <w:t>Solaris</w:t>
            </w:r>
          </w:p>
        </w:tc>
        <w:tc>
          <w:tcPr>
            <w:tcW w:w="160" w:type="dxa"/>
            <w:vAlign w:val="bottom"/>
          </w:tcPr>
          <w:p>
            <w:pPr>
              <w:spacing w:after="0"/>
              <w:rPr>
                <w:sz w:val="11"/>
                <w:szCs w:val="11"/>
                <w:color w:val="auto"/>
              </w:rPr>
            </w:pPr>
          </w:p>
        </w:tc>
        <w:tc>
          <w:tcPr>
            <w:tcW w:w="16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Citigroup Global Market</w:t>
            </w:r>
          </w:p>
        </w:tc>
        <w:tc>
          <w:tcPr>
            <w:tcW w:w="160" w:type="dxa"/>
            <w:vAlign w:val="bottom"/>
          </w:tcPr>
          <w:p>
            <w:pPr>
              <w:spacing w:after="0"/>
              <w:rPr>
                <w:sz w:val="11"/>
                <w:szCs w:val="11"/>
                <w:color w:val="auto"/>
              </w:rPr>
            </w:pPr>
          </w:p>
        </w:tc>
        <w:tc>
          <w:tcPr>
            <w:tcW w:w="28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 xml:space="preserve">GAS-seven Ltd. </w:t>
            </w:r>
            <w:r>
              <w:rPr>
                <w:rFonts w:ascii="Arial" w:cs="Arial" w:eastAsia="Arial" w:hAnsi="Arial"/>
                <w:sz w:val="13"/>
                <w:szCs w:val="13"/>
                <w:i w:val="1"/>
                <w:iCs w:val="1"/>
                <w:color w:val="auto"/>
                <w:w w:val="97"/>
              </w:rPr>
              <w:t>(GasLog Seattle),</w:t>
            </w:r>
            <w:r>
              <w:rPr>
                <w:rFonts w:ascii="Arial" w:cs="Arial" w:eastAsia="Arial" w:hAnsi="Arial"/>
                <w:sz w:val="13"/>
                <w:szCs w:val="13"/>
                <w:color w:val="auto"/>
                <w:w w:val="97"/>
              </w:rPr>
              <w:t xml:space="preserve"> GAS-eight Ltd.</w:t>
            </w:r>
          </w:p>
        </w:tc>
        <w:tc>
          <w:tcPr>
            <w:tcW w:w="16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Term Loan:</w:t>
            </w: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LIBOR + applicable</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2021</w:t>
            </w:r>
          </w:p>
        </w:tc>
        <w:tc>
          <w:tcPr>
            <w:tcW w:w="160" w:type="dxa"/>
            <w:vAlign w:val="bottom"/>
          </w:tcPr>
          <w:p>
            <w:pPr>
              <w:spacing w:after="0"/>
              <w:rPr>
                <w:sz w:val="11"/>
                <w:szCs w:val="11"/>
                <w:color w:val="auto"/>
              </w:rPr>
            </w:pPr>
          </w:p>
        </w:tc>
        <w:tc>
          <w:tcPr>
            <w:tcW w:w="16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Term Loan: 6 semi-annual</w:t>
            </w:r>
          </w:p>
        </w:tc>
      </w:tr>
      <w:tr>
        <w:trPr>
          <w:trHeight w:val="149"/>
        </w:trPr>
        <w:tc>
          <w:tcPr>
            <w:tcW w:w="1620" w:type="dxa"/>
            <w:vAlign w:val="bottom"/>
            <w:gridSpan w:val="2"/>
          </w:tcPr>
          <w:p>
            <w:pPr>
              <w:spacing w:after="0"/>
              <w:rPr>
                <w:sz w:val="20"/>
                <w:szCs w:val="20"/>
                <w:color w:val="auto"/>
              </w:rPr>
            </w:pPr>
            <w:r>
              <w:rPr>
                <w:rFonts w:ascii="Arial" w:cs="Arial" w:eastAsia="Arial" w:hAnsi="Arial"/>
                <w:sz w:val="13"/>
                <w:szCs w:val="13"/>
                <w:color w:val="auto"/>
              </w:rPr>
              <w:t>Term and Revolving</w:t>
            </w: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Limited, Credit Suisse AG,</w:t>
            </w:r>
          </w:p>
        </w:tc>
        <w:tc>
          <w:tcPr>
            <w:tcW w:w="160" w:type="dxa"/>
            <w:vAlign w:val="bottom"/>
          </w:tcPr>
          <w:p>
            <w:pPr>
              <w:spacing w:after="0"/>
              <w:rPr>
                <w:sz w:val="12"/>
                <w:szCs w:val="12"/>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Solaris</w:t>
            </w:r>
            <w:r>
              <w:rPr>
                <w:rFonts w:ascii="Arial" w:cs="Arial" w:eastAsia="Arial" w:hAnsi="Arial"/>
                <w:sz w:val="13"/>
                <w:szCs w:val="13"/>
                <w:color w:val="auto"/>
              </w:rPr>
              <w:t>)</w:t>
            </w:r>
          </w:p>
        </w:tc>
        <w:tc>
          <w:tcPr>
            <w:tcW w:w="1440" w:type="dxa"/>
            <w:vAlign w:val="bottom"/>
            <w:gridSpan w:val="2"/>
          </w:tcPr>
          <w:p>
            <w:pPr>
              <w:ind w:left="160"/>
              <w:spacing w:after="0"/>
              <w:rPr>
                <w:sz w:val="20"/>
                <w:szCs w:val="20"/>
                <w:color w:val="auto"/>
              </w:rPr>
            </w:pPr>
            <w:r>
              <w:rPr>
                <w:rFonts w:ascii="Arial" w:cs="Arial" w:eastAsia="Arial" w:hAnsi="Arial"/>
                <w:sz w:val="13"/>
                <w:szCs w:val="13"/>
                <w:color w:val="auto"/>
              </w:rPr>
              <w:t>$216.2 million</w:t>
            </w:r>
          </w:p>
        </w:tc>
        <w:tc>
          <w:tcPr>
            <w:tcW w:w="16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installments of $7.6 million</w:t>
            </w:r>
          </w:p>
        </w:tc>
      </w:tr>
      <w:tr>
        <w:trPr>
          <w:trHeight w:val="148"/>
        </w:trPr>
        <w:tc>
          <w:tcPr>
            <w:tcW w:w="1620" w:type="dxa"/>
            <w:vAlign w:val="bottom"/>
            <w:gridSpan w:val="2"/>
          </w:tcPr>
          <w:p>
            <w:pPr>
              <w:spacing w:after="0"/>
              <w:rPr>
                <w:sz w:val="20"/>
                <w:szCs w:val="20"/>
                <w:color w:val="auto"/>
              </w:rPr>
            </w:pPr>
            <w:r>
              <w:rPr>
                <w:rFonts w:ascii="Arial" w:cs="Arial" w:eastAsia="Arial" w:hAnsi="Arial"/>
                <w:sz w:val="13"/>
                <w:szCs w:val="13"/>
                <w:color w:val="auto"/>
              </w:rPr>
              <w:t>Facilities</w:t>
            </w: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Nordea Bank AB, London</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color w:val="auto"/>
              </w:rPr>
              <w:t>Revolving Loan: $nil</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and a balloon payment of</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Branch, Skandinaviska</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$170.8 million due together</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Enskilda AB (publ), HSBC</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with the last installment in</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Bank plc, ING Bank N.V.,</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July 2021. Revolving</w:t>
            </w:r>
          </w:p>
        </w:tc>
      </w:tr>
      <w:tr>
        <w:trPr>
          <w:trHeight w:val="149"/>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London Branch, Danmarks</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Facility: $25.9 million,</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Skibskredit A/S, The Korea</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currently undrawn can be</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5"/>
              </w:rPr>
              <w:t>Development Bank and DVB</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drawn on a fully revolving</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Bank America N.V.</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w w:val="93"/>
              </w:rPr>
              <w:t>basis in minimum amounts of</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$5.0 million until 6 months</w:t>
            </w:r>
          </w:p>
        </w:tc>
      </w:tr>
      <w:tr>
        <w:trPr>
          <w:trHeight w:val="148"/>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prior to the maturity date in</w:t>
            </w:r>
          </w:p>
        </w:tc>
      </w:tr>
      <w:tr>
        <w:trPr>
          <w:trHeight w:val="172"/>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color w:val="auto"/>
              </w:rPr>
              <w:t>July 2021.</w:t>
            </w:r>
          </w:p>
        </w:tc>
      </w:tr>
    </w:tbl>
    <w:p>
      <w:pPr>
        <w:spacing w:after="0" w:line="200" w:lineRule="exact"/>
        <w:rPr>
          <w:sz w:val="20"/>
          <w:szCs w:val="20"/>
          <w:color w:val="auto"/>
        </w:rPr>
      </w:pPr>
    </w:p>
    <w:p>
      <w:pPr>
        <w:sectPr>
          <w:pgSz w:w="11900" w:h="16838" w:orient="portrait"/>
          <w:cols w:equalWidth="0" w:num="1">
            <w:col w:w="11560"/>
          </w:cols>
          <w:pgMar w:left="160" w:top="51" w:right="179" w:bottom="1440" w:gutter="0" w:footer="0" w:header="0"/>
        </w:sectPr>
      </w:pPr>
    </w:p>
    <w:p>
      <w:pPr>
        <w:spacing w:after="0" w:line="19" w:lineRule="exact"/>
        <w:rPr>
          <w:sz w:val="20"/>
          <w:szCs w:val="20"/>
          <w:color w:val="auto"/>
        </w:rPr>
      </w:pPr>
    </w:p>
    <w:p>
      <w:pPr>
        <w:spacing w:after="0"/>
        <w:tabs>
          <w:tab w:leader="none" w:pos="1760" w:val="left"/>
        </w:tabs>
        <w:rPr>
          <w:sz w:val="20"/>
          <w:szCs w:val="20"/>
          <w:color w:val="auto"/>
        </w:rPr>
      </w:pPr>
      <w:r>
        <w:rPr>
          <w:rFonts w:ascii="Arial" w:cs="Arial" w:eastAsia="Arial" w:hAnsi="Arial"/>
          <w:sz w:val="13"/>
          <w:szCs w:val="13"/>
          <w:color w:val="auto"/>
        </w:rPr>
        <w:t>Assumed October 2015</w:t>
      </w:r>
      <w:r>
        <w:rPr>
          <w:sz w:val="20"/>
          <w:szCs w:val="20"/>
          <w:color w:val="auto"/>
        </w:rPr>
        <w:tab/>
      </w:r>
      <w:r>
        <w:rPr>
          <w:rFonts w:ascii="Arial" w:cs="Arial" w:eastAsia="Arial" w:hAnsi="Arial"/>
          <w:sz w:val="12"/>
          <w:szCs w:val="12"/>
          <w:color w:val="auto"/>
        </w:rPr>
        <w:t>Citibank, N.A., London</w:t>
      </w:r>
    </w:p>
    <w:p>
      <w:pPr>
        <w:spacing w:after="0" w:line="10" w:lineRule="exact"/>
        <w:rPr>
          <w:sz w:val="20"/>
          <w:szCs w:val="20"/>
          <w:color w:val="auto"/>
        </w:rPr>
      </w:pPr>
    </w:p>
    <w:p>
      <w:pPr>
        <w:spacing w:after="0"/>
        <w:tabs>
          <w:tab w:leader="none" w:pos="1760" w:val="left"/>
        </w:tabs>
        <w:rPr>
          <w:sz w:val="20"/>
          <w:szCs w:val="20"/>
          <w:color w:val="auto"/>
        </w:rPr>
      </w:pPr>
      <w:r>
        <w:rPr>
          <w:rFonts w:ascii="Arial" w:cs="Arial" w:eastAsia="Arial" w:hAnsi="Arial"/>
          <w:sz w:val="13"/>
          <w:szCs w:val="13"/>
          <w:color w:val="auto"/>
        </w:rPr>
        <w:t>Facility</w:t>
      </w:r>
      <w:r>
        <w:rPr>
          <w:sz w:val="20"/>
          <w:szCs w:val="20"/>
          <w:color w:val="auto"/>
        </w:rPr>
        <w:tab/>
      </w:r>
      <w:r>
        <w:rPr>
          <w:rFonts w:ascii="Arial" w:cs="Arial" w:eastAsia="Arial" w:hAnsi="Arial"/>
          <w:sz w:val="13"/>
          <w:szCs w:val="13"/>
          <w:color w:val="auto"/>
        </w:rPr>
        <w:t>Branch, Nordea Bank AB,</w:t>
      </w:r>
    </w:p>
    <w:p>
      <w:pPr>
        <w:ind w:left="1780"/>
        <w:spacing w:after="0"/>
        <w:rPr>
          <w:sz w:val="20"/>
          <w:szCs w:val="20"/>
          <w:color w:val="auto"/>
        </w:rPr>
      </w:pPr>
      <w:r>
        <w:rPr>
          <w:rFonts w:ascii="Arial" w:cs="Arial" w:eastAsia="Arial" w:hAnsi="Arial"/>
          <w:sz w:val="12"/>
          <w:szCs w:val="12"/>
          <w:color w:val="auto"/>
        </w:rPr>
        <w:t>London Branch, The Export-</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Import Bank of Korea, Bank</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of America, National</w:t>
      </w:r>
    </w:p>
    <w:p>
      <w:pPr>
        <w:ind w:left="1780"/>
        <w:spacing w:after="0"/>
        <w:rPr>
          <w:sz w:val="20"/>
          <w:szCs w:val="20"/>
          <w:color w:val="auto"/>
        </w:rPr>
      </w:pPr>
      <w:r>
        <w:rPr>
          <w:rFonts w:ascii="Arial" w:cs="Arial" w:eastAsia="Arial" w:hAnsi="Arial"/>
          <w:sz w:val="13"/>
          <w:szCs w:val="13"/>
          <w:color w:val="auto"/>
        </w:rPr>
        <w:t>Association, BNP Paribas,</w:t>
      </w:r>
    </w:p>
    <w:p>
      <w:pPr>
        <w:ind w:left="1780"/>
        <w:spacing w:after="0"/>
        <w:rPr>
          <w:sz w:val="20"/>
          <w:szCs w:val="20"/>
          <w:color w:val="auto"/>
        </w:rPr>
      </w:pPr>
      <w:r>
        <w:rPr>
          <w:rFonts w:ascii="Arial" w:cs="Arial" w:eastAsia="Arial" w:hAnsi="Arial"/>
          <w:sz w:val="13"/>
          <w:szCs w:val="13"/>
          <w:color w:val="auto"/>
        </w:rPr>
        <w:t>Crédit Agricole Corporate</w:t>
      </w:r>
    </w:p>
    <w:p>
      <w:pPr>
        <w:ind w:left="1780"/>
        <w:spacing w:after="0"/>
        <w:rPr>
          <w:sz w:val="20"/>
          <w:szCs w:val="20"/>
          <w:color w:val="auto"/>
        </w:rPr>
      </w:pPr>
      <w:r>
        <w:rPr>
          <w:rFonts w:ascii="Arial" w:cs="Arial" w:eastAsia="Arial" w:hAnsi="Arial"/>
          <w:sz w:val="12"/>
          <w:szCs w:val="12"/>
          <w:color w:val="auto"/>
        </w:rPr>
        <w:t>and Investment Bank, Credit</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Suisse AG, HSBC Bank plc,</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ING Bank N.V., London</w:t>
      </w:r>
    </w:p>
    <w:p>
      <w:pPr>
        <w:ind w:left="1780"/>
        <w:spacing w:after="0"/>
        <w:rPr>
          <w:sz w:val="20"/>
          <w:szCs w:val="20"/>
          <w:color w:val="auto"/>
        </w:rPr>
      </w:pPr>
      <w:r>
        <w:rPr>
          <w:rFonts w:ascii="Arial" w:cs="Arial" w:eastAsia="Arial" w:hAnsi="Arial"/>
          <w:sz w:val="13"/>
          <w:szCs w:val="13"/>
          <w:color w:val="auto"/>
        </w:rPr>
        <w:t>Branch, KEB HANA Bank,</w:t>
      </w:r>
    </w:p>
    <w:p>
      <w:pPr>
        <w:ind w:left="1780"/>
        <w:spacing w:after="0"/>
        <w:rPr>
          <w:sz w:val="20"/>
          <w:szCs w:val="20"/>
          <w:color w:val="auto"/>
        </w:rPr>
      </w:pPr>
      <w:r>
        <w:rPr>
          <w:rFonts w:ascii="Arial" w:cs="Arial" w:eastAsia="Arial" w:hAnsi="Arial"/>
          <w:sz w:val="13"/>
          <w:szCs w:val="13"/>
          <w:color w:val="auto"/>
        </w:rPr>
        <w:t>London Branch, KfW IPEX-</w:t>
      </w:r>
    </w:p>
    <w:p>
      <w:pPr>
        <w:ind w:left="1780"/>
        <w:spacing w:after="0"/>
        <w:rPr>
          <w:sz w:val="20"/>
          <w:szCs w:val="20"/>
          <w:color w:val="auto"/>
        </w:rPr>
      </w:pPr>
      <w:r>
        <w:rPr>
          <w:rFonts w:ascii="Arial" w:cs="Arial" w:eastAsia="Arial" w:hAnsi="Arial"/>
          <w:sz w:val="13"/>
          <w:szCs w:val="13"/>
          <w:color w:val="auto"/>
        </w:rPr>
        <w:t>Bank GmbH, National</w:t>
      </w:r>
    </w:p>
    <w:p>
      <w:pPr>
        <w:ind w:left="1780"/>
        <w:spacing w:after="0"/>
        <w:rPr>
          <w:sz w:val="20"/>
          <w:szCs w:val="20"/>
          <w:color w:val="auto"/>
        </w:rPr>
      </w:pPr>
      <w:r>
        <w:rPr>
          <w:rFonts w:ascii="Arial" w:cs="Arial" w:eastAsia="Arial" w:hAnsi="Arial"/>
          <w:sz w:val="13"/>
          <w:szCs w:val="13"/>
          <w:color w:val="auto"/>
        </w:rPr>
        <w:t>Australia Bank Limited,</w:t>
      </w:r>
    </w:p>
    <w:p>
      <w:pPr>
        <w:ind w:left="1780"/>
        <w:spacing w:after="0"/>
        <w:rPr>
          <w:sz w:val="20"/>
          <w:szCs w:val="20"/>
          <w:color w:val="auto"/>
        </w:rPr>
      </w:pPr>
      <w:r>
        <w:rPr>
          <w:rFonts w:ascii="Arial" w:cs="Arial" w:eastAsia="Arial" w:hAnsi="Arial"/>
          <w:sz w:val="13"/>
          <w:szCs w:val="13"/>
          <w:color w:val="auto"/>
        </w:rPr>
        <w:t>Oversea-Chinese Banking</w:t>
      </w:r>
    </w:p>
    <w:p>
      <w:pPr>
        <w:ind w:left="1780"/>
        <w:spacing w:after="0"/>
        <w:rPr>
          <w:sz w:val="20"/>
          <w:szCs w:val="20"/>
          <w:color w:val="auto"/>
        </w:rPr>
      </w:pPr>
      <w:r>
        <w:rPr>
          <w:rFonts w:ascii="Arial" w:cs="Arial" w:eastAsia="Arial" w:hAnsi="Arial"/>
          <w:sz w:val="12"/>
          <w:szCs w:val="12"/>
          <w:color w:val="auto"/>
        </w:rPr>
        <w:t>Corporation Limited, Société</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Générale and The Korea</w:t>
      </w:r>
    </w:p>
    <w:p>
      <w:pPr>
        <w:ind w:left="1780"/>
        <w:spacing w:after="0"/>
        <w:rPr>
          <w:sz w:val="20"/>
          <w:szCs w:val="20"/>
          <w:color w:val="auto"/>
        </w:rPr>
      </w:pPr>
      <w:r>
        <w:rPr>
          <w:rFonts w:ascii="Arial" w:cs="Arial" w:eastAsia="Arial" w:hAnsi="Arial"/>
          <w:sz w:val="13"/>
          <w:szCs w:val="13"/>
          <w:color w:val="auto"/>
        </w:rPr>
        <w:t>Development Bank</w:t>
      </w:r>
    </w:p>
    <w:p>
      <w:pPr>
        <w:spacing w:after="0" w:line="20" w:lineRule="exact"/>
        <w:rPr>
          <w:sz w:val="20"/>
          <w:szCs w:val="20"/>
          <w:color w:val="auto"/>
        </w:rPr>
      </w:pPr>
      <w:r>
        <w:rPr>
          <w:sz w:val="20"/>
          <w:szCs w:val="20"/>
          <w:color w:val="auto"/>
        </w:rPr>
        <w:br w:type="column"/>
      </w:r>
    </w:p>
    <w:p>
      <w:pPr>
        <w:spacing w:after="0"/>
        <w:tabs>
          <w:tab w:leader="none" w:pos="2940" w:val="left"/>
          <w:tab w:leader="none" w:pos="4380" w:val="left"/>
          <w:tab w:leader="none" w:pos="5960" w:val="left"/>
          <w:tab w:leader="none" w:pos="6400" w:val="left"/>
        </w:tabs>
        <w:rPr>
          <w:sz w:val="20"/>
          <w:szCs w:val="20"/>
          <w:color w:val="auto"/>
        </w:rPr>
      </w:pPr>
      <w:r>
        <w:rPr>
          <w:rFonts w:ascii="Arial" w:cs="Arial" w:eastAsia="Arial" w:hAnsi="Arial"/>
          <w:sz w:val="13"/>
          <w:szCs w:val="13"/>
          <w:color w:val="auto"/>
        </w:rPr>
        <w:t>GAS-eleven Ltd. (</w:t>
      </w:r>
      <w:r>
        <w:rPr>
          <w:rFonts w:ascii="Arial" w:cs="Arial" w:eastAsia="Arial" w:hAnsi="Arial"/>
          <w:sz w:val="13"/>
          <w:szCs w:val="13"/>
          <w:i w:val="1"/>
          <w:iCs w:val="1"/>
          <w:color w:val="auto"/>
        </w:rPr>
        <w:t>GasLog Greece</w:t>
      </w:r>
      <w:r>
        <w:rPr>
          <w:rFonts w:ascii="Arial" w:cs="Arial" w:eastAsia="Arial" w:hAnsi="Arial"/>
          <w:sz w:val="13"/>
          <w:szCs w:val="13"/>
          <w:color w:val="auto"/>
        </w:rPr>
        <w:t>), GAS-</w:t>
      </w:r>
      <w:r>
        <w:rPr>
          <w:sz w:val="20"/>
          <w:szCs w:val="20"/>
          <w:color w:val="auto"/>
        </w:rPr>
        <w:tab/>
      </w:r>
      <w:r>
        <w:rPr>
          <w:rFonts w:ascii="Arial" w:cs="Arial" w:eastAsia="Arial" w:hAnsi="Arial"/>
          <w:sz w:val="13"/>
          <w:szCs w:val="13"/>
          <w:color w:val="auto"/>
        </w:rPr>
        <w:t>$410.0 million</w:t>
      </w:r>
      <w:r>
        <w:rPr>
          <w:sz w:val="20"/>
          <w:szCs w:val="20"/>
          <w:color w:val="auto"/>
        </w:rPr>
        <w:tab/>
      </w:r>
      <w:r>
        <w:rPr>
          <w:rFonts w:ascii="Arial" w:cs="Arial" w:eastAsia="Arial" w:hAnsi="Arial"/>
          <w:sz w:val="13"/>
          <w:szCs w:val="13"/>
          <w:color w:val="auto"/>
        </w:rPr>
        <w:t>LIBOR + applicable</w:t>
      </w:r>
      <w:r>
        <w:rPr>
          <w:sz w:val="20"/>
          <w:szCs w:val="20"/>
          <w:color w:val="auto"/>
        </w:rPr>
        <w:tab/>
      </w:r>
      <w:r>
        <w:rPr>
          <w:rFonts w:ascii="Arial" w:cs="Arial" w:eastAsia="Arial" w:hAnsi="Arial"/>
          <w:sz w:val="13"/>
          <w:szCs w:val="13"/>
          <w:color w:val="auto"/>
        </w:rPr>
        <w:t>2028</w:t>
      </w:r>
      <w:r>
        <w:rPr>
          <w:sz w:val="20"/>
          <w:szCs w:val="20"/>
          <w:color w:val="auto"/>
        </w:rPr>
        <w:tab/>
      </w:r>
      <w:r>
        <w:rPr>
          <w:rFonts w:ascii="Arial" w:cs="Arial" w:eastAsia="Arial" w:hAnsi="Arial"/>
          <w:sz w:val="12"/>
          <w:szCs w:val="12"/>
          <w:color w:val="auto"/>
        </w:rPr>
        <w:t>GAS-eleven Ltd.: 14</w:t>
      </w:r>
    </w:p>
    <w:p>
      <w:pPr>
        <w:spacing w:after="0" w:line="10" w:lineRule="exact"/>
        <w:rPr>
          <w:sz w:val="20"/>
          <w:szCs w:val="20"/>
          <w:color w:val="auto"/>
        </w:rPr>
      </w:pPr>
    </w:p>
    <w:p>
      <w:pPr>
        <w:spacing w:after="0"/>
        <w:tabs>
          <w:tab w:leader="none" w:pos="4380" w:val="left"/>
          <w:tab w:leader="none" w:pos="6400" w:val="left"/>
        </w:tabs>
        <w:rPr>
          <w:sz w:val="20"/>
          <w:szCs w:val="20"/>
          <w:color w:val="auto"/>
        </w:rPr>
      </w:pPr>
      <w:r>
        <w:rPr>
          <w:rFonts w:ascii="Arial" w:cs="Arial" w:eastAsia="Arial" w:hAnsi="Arial"/>
          <w:sz w:val="13"/>
          <w:szCs w:val="13"/>
          <w:color w:val="auto"/>
        </w:rPr>
        <w:t>thirteen Ltd. (</w:t>
      </w:r>
      <w:r>
        <w:rPr>
          <w:rFonts w:ascii="Arial" w:cs="Arial" w:eastAsia="Arial" w:hAnsi="Arial"/>
          <w:sz w:val="13"/>
          <w:szCs w:val="13"/>
          <w:i w:val="1"/>
          <w:iCs w:val="1"/>
          <w:color w:val="auto"/>
        </w:rPr>
        <w:t>GasLog Geneva</w:t>
      </w:r>
      <w:r>
        <w:rPr>
          <w:rFonts w:ascii="Arial" w:cs="Arial" w:eastAsia="Arial" w:hAnsi="Arial"/>
          <w:sz w:val="13"/>
          <w:szCs w:val="13"/>
          <w:color w:val="auto"/>
        </w:rPr>
        <w:t>), GAS-fourteen Ltd.</w:t>
      </w:r>
      <w:r>
        <w:rPr>
          <w:sz w:val="20"/>
          <w:szCs w:val="20"/>
          <w:color w:val="auto"/>
        </w:rPr>
        <w:tab/>
      </w:r>
      <w:r>
        <w:rPr>
          <w:rFonts w:ascii="Arial" w:cs="Arial" w:eastAsia="Arial" w:hAnsi="Arial"/>
          <w:sz w:val="13"/>
          <w:szCs w:val="13"/>
          <w:color w:val="auto"/>
        </w:rPr>
        <w:t>margin</w:t>
      </w:r>
      <w:r>
        <w:rPr>
          <w:sz w:val="20"/>
          <w:szCs w:val="20"/>
          <w:color w:val="auto"/>
        </w:rPr>
        <w:tab/>
      </w:r>
      <w:r>
        <w:rPr>
          <w:rFonts w:ascii="Arial" w:cs="Arial" w:eastAsia="Arial" w:hAnsi="Arial"/>
          <w:sz w:val="11"/>
          <w:szCs w:val="11"/>
          <w:color w:val="auto"/>
        </w:rPr>
        <w:t>consecutive semi-annual</w:t>
      </w:r>
    </w:p>
    <w:p>
      <w:pPr>
        <w:spacing w:after="0"/>
        <w:tabs>
          <w:tab w:leader="none" w:pos="6400" w:val="left"/>
        </w:tabs>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Gibraltar</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installments of $5.8 million,</w:t>
      </w:r>
    </w:p>
    <w:p>
      <w:pPr>
        <w:ind w:left="6420"/>
        <w:spacing w:after="0"/>
        <w:rPr>
          <w:sz w:val="20"/>
          <w:szCs w:val="20"/>
          <w:color w:val="auto"/>
        </w:rPr>
      </w:pPr>
      <w:r>
        <w:rPr>
          <w:rFonts w:ascii="Arial" w:cs="Arial" w:eastAsia="Arial" w:hAnsi="Arial"/>
          <w:sz w:val="13"/>
          <w:szCs w:val="13"/>
          <w:color w:val="auto"/>
        </w:rPr>
        <w:t>a balloon payment due in</w:t>
      </w:r>
    </w:p>
    <w:p>
      <w:pPr>
        <w:ind w:left="6420"/>
        <w:spacing w:after="0"/>
        <w:rPr>
          <w:sz w:val="20"/>
          <w:szCs w:val="20"/>
          <w:color w:val="auto"/>
        </w:rPr>
      </w:pPr>
      <w:r>
        <w:rPr>
          <w:rFonts w:ascii="Arial" w:cs="Arial" w:eastAsia="Arial" w:hAnsi="Arial"/>
          <w:sz w:val="13"/>
          <w:szCs w:val="13"/>
          <w:color w:val="auto"/>
        </w:rPr>
        <w:t>2026 of $36.3 million and</w:t>
      </w:r>
    </w:p>
    <w:p>
      <w:pPr>
        <w:ind w:left="6420"/>
        <w:spacing w:after="0"/>
        <w:rPr>
          <w:sz w:val="20"/>
          <w:szCs w:val="20"/>
          <w:color w:val="auto"/>
        </w:rPr>
      </w:pPr>
      <w:r>
        <w:rPr>
          <w:rFonts w:ascii="Arial" w:cs="Arial" w:eastAsia="Arial" w:hAnsi="Arial"/>
          <w:sz w:val="13"/>
          <w:szCs w:val="13"/>
          <w:color w:val="auto"/>
        </w:rPr>
        <w:t>thereafter 4 consecutive</w:t>
      </w:r>
    </w:p>
    <w:p>
      <w:pPr>
        <w:ind w:left="6420"/>
        <w:spacing w:after="0"/>
        <w:rPr>
          <w:sz w:val="20"/>
          <w:szCs w:val="20"/>
          <w:color w:val="auto"/>
        </w:rPr>
      </w:pPr>
      <w:r>
        <w:rPr>
          <w:rFonts w:ascii="Arial" w:cs="Arial" w:eastAsia="Arial" w:hAnsi="Arial"/>
          <w:sz w:val="12"/>
          <w:szCs w:val="12"/>
          <w:color w:val="auto"/>
        </w:rPr>
        <w:t>semi-annual installments of</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$4.2 million until March</w:t>
      </w:r>
    </w:p>
    <w:p>
      <w:pPr>
        <w:ind w:left="6420"/>
        <w:spacing w:after="0"/>
        <w:rPr>
          <w:sz w:val="20"/>
          <w:szCs w:val="20"/>
          <w:color w:val="auto"/>
        </w:rPr>
      </w:pPr>
      <w:r>
        <w:rPr>
          <w:rFonts w:ascii="Arial" w:cs="Arial" w:eastAsia="Arial" w:hAnsi="Arial"/>
          <w:sz w:val="13"/>
          <w:szCs w:val="13"/>
          <w:color w:val="auto"/>
        </w:rPr>
        <w:t>2028.</w:t>
      </w:r>
    </w:p>
    <w:p>
      <w:pPr>
        <w:ind w:left="6420"/>
        <w:spacing w:after="0"/>
        <w:rPr>
          <w:sz w:val="20"/>
          <w:szCs w:val="20"/>
          <w:color w:val="auto"/>
        </w:rPr>
      </w:pPr>
      <w:r>
        <w:rPr>
          <w:rFonts w:ascii="Arial" w:cs="Arial" w:eastAsia="Arial" w:hAnsi="Arial"/>
          <w:sz w:val="13"/>
          <w:szCs w:val="13"/>
          <w:color w:val="auto"/>
        </w:rPr>
        <w:t>GAS-thirteen Ltd.: 15</w:t>
      </w:r>
    </w:p>
    <w:p>
      <w:pPr>
        <w:ind w:left="6420"/>
        <w:spacing w:after="0"/>
        <w:rPr>
          <w:sz w:val="20"/>
          <w:szCs w:val="20"/>
          <w:color w:val="auto"/>
        </w:rPr>
      </w:pPr>
      <w:r>
        <w:rPr>
          <w:rFonts w:ascii="Arial" w:cs="Arial" w:eastAsia="Arial" w:hAnsi="Arial"/>
          <w:sz w:val="13"/>
          <w:szCs w:val="13"/>
          <w:color w:val="auto"/>
        </w:rPr>
        <w:t>consecutive semi-annual</w:t>
      </w:r>
    </w:p>
    <w:p>
      <w:pPr>
        <w:ind w:left="6420"/>
        <w:spacing w:after="0"/>
        <w:rPr>
          <w:sz w:val="20"/>
          <w:szCs w:val="20"/>
          <w:color w:val="auto"/>
        </w:rPr>
      </w:pPr>
      <w:r>
        <w:rPr>
          <w:rFonts w:ascii="Arial" w:cs="Arial" w:eastAsia="Arial" w:hAnsi="Arial"/>
          <w:sz w:val="12"/>
          <w:szCs w:val="12"/>
          <w:color w:val="auto"/>
        </w:rPr>
        <w:t>installments of $5.7 million,</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a balloon payment due in</w:t>
      </w:r>
    </w:p>
    <w:p>
      <w:pPr>
        <w:ind w:left="6420"/>
        <w:spacing w:after="0"/>
        <w:rPr>
          <w:sz w:val="20"/>
          <w:szCs w:val="20"/>
          <w:color w:val="auto"/>
        </w:rPr>
      </w:pPr>
      <w:r>
        <w:rPr>
          <w:rFonts w:ascii="Arial" w:cs="Arial" w:eastAsia="Arial" w:hAnsi="Arial"/>
          <w:sz w:val="13"/>
          <w:szCs w:val="13"/>
          <w:color w:val="auto"/>
        </w:rPr>
        <w:t>2026 of $35.8 million and</w:t>
      </w:r>
    </w:p>
    <w:p>
      <w:pPr>
        <w:ind w:left="6420"/>
        <w:spacing w:after="0"/>
        <w:rPr>
          <w:sz w:val="20"/>
          <w:szCs w:val="20"/>
          <w:color w:val="auto"/>
        </w:rPr>
      </w:pPr>
      <w:r>
        <w:rPr>
          <w:rFonts w:ascii="Arial" w:cs="Arial" w:eastAsia="Arial" w:hAnsi="Arial"/>
          <w:sz w:val="13"/>
          <w:szCs w:val="13"/>
          <w:color w:val="auto"/>
        </w:rPr>
        <w:t>thereafter 4 consecutive</w:t>
      </w:r>
    </w:p>
    <w:p>
      <w:pPr>
        <w:ind w:left="6420"/>
        <w:spacing w:after="0"/>
        <w:rPr>
          <w:sz w:val="20"/>
          <w:szCs w:val="20"/>
          <w:color w:val="auto"/>
        </w:rPr>
      </w:pPr>
      <w:r>
        <w:rPr>
          <w:rFonts w:ascii="Arial" w:cs="Arial" w:eastAsia="Arial" w:hAnsi="Arial"/>
          <w:sz w:val="12"/>
          <w:szCs w:val="12"/>
          <w:color w:val="auto"/>
        </w:rPr>
        <w:t>semi-annual installments of</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$4.2 million until September</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2028.</w:t>
      </w:r>
    </w:p>
    <w:p>
      <w:pPr>
        <w:spacing w:after="0" w:line="203"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GAS-fourteen Ltd.: 15</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consecutive semi-annual</w:t>
      </w:r>
    </w:p>
    <w:p>
      <w:pPr>
        <w:ind w:left="6420"/>
        <w:spacing w:after="0"/>
        <w:rPr>
          <w:sz w:val="20"/>
          <w:szCs w:val="20"/>
          <w:color w:val="auto"/>
        </w:rPr>
      </w:pPr>
      <w:r>
        <w:rPr>
          <w:rFonts w:ascii="Arial" w:cs="Arial" w:eastAsia="Arial" w:hAnsi="Arial"/>
          <w:sz w:val="12"/>
          <w:szCs w:val="12"/>
          <w:color w:val="auto"/>
        </w:rPr>
        <w:t>installments of $5.7 million,</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a balloon payment due in</w:t>
      </w:r>
    </w:p>
    <w:p>
      <w:pPr>
        <w:ind w:left="6420"/>
        <w:spacing w:after="0"/>
        <w:rPr>
          <w:sz w:val="20"/>
          <w:szCs w:val="20"/>
          <w:color w:val="auto"/>
        </w:rPr>
      </w:pPr>
      <w:r>
        <w:rPr>
          <w:rFonts w:ascii="Arial" w:cs="Arial" w:eastAsia="Arial" w:hAnsi="Arial"/>
          <w:sz w:val="13"/>
          <w:szCs w:val="13"/>
          <w:color w:val="auto"/>
        </w:rPr>
        <w:t>2026 of $35.8 million and</w:t>
      </w:r>
    </w:p>
    <w:p>
      <w:pPr>
        <w:ind w:left="6420"/>
        <w:spacing w:after="0"/>
        <w:rPr>
          <w:sz w:val="20"/>
          <w:szCs w:val="20"/>
          <w:color w:val="auto"/>
        </w:rPr>
      </w:pPr>
      <w:r>
        <w:rPr>
          <w:rFonts w:ascii="Arial" w:cs="Arial" w:eastAsia="Arial" w:hAnsi="Arial"/>
          <w:sz w:val="13"/>
          <w:szCs w:val="13"/>
          <w:color w:val="auto"/>
        </w:rPr>
        <w:t>thereafter 4 consecutive</w:t>
      </w:r>
    </w:p>
    <w:p>
      <w:pPr>
        <w:ind w:left="6420"/>
        <w:spacing w:after="0"/>
        <w:rPr>
          <w:sz w:val="20"/>
          <w:szCs w:val="20"/>
          <w:color w:val="auto"/>
        </w:rPr>
      </w:pPr>
      <w:r>
        <w:rPr>
          <w:rFonts w:ascii="Arial" w:cs="Arial" w:eastAsia="Arial" w:hAnsi="Arial"/>
          <w:sz w:val="12"/>
          <w:szCs w:val="12"/>
          <w:color w:val="auto"/>
        </w:rPr>
        <w:t>semi-annual installments of</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$4.2 million until September</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2028.</w:t>
      </w: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146050</wp:posOffset>
            </wp:positionV>
            <wp:extent cx="734187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2">
            <w:col w:w="3360" w:space="180"/>
            <w:col w:w="8020"/>
          </w:cols>
          <w:pgMar w:left="160" w:top="51" w:right="17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Facility is secured as follows:</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borrowers;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guarantees from us and our subsidiary GasLog Partners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insurances related to the vessels owned by the borrowers.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Partnership Facility imposes certain operating and financial restrictions on our subsidiaries, which generally limit our subsidiaries' ability to, among other things:</w:t>
      </w:r>
    </w:p>
    <w:p>
      <w:pPr>
        <w:spacing w:after="0" w:line="213"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our shipbuilding contracts,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Partnership Facility also imposes specified financial covenants that apply to us and our subsidiaries on a consolidated basis. These financial covenants include the following:</w:t>
      </w:r>
    </w:p>
    <w:p>
      <w:pPr>
        <w:spacing w:after="0" w:line="213"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aggregate amount of all unencumbered cash and cash equivalents must be no less than the higher of 3.0% of total indebtedness or $15.0 million;</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be less than 60.0%;</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 less than 110.0%; and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Partnership Facility contains covenants requiring that the aggregate fair market value of the vessels securing the facility remains above 120.0% of the aggregate amount outstanding under the facility. In the event that the value of the vessels falls below the threshold, we could be required to provide the lender with additional security or to prepay a portion of the outstanding loan balance, which could negatively impact our liquidity. Compliance with the financial covenants is reported on a semi-annual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Sponsor Credit Facility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completion of the IPO on May 12, 2014, the Partnership entered into a $30.0 million revolving credit facility with GasLog (the "Old Sponsor Credit Facility"), to be used for general partnership purposes. The credit facility was for a term of 36 months, unsecured and bore interest at a rate of 5.0% per annum, with no commitment fee for the first year. After the first year, the interest increased to a rate of 6.0% per annum, with an annual 2.4% commitment fee on the undrawn balance.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3, 2017, GasLog Partners signed a deed of termination with respect to the Old Sponsor Credit Facility. On the same date, GasLog Partners entered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into the New Sponsor Credit Facility with GasLog for a new unsecured five-year term loan of $45.0 million and a new five-year revolving credit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On April 5, 2017, an amount of $45.0 million under the term loan facility and an amount of $15.0 million under the revolving credit facility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drawn by the Partnership, with the latter fully repaid on May 22, 2017. On March 23, 2018, the $45.0 million term loan under the New Sponsor Facility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GasLog was prepaid and terminated. The New Sponsor Credit Facility is unsecured and the revolving credit facility provides for an availability period of five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borrowing under the New Sponsor Credit Facility accrues interest at a rate of 9.125% per annum with an annual 1.0% commitment fee on the undrawn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w:t>
      </w:r>
    </w:p>
    <w:p>
      <w:pPr>
        <w:spacing w:after="0" w:line="21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New Sponsor Credit Facility contains customary events of default, including non-payment of principal or interest, breach of covenants or material inaccuracy of representations, default under other material indebtedness and bankruptcy. In addition, the New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 Vessel Refinancing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On February 18, 2016, subsidiaries of the Partnership and GasLog entered into credit agreements to refinance the debt maturities that were scheduled to become due in 2016 and 2017. The vessels covered by the Five Vessel Refinancing are the Partnership-owned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Five Vessel Refinancing is secured as follows:</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respective borrowers;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guarantee from GasLog, guarantees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 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from us and GasLog Partners Holdings and a guarantee from GasLog Carriers for up to the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on the remaining vessel;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first priority assignment of all earnings and insurance related to the vessels owned by the respective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Five Vessel Refinancing imposes certain operating and financial restrictions on the Partnership and GasLog. These restrictions generally limit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Partnership's and GasLog's collective subsidiaries' ability to, among other things:</w:t>
      </w:r>
    </w:p>
    <w:p>
      <w:pPr>
        <w:spacing w:after="0" w:line="246"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5700" w:right="400" w:hanging="5152"/>
        <w:spacing w:after="0" w:line="518" w:lineRule="auto"/>
        <w:tabs>
          <w:tab w:leader="none" w:pos="10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the Partnership or any of its affiliates;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418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GasLog and the Partnership's guarantees to the Five Vessel Refinancing impose specified financial covenants that apply to the Partnership and GasLog and its subsidiaries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aggregate amount of all unencumbered cash and cash equivalents must be not less than the higher of 3.0% of total indebtedness or $15.0 million;</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5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21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199" w:lineRule="exact"/>
        <w:rPr>
          <w:rFonts w:ascii="Arial" w:cs="Arial" w:eastAsia="Arial" w:hAnsi="Arial"/>
          <w:sz w:val="18"/>
          <w:szCs w:val="18"/>
          <w:color w:val="auto"/>
        </w:rPr>
      </w:pPr>
    </w:p>
    <w:p>
      <w:pPr>
        <w:ind w:left="1080" w:right="240" w:hanging="532"/>
        <w:spacing w:after="0" w:line="33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Five Vessel Refinancing also imposes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as defined in the Five Vessel Refinancing, without repaying all of the Partnership's and GasLog's indebtedness under the Five Vessel Refinancing in full.</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Five Vessel Refinancing contains customary events of default, including non-payment of principal or interest, breach of covenants or material inaccuracy of representations, default under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material indebtedness and bankruptcy. In addition, it contains covenants requiring the Partnership, GasLog and certain of their subsidiaries to maintain the aggregate of (i) the market value, on a charter exclusive basis, of the mortgaged vessel or vessels and (ii) the market value of any additional security provided to the lenders, at not less than 120.0% of the then outstanding amount under the applicable facility and any related swap exposure. If the Partnership and GasLog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Seattle and Solaris Term and Revolving Facilities</w:t>
      </w:r>
    </w:p>
    <w:p>
      <w:pPr>
        <w:spacing w:after="0" w:line="225"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 xml:space="preserve">Following the acquisition of GAS-seven Ltd., the entity that owns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on November 1, 2016, and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on October 20, 2017, the Partnership assumed $122.3 million and $116.5 million, respectively, of outstanding indebtedness of the acquired entities.</w:t>
      </w:r>
    </w:p>
    <w:p>
      <w:pPr>
        <w:spacing w:after="0" w:line="14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$1,050.0 million (the "Legacy Facility Refinancing") with a number of international banks,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 is secured as follows:</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right="320" w:hanging="532"/>
        <w:spacing w:after="0" w:line="33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guarantee from GasLog, guarantees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us and GasLog Partners Holdings and a guarantee from GasLog Carriers for up to the value of the commitment on the remaining vessels;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Cool Pool Limited, and insurance related to the ships owned by the respective borrowers.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Legacy Facility Refinancing imposes certain operating and financial restrictions on GasLog. These restrictions generally limit GasLog's ability to, among other things:</w:t>
      </w:r>
    </w:p>
    <w:p>
      <w:pPr>
        <w:spacing w:after="0" w:line="213"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any of GasLog's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Legacy Facility Refinancing also imposes specified financial covenants that apply to GasLog and its subsidiaries on a consolidated basis.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Legacy Facility Refinancing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212"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60"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GasLog fails to comply with these covenants and is not able to obtain covenant waivers or modifications, the lenders could require prepayments or additional collateral sufficient for the compliance with such covenants, otherwise indebtedness could be accelerated.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October 2015 Facility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connection with the acquisitions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on May 3, 2017, GAS-thirteen Ltd., the entity that owns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GasLog Geneva</w:t>
      </w:r>
      <w:r>
        <w:rPr>
          <w:rFonts w:ascii="Arial" w:cs="Arial" w:eastAsia="Arial" w:hAnsi="Arial"/>
          <w:sz w:val="16"/>
          <w:szCs w:val="16"/>
          <w:color w:val="auto"/>
        </w:rPr>
        <w:t>, on July 3, 2017 and GAS-fourteen Ltd., the entity that owns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on April 26, 2018, the Partnership assumed $151.4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$155.0 million and $143.6 million of outstanding indebtedness of the respective acquired entities under a debt financing agreement dated October 16, 2015 with 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banks, with Citibank N.A. London Branch and Nordea Bank AB, London Branch acting as agents on behalf of the other finance parties. The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backed by the Export Import Bank of Korea ("KEXIM") and the Korea Trade Insurance Corporation ("K-Sure"), who are either directly lending or providing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cover for over 60% of the facility.</w:t>
      </w:r>
    </w:p>
    <w:p>
      <w:pPr>
        <w:spacing w:after="0" w:line="21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provided for four tranches of $51.3 million, $25.6 million, $25.0 million and $61.1 million, while the loan agreement with respect to each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provided for four tranches of $50.5 million, $25.3 million, $24.6 million and $60.3 million, respectively. Under the terms of the agreement, each drawing under the first three tranches would be repaid in 24 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 installment. On March 22, 2016, $163.0 million was drawn down to partially finance the delivery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GasLog Greece, </w:t>
      </w:r>
      <w:r>
        <w:rPr>
          <w:rFonts w:ascii="Arial" w:cs="Arial" w:eastAsia="Arial" w:hAnsi="Arial"/>
          <w:sz w:val="16"/>
          <w:szCs w:val="16"/>
          <w:color w:val="auto"/>
        </w:rPr>
        <w:t>on September 26, 2016, $160.7 million was drawn down to partially finance the delivery of 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and on October 25, 2016,</w:t>
      </w:r>
    </w:p>
    <w:p>
      <w:pPr>
        <w:spacing w:after="0" w:line="3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 xml:space="preserve">$160.7 million was drawn to partially finance the 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Amounts drawn under each applicable tranche bear interest at LIBOR plus a margin.</w:t>
      </w:r>
    </w:p>
    <w:p>
      <w:pPr>
        <w:spacing w:after="0" w:line="193"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The facility includes customary restrictive covenants which include a fair market value covenant pursuant to which an event of default could occur under the facility if the aggregate fair market values of the collateral vessels (without taking into account any charter arrangements) were to fall below 115.0% of the aggregate outstanding principal balances for the first two years after each drawdown and below 120% at any time thereafter.</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 million after the first drawdown;</w:t>
      </w:r>
    </w:p>
    <w:p>
      <w:pPr>
        <w:spacing w:after="0" w:line="212"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 million.</w:t>
      </w:r>
    </w:p>
    <w:p>
      <w:pPr>
        <w:spacing w:after="0" w:line="225" w:lineRule="exact"/>
        <w:rPr>
          <w:sz w:val="20"/>
          <w:szCs w:val="20"/>
          <w:color w:val="auto"/>
        </w:rPr>
      </w:pPr>
    </w:p>
    <w:p>
      <w:pPr>
        <w:ind w:right="240" w:firstLine="341"/>
        <w:spacing w:after="0" w:line="331" w:lineRule="auto"/>
        <w:rPr>
          <w:sz w:val="20"/>
          <w:szCs w:val="20"/>
          <w:color w:val="auto"/>
        </w:rPr>
      </w:pPr>
      <w:r>
        <w:rPr>
          <w:rFonts w:ascii="Arial" w:cs="Arial" w:eastAsia="Arial" w:hAnsi="Arial"/>
          <w:sz w:val="16"/>
          <w:szCs w:val="16"/>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w:t>
      </w:r>
    </w:p>
    <w:p>
      <w:pPr>
        <w:spacing w:after="0" w:line="14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GasLog Partners Facility</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 a loan agreement with Credit Suisse AG, Nordea Bank ABP, filial i Norge and Iyo Bank Ltd., Singapore Branch, each an original lender,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GasLog Shanghai, GasLog Santiago,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GasLog Sydney, Methane Rita Andrea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agreement provides for an amortising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The facility is currently undrawn.</w:t>
      </w:r>
    </w:p>
    <w:p>
      <w:pPr>
        <w:spacing w:after="0" w:line="16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The obligations under the 2019 GasLog Partners Facility, are secured by a first priority mortgage over the vessels, a pledge of the share capital of the respective vessel owning companies and a first priority assignment of earnings related to the vessels (excluding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which participates in the Cool Pool), including charter revenue, management revenue and any insurance and requisition compensation. The obligations under the facility are guaranteed by the Partnership and GasLog Partners Holdings LLC.</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2019 GasLog Partners Credit Facility is subject to specified financial covenants that apply to GasLog Partners on a consolidated basis. These financial covenants include the following:</w:t>
      </w:r>
    </w:p>
    <w:p>
      <w:pPr>
        <w:spacing w:after="0" w:line="199" w:lineRule="exact"/>
        <w:rPr>
          <w:sz w:val="20"/>
          <w:szCs w:val="20"/>
          <w:color w:val="auto"/>
        </w:rPr>
      </w:pPr>
    </w:p>
    <w:p>
      <w:pPr>
        <w:ind w:left="1080" w:right="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 term investments and available undrawn facilities with remaining maturities of at least six months must be at least $45.0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2019 GasLog Partners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GasLog Partners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7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2019 GasLog Partners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December 31, 2018:</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3"/>
                <w:szCs w:val="13"/>
                <w:b w:val="1"/>
                <w:bCs w:val="1"/>
                <w:color w:val="auto"/>
                <w:w w:val="95"/>
              </w:rPr>
              <w:t>For the Year Ending December 31,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b w:val="1"/>
                <w:bCs w:val="1"/>
                <w:color w:val="auto"/>
                <w:w w:val="89"/>
              </w:rPr>
              <w:t>2023 - 2026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7"/>
              </w:rPr>
              <w:t>(in millions</w:t>
            </w:r>
          </w:p>
        </w:tc>
        <w:tc>
          <w:tcPr>
            <w:tcW w:w="2720" w:type="dxa"/>
            <w:vAlign w:val="bottom"/>
            <w:gridSpan w:val="9"/>
          </w:tcPr>
          <w:p>
            <w:pPr>
              <w:jc w:val="right"/>
              <w:ind w:right="60"/>
              <w:spacing w:after="0" w:line="142" w:lineRule="exact"/>
              <w:rPr>
                <w:sz w:val="20"/>
                <w:szCs w:val="20"/>
                <w:color w:val="auto"/>
              </w:rPr>
            </w:pPr>
            <w:r>
              <w:rPr>
                <w:rFonts w:ascii="Arial" w:cs="Arial" w:eastAsia="Arial" w:hAnsi="Arial"/>
                <w:sz w:val="13"/>
                <w:szCs w:val="13"/>
                <w:b w:val="1"/>
                <w:bCs w:val="1"/>
                <w:color w:val="auto"/>
                <w:w w:val="94"/>
              </w:rPr>
              <w:t>of U.S. dollars, except days and percentages)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6"/>
        </w:trPr>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327.1</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251.5</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157.4</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120.6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1,040.2</w:t>
            </w:r>
          </w:p>
        </w:tc>
        <w:tc>
          <w:tcPr>
            <w:tcW w:w="160" w:type="dxa"/>
            <w:vAlign w:val="bottom"/>
            <w:shd w:val="clear" w:color="auto" w:fill="CCEEFF"/>
          </w:tcPr>
          <w:p>
            <w:pPr>
              <w:spacing w:after="0"/>
              <w:rPr>
                <w:sz w:val="22"/>
                <w:szCs w:val="22"/>
                <w:color w:val="auto"/>
              </w:rPr>
            </w:pPr>
          </w:p>
        </w:tc>
      </w:tr>
      <w:tr>
        <w:trPr>
          <w:trHeight w:val="257"/>
        </w:trPr>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4,623</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13,940</w:t>
            </w:r>
          </w:p>
        </w:tc>
        <w:tc>
          <w:tcPr>
            <w:tcW w:w="160" w:type="dxa"/>
            <w:vAlign w:val="bottom"/>
          </w:tcPr>
          <w:p>
            <w:pPr>
              <w:spacing w:after="0"/>
              <w:rPr>
                <w:sz w:val="22"/>
                <w:szCs w:val="22"/>
                <w:color w:val="auto"/>
              </w:rPr>
            </w:pPr>
          </w:p>
        </w:tc>
      </w:tr>
      <w:tr>
        <w:trPr>
          <w:trHeight w:val="257"/>
        </w:trPr>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40,188</w:t>
            </w:r>
          </w:p>
        </w:tc>
        <w:tc>
          <w:tcPr>
            <w:tcW w:w="160" w:type="dxa"/>
            <w:vAlign w:val="bottom"/>
            <w:shd w:val="clear" w:color="auto" w:fill="CCEEFF"/>
          </w:tcPr>
          <w:p>
            <w:pPr>
              <w:spacing w:after="0"/>
              <w:rPr>
                <w:sz w:val="22"/>
                <w:szCs w:val="22"/>
                <w:color w:val="auto"/>
              </w:rPr>
            </w:pPr>
          </w:p>
        </w:tc>
      </w:tr>
      <w:tr>
        <w:trPr>
          <w:trHeight w:val="257"/>
        </w:trPr>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2,888</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17,846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26,248</w:t>
            </w:r>
          </w:p>
        </w:tc>
        <w:tc>
          <w:tcPr>
            <w:tcW w:w="160" w:type="dxa"/>
            <w:vAlign w:val="bottom"/>
          </w:tcPr>
          <w:p>
            <w:pPr>
              <w:spacing w:after="0"/>
              <w:rPr>
                <w:sz w:val="22"/>
                <w:szCs w:val="22"/>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Percentage of total contracted days/total available days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r>
      <w:tr>
        <w:trPr>
          <w:trHeight w:val="108"/>
        </w:trPr>
        <w:tc>
          <w:tcPr>
            <w:tcW w:w="22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700" w:hanging="536"/>
        <w:spacing w:after="0"/>
        <w:tabs>
          <w:tab w:leader="none" w:pos="17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Reflects time charter revenues and contracted days for the 14 LNG carriers in our fleet.</w:t>
      </w:r>
    </w:p>
    <w:p>
      <w:pPr>
        <w:spacing w:after="0" w:line="134" w:lineRule="exact"/>
        <w:rPr>
          <w:rFonts w:ascii="Arial" w:cs="Arial" w:eastAsia="Arial" w:hAnsi="Arial"/>
          <w:sz w:val="11"/>
          <w:szCs w:val="11"/>
          <w:color w:val="auto"/>
        </w:rPr>
      </w:pPr>
    </w:p>
    <w:p>
      <w:pPr>
        <w:ind w:left="1700" w:right="380" w:hanging="536"/>
        <w:spacing w:after="0" w:line="274" w:lineRule="auto"/>
        <w:tabs>
          <w:tab w:leader="none" w:pos="17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Our ships are scheduled to undergo dry-docking once every five years. Revenue calculations assume 365 revenue days per ship per annum, with 30 off-hire days when the ship undergoes scheduled dry-docking.</w:t>
      </w:r>
    </w:p>
    <w:p>
      <w:pPr>
        <w:spacing w:after="0" w:line="90" w:lineRule="exact"/>
        <w:rPr>
          <w:rFonts w:ascii="Arial" w:cs="Arial" w:eastAsia="Arial" w:hAnsi="Arial"/>
          <w:sz w:val="11"/>
          <w:szCs w:val="11"/>
          <w:color w:val="auto"/>
        </w:rPr>
      </w:pPr>
    </w:p>
    <w:p>
      <w:pPr>
        <w:ind w:left="1700" w:right="100" w:hanging="536"/>
        <w:spacing w:after="0" w:line="288" w:lineRule="auto"/>
        <w:tabs>
          <w:tab w:leader="none" w:pos="1700" w:val="left"/>
        </w:tabs>
        <w:numPr>
          <w:ilvl w:val="0"/>
          <w:numId w:val="82"/>
        </w:numPr>
        <w:rPr>
          <w:rFonts w:ascii="Arial" w:cs="Arial" w:eastAsia="Arial" w:hAnsi="Arial"/>
          <w:sz w:val="10"/>
          <w:szCs w:val="10"/>
          <w:color w:val="auto"/>
        </w:rPr>
      </w:pPr>
      <w:r>
        <w:rPr>
          <w:rFonts w:ascii="Arial" w:cs="Arial" w:eastAsia="Arial" w:hAnsi="Arial"/>
          <w:sz w:val="12"/>
          <w:szCs w:val="12"/>
          <w:color w:val="auto"/>
        </w:rPr>
        <w:t>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83" w:lineRule="exact"/>
        <w:rPr>
          <w:rFonts w:ascii="Arial" w:cs="Arial" w:eastAsia="Arial" w:hAnsi="Arial"/>
          <w:sz w:val="10"/>
          <w:szCs w:val="10"/>
          <w:color w:val="auto"/>
        </w:rPr>
      </w:pPr>
    </w:p>
    <w:p>
      <w:pPr>
        <w:ind w:left="1700" w:hanging="536"/>
        <w:spacing w:after="0"/>
        <w:tabs>
          <w:tab w:leader="none" w:pos="17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Revenue calculations assume no exercise of any option to extend the terms of charters.</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Available days represent total calendar days after deducting 30 off-hire days when the ship undergoes scheduled dry-docking.</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82"/>
        </w:numPr>
        <w:rPr>
          <w:rFonts w:ascii="Arial" w:cs="Arial" w:eastAsia="Arial" w:hAnsi="Arial"/>
          <w:sz w:val="11"/>
          <w:szCs w:val="11"/>
          <w:color w:val="auto"/>
        </w:rPr>
      </w:pPr>
      <w:r>
        <w:rPr>
          <w:rFonts w:ascii="Arial" w:cs="Arial" w:eastAsia="Arial" w:hAnsi="Arial"/>
          <w:sz w:val="13"/>
          <w:szCs w:val="13"/>
          <w:color w:val="auto"/>
        </w:rPr>
        <w:t>Represents available days for the ships after the expiration of the existing charters (assuming charterers do not exercise any option to extend the terms of the charters).</w:t>
      </w:r>
    </w:p>
    <w:p>
      <w:pPr>
        <w:spacing w:after="0" w:line="217"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table above provides information about our contracted charter revenues and ship utilization based on contracts in effect as of December 31, 2018 for the 14 LNG carriers in our fleet. The table reflects only our contracted charter revenues,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in Relation to Vessel Acquisitions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December 31, 2018,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Partnership Interests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interests in the Partnership comprise common units, Preference Units, a general partner interest and incentive distribution rights. Under the terms of the partnership agreement, the Partnership is required to distribute 100% of available cash (as defined in our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the Partnership's management has concluded that the Partnership interests do not represent a contractual obligation on the Partnership to deliver cash and therefore should be classified as equity within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information. If any such indication exists, the recoverable amount of vessels is estimated in order to determine the extent of the impairment loss, if any.</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we obtain vessel valuations from independent and internationally recognized ship brokers on a semi-annual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 shipbrokers, which are also commonly used and accepted by our lenders for determining compliance with the relevant covenants in our credit facilities. Vessel values can be highly volatile, so the estimates may not be indicative of future basic market value of our vessels or prices that could be achieved if we were to sell them.</w:t>
      </w:r>
    </w:p>
    <w:p>
      <w:pPr>
        <w:spacing w:after="0" w:line="16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2017 and December 31, 2018.</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Carrying values</w:t>
            </w:r>
            <w:r>
              <w:rPr>
                <w:rFonts w:ascii="Arial" w:cs="Arial" w:eastAsia="Arial" w:hAnsi="Arial"/>
                <w:sz w:val="22"/>
                <w:szCs w:val="22"/>
                <w:b w:val="1"/>
                <w:bCs w:val="1"/>
                <w:color w:val="auto"/>
                <w:w w:val="91"/>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Cargo capacity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w w:val="93"/>
              </w:rPr>
              <w:t>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60" w:type="dxa"/>
            <w:vAlign w:val="bottom"/>
            <w:gridSpan w:val="4"/>
          </w:tcPr>
          <w:p>
            <w:pPr>
              <w:spacing w:after="0"/>
              <w:rPr>
                <w:sz w:val="20"/>
                <w:szCs w:val="20"/>
                <w:color w:val="auto"/>
              </w:rPr>
            </w:pPr>
            <w:r>
              <w:rPr>
                <w:rFonts w:ascii="Arial" w:cs="Arial" w:eastAsia="Arial" w:hAnsi="Arial"/>
                <w:sz w:val="13"/>
                <w:szCs w:val="13"/>
                <w:b w:val="1"/>
                <w:bCs w:val="1"/>
                <w:color w:val="auto"/>
              </w:rPr>
              <w:t>Vessel</w:t>
            </w:r>
          </w:p>
        </w:tc>
        <w:tc>
          <w:tcPr>
            <w:tcW w:w="54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Arial" w:cs="Arial" w:eastAsia="Arial" w:hAnsi="Arial"/>
                <w:sz w:val="13"/>
                <w:szCs w:val="13"/>
                <w:b w:val="1"/>
                <w:bCs w:val="1"/>
                <w:color w:val="auto"/>
              </w:rPr>
              <w:t>Acquisition Date</w:t>
            </w:r>
          </w:p>
        </w:tc>
        <w:tc>
          <w:tcPr>
            <w:tcW w:w="16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7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8"/>
                <w:szCs w:val="28"/>
                <w:i w:val="1"/>
                <w:iCs w:val="1"/>
                <w:color w:val="auto"/>
                <w:vertAlign w:val="superscript"/>
              </w:rPr>
              <w:t>(2)(3)</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January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i w:val="1"/>
                <w:iCs w:val="1"/>
                <w:color w:val="auto"/>
                <w:vertAlign w:val="superscript"/>
              </w:rPr>
              <w:t>(2)(3)</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March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189,560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165,750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175,365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i w:val="1"/>
                <w:iCs w:val="1"/>
                <w:color w:val="auto"/>
                <w:vertAlign w:val="superscript"/>
              </w:rPr>
              <w:t>(2)(3)</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181,678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i w:val="1"/>
                <w:iCs w:val="1"/>
                <w:color w:val="auto"/>
                <w:vertAlign w:val="superscript"/>
              </w:rPr>
              <w:t>(2)(3)</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w w:val="95"/>
              </w:rPr>
              <w:t>December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201,738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178,541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176,175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Solaris</w:t>
            </w:r>
            <w:r>
              <w:rPr>
                <w:rFonts w:ascii="Arial" w:cs="Arial" w:eastAsia="Arial" w:hAnsi="Arial"/>
                <w:sz w:val="29"/>
                <w:szCs w:val="29"/>
                <w:i w:val="1"/>
                <w:iCs w:val="1"/>
                <w:color w:val="auto"/>
                <w:vertAlign w:val="superscript"/>
              </w:rPr>
              <w:t>(2)(3)</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July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i w:val="1"/>
                <w:iCs w:val="1"/>
                <w:color w:val="auto"/>
                <w:vertAlign w:val="superscript"/>
              </w:rPr>
              <w:t>(4)(7)</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April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137,928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132,135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i w:val="1"/>
                <w:iCs w:val="1"/>
                <w:color w:val="auto"/>
                <w:vertAlign w:val="superscript"/>
              </w:rPr>
              <w:t>(4)(7)</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i w:val="1"/>
                <w:iCs w:val="1"/>
                <w:color w:val="auto"/>
                <w:vertAlign w:val="superscript"/>
              </w:rPr>
              <w:t>(5)(7)</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139,128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133,656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Shirley Elisabeth</w:t>
            </w:r>
            <w:r>
              <w:rPr>
                <w:rFonts w:ascii="Arial" w:cs="Arial" w:eastAsia="Arial" w:hAnsi="Arial"/>
                <w:sz w:val="29"/>
                <w:szCs w:val="29"/>
                <w:i w:val="1"/>
                <w:iCs w:val="1"/>
                <w:color w:val="auto"/>
                <w:vertAlign w:val="superscript"/>
              </w:rPr>
              <w:t>(5)(7)</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i w:val="1"/>
                <w:iCs w:val="1"/>
                <w:color w:val="auto"/>
                <w:vertAlign w:val="superscript"/>
              </w:rPr>
              <w:t>(5)(7)</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139,498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133,975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i w:val="1"/>
                <w:iCs w:val="1"/>
                <w:color w:val="auto"/>
                <w:vertAlign w:val="superscript"/>
              </w:rPr>
              <w:t>(6)(7)</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i w:val="1"/>
                <w:iCs w:val="1"/>
                <w:color w:val="auto"/>
                <w:vertAlign w:val="superscript"/>
              </w:rPr>
              <w:t>(2)(3)</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March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209,195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198,665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192,648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i w:val="1"/>
                <w:iCs w:val="1"/>
                <w:color w:val="auto"/>
                <w:vertAlign w:val="superscript"/>
              </w:rPr>
              <w:t>(2)(3)</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September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203,867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Gibraltar</w:t>
            </w:r>
            <w:r>
              <w:rPr>
                <w:rFonts w:ascii="Arial" w:cs="Arial" w:eastAsia="Arial" w:hAnsi="Arial"/>
                <w:sz w:val="29"/>
                <w:szCs w:val="29"/>
                <w:i w:val="1"/>
                <w:iCs w:val="1"/>
                <w:color w:val="auto"/>
                <w:vertAlign w:val="superscript"/>
              </w:rPr>
              <w:t>(2)(3)</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October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203,835</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196,696</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2,610,978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2,363,668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180" w:hanging="536"/>
        <w:spacing w:after="0" w:line="274" w:lineRule="auto"/>
        <w:tabs>
          <w:tab w:leader="none" w:pos="17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Our vessels are stated at carrying values (see Note 2 to our consolidated financial statements included elsewhere in this annual report). For the years ended December 31, 2017 and 2018, no impairment was recorded.</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The construction of these vessels was completed on the acquisition date.</w:t>
      </w:r>
    </w:p>
    <w:p>
      <w:pPr>
        <w:spacing w:after="0" w:line="134" w:lineRule="exact"/>
        <w:rPr>
          <w:rFonts w:ascii="Arial" w:cs="Arial" w:eastAsia="Arial" w:hAnsi="Arial"/>
          <w:sz w:val="11"/>
          <w:szCs w:val="11"/>
          <w:color w:val="auto"/>
        </w:rPr>
      </w:pPr>
    </w:p>
    <w:p>
      <w:pPr>
        <w:ind w:left="1700" w:right="60" w:hanging="536"/>
        <w:spacing w:after="0" w:line="274" w:lineRule="auto"/>
        <w:tabs>
          <w:tab w:leader="none" w:pos="17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The market value of each vessel individually, and all vessels in the aggregate, exceeds the carrying value of that vessel, and all vessels in the aggregate, as of December 31, 2017 and December 31, 2018.</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83"/>
        </w:numPr>
        <w:rPr>
          <w:rFonts w:ascii="Arial" w:cs="Arial" w:eastAsia="Arial" w:hAnsi="Arial"/>
          <w:sz w:val="11"/>
          <w:szCs w:val="11"/>
          <w:color w:val="auto"/>
        </w:rPr>
      </w:pPr>
      <w:r>
        <w:rPr>
          <w:rFonts w:ascii="Arial" w:cs="Arial" w:eastAsia="Arial" w:hAnsi="Arial"/>
          <w:sz w:val="13"/>
          <w:szCs w:val="13"/>
          <w:color w:val="auto"/>
        </w:rPr>
        <w:t>The vessels were built in 2006.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700" w:hanging="536"/>
        <w:spacing w:after="0"/>
        <w:tabs>
          <w:tab w:leader="none" w:pos="1700" w:val="left"/>
        </w:tabs>
        <w:numPr>
          <w:ilvl w:val="0"/>
          <w:numId w:val="84"/>
        </w:numPr>
        <w:rPr>
          <w:rFonts w:ascii="Arial" w:cs="Arial" w:eastAsia="Arial" w:hAnsi="Arial"/>
          <w:sz w:val="11"/>
          <w:szCs w:val="11"/>
          <w:color w:val="auto"/>
        </w:rPr>
      </w:pPr>
      <w:r>
        <w:rPr>
          <w:rFonts w:ascii="Arial" w:cs="Arial" w:eastAsia="Arial" w:hAnsi="Arial"/>
          <w:sz w:val="13"/>
          <w:szCs w:val="13"/>
          <w:color w:val="auto"/>
        </w:rPr>
        <w:t>The vessels were built in 2007.</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84"/>
        </w:numPr>
        <w:rPr>
          <w:rFonts w:ascii="Arial" w:cs="Arial" w:eastAsia="Arial" w:hAnsi="Arial"/>
          <w:sz w:val="11"/>
          <w:szCs w:val="11"/>
          <w:color w:val="auto"/>
        </w:rPr>
      </w:pPr>
      <w:r>
        <w:rPr>
          <w:rFonts w:ascii="Arial" w:cs="Arial" w:eastAsia="Arial" w:hAnsi="Arial"/>
          <w:sz w:val="13"/>
          <w:szCs w:val="13"/>
          <w:color w:val="auto"/>
        </w:rPr>
        <w:t>The vessel was built in 2010.</w:t>
      </w:r>
    </w:p>
    <w:p>
      <w:pPr>
        <w:spacing w:after="0" w:line="134" w:lineRule="exact"/>
        <w:rPr>
          <w:rFonts w:ascii="Arial" w:cs="Arial" w:eastAsia="Arial" w:hAnsi="Arial"/>
          <w:sz w:val="11"/>
          <w:szCs w:val="11"/>
          <w:color w:val="auto"/>
        </w:rPr>
      </w:pPr>
    </w:p>
    <w:p>
      <w:pPr>
        <w:ind w:left="1700" w:right="40" w:hanging="536"/>
        <w:spacing w:after="0" w:line="256" w:lineRule="auto"/>
        <w:tabs>
          <w:tab w:leader="none" w:pos="1700" w:val="left"/>
        </w:tabs>
        <w:numPr>
          <w:ilvl w:val="0"/>
          <w:numId w:val="84"/>
        </w:numPr>
        <w:rPr>
          <w:rFonts w:ascii="Arial" w:cs="Arial" w:eastAsia="Arial" w:hAnsi="Arial"/>
          <w:sz w:val="11"/>
          <w:szCs w:val="11"/>
          <w:color w:val="auto"/>
        </w:rPr>
      </w:pPr>
      <w:r>
        <w:rPr>
          <w:rFonts w:ascii="Arial" w:cs="Arial" w:eastAsia="Arial" w:hAnsi="Arial"/>
          <w:sz w:val="13"/>
          <w:szCs w:val="13"/>
          <w:color w:val="auto"/>
        </w:rPr>
        <w:t>Indicates vessels for which we believe, as of December 31, 2018, the basic charter-free market value is lower than the vessel's carrying value. We believe that the aggregate carrying value of these vessels exceeds their aggregate basic charter-free market value by $254.9 million, at December 31, 2018. However, as described below, the value in use for each of the six vessels was higher than the carrying amount of these vessels and, consequently, no impairment loss was recognized.</w:t>
      </w:r>
    </w:p>
    <w:p>
      <w:pPr>
        <w:spacing w:after="0" w:line="186" w:lineRule="exact"/>
        <w:rPr>
          <w:sz w:val="20"/>
          <w:szCs w:val="20"/>
          <w:color w:val="auto"/>
        </w:rPr>
      </w:pPr>
    </w:p>
    <w:p>
      <w:pPr>
        <w:ind w:right="80" w:firstLine="341"/>
        <w:spacing w:after="0" w:line="285" w:lineRule="auto"/>
        <w:rPr>
          <w:sz w:val="20"/>
          <w:szCs w:val="20"/>
          <w:color w:val="auto"/>
        </w:rPr>
      </w:pPr>
      <w:r>
        <w:rPr>
          <w:rFonts w:ascii="Arial" w:cs="Arial" w:eastAsia="Arial" w:hAnsi="Arial"/>
          <w:sz w:val="16"/>
          <w:szCs w:val="16"/>
          <w:color w:val="auto"/>
        </w:rPr>
        <w:t>As of December 31, 2018, for the six vessels with carrying amounts higher than the estimated charter-free market value, we concluded that events and circumstances triggered the existence of potential impairment of these vessels. As a result, we performed the impairment assessment of these vessels by comparing the discounted projected net operating cash flows for these vessels to their carrying values. Our strategy is to charter our vessels under multi-year contracts, providing the Partnership with stable cash flows. The significant factors and assumptions we used in our discounted projected net operating cash flow analysis included, among others, operating revenues, off-hire revenues, dry-docking costs, operating expenses, management fees estimates, residual values and the discount factor. Revenue assumptions were based on contracted time charter rates up to the end of life of the current contract of each vessel as well as the estimated average time charter rates for the remaining life of the vessels after the completion of their current contract. The estimated daily time charter rates used for non-contracted revenue days are based on a combination of (i) recent charter market rates, (ii) conditions existing in the LNG market as of December 31, 2018,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we believe that the use of revenue estimates, based on the combination of factors (i) to (iv) above, to be reasonable as of the reporting date. In addition, we used an annual operating expenses escalation factor and estimates of scheduled and unscheduled off-hire revenues based on historical experience. All estimates used and assumptions made were in accordance with our internal budgets and historical experience of the shipping industry. The value in use for the six vessels calculated as per above was higher than the carrying amount of these vessels and, consequently, no impairment loss was recognized.</w:t>
      </w:r>
    </w:p>
    <w:p>
      <w:pPr>
        <w:spacing w:after="0" w:line="17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impairment testing of our vessels as of December 31, 2018, for the six vessels with carrying amounts higher than the estimated charter-free market value, we performed a sensitivity analysis on the most sensitive and/or subjective assumption that has the potential to affect the outcome of the impairment exercise, which is the projected charter hire rate used to forecast future cash flows for non-contracted days. The following table summarizes the average results of the sensitivity analysis that we performed.</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Average break-</w:t>
            </w:r>
          </w:p>
        </w:tc>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w w:val="94"/>
              </w:rPr>
              <w:t>Average charter</w:t>
            </w: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7"/>
              <w:spacing w:after="0"/>
              <w:rPr>
                <w:sz w:val="20"/>
                <w:szCs w:val="20"/>
                <w:color w:val="auto"/>
              </w:rPr>
            </w:pPr>
            <w:r>
              <w:rPr>
                <w:rFonts w:ascii="Arial" w:cs="Arial" w:eastAsia="Arial" w:hAnsi="Arial"/>
                <w:sz w:val="13"/>
                <w:szCs w:val="13"/>
                <w:b w:val="1"/>
                <w:bCs w:val="1"/>
                <w:color w:val="auto"/>
                <w:w w:val="93"/>
              </w:rPr>
              <w:t>even charter</w:t>
            </w:r>
          </w:p>
        </w:tc>
        <w:tc>
          <w:tcPr>
            <w:tcW w:w="1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Variance</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440" w:type="dxa"/>
            <w:vAlign w:val="bottom"/>
          </w:tcPr>
          <w:p>
            <w:pPr>
              <w:spacing w:after="0"/>
              <w:rPr>
                <w:sz w:val="15"/>
                <w:szCs w:val="15"/>
                <w:color w:val="auto"/>
              </w:rPr>
            </w:pPr>
          </w:p>
        </w:tc>
        <w:tc>
          <w:tcPr>
            <w:tcW w:w="1000" w:type="dxa"/>
            <w:vAlign w:val="bottom"/>
            <w:tcBorders>
              <w:bottom w:val="single" w:sz="8" w:color="auto"/>
            </w:tcBorders>
            <w:gridSpan w:val="2"/>
          </w:tcPr>
          <w:p>
            <w:pPr>
              <w:ind w:left="40"/>
              <w:spacing w:after="0" w:line="176" w:lineRule="exact"/>
              <w:rPr>
                <w:sz w:val="20"/>
                <w:szCs w:val="20"/>
                <w:color w:val="auto"/>
              </w:rPr>
            </w:pPr>
            <w:r>
              <w:rPr>
                <w:rFonts w:ascii="Arial" w:cs="Arial" w:eastAsia="Arial" w:hAnsi="Arial"/>
                <w:sz w:val="12"/>
                <w:szCs w:val="12"/>
                <w:b w:val="1"/>
                <w:bCs w:val="1"/>
                <w:color w:val="auto"/>
                <w:w w:val="98"/>
              </w:rPr>
              <w:t>hire rate used</w:t>
            </w:r>
            <w:r>
              <w:rPr>
                <w:rFonts w:ascii="Arial" w:cs="Arial" w:eastAsia="Arial" w:hAnsi="Arial"/>
                <w:sz w:val="20"/>
                <w:szCs w:val="20"/>
                <w:b w:val="1"/>
                <w:bCs w:val="1"/>
                <w:color w:val="auto"/>
                <w:w w:val="98"/>
                <w:vertAlign w:val="superscript"/>
              </w:rPr>
              <w:t>(1)</w:t>
            </w:r>
          </w:p>
        </w:tc>
        <w:tc>
          <w:tcPr>
            <w:tcW w:w="1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7"/>
              <w:spacing w:after="0" w:line="176" w:lineRule="exact"/>
              <w:rPr>
                <w:sz w:val="20"/>
                <w:szCs w:val="20"/>
                <w:color w:val="auto"/>
              </w:rPr>
            </w:pPr>
            <w:r>
              <w:rPr>
                <w:rFonts w:ascii="Arial" w:cs="Arial" w:eastAsia="Arial" w:hAnsi="Arial"/>
                <w:sz w:val="12"/>
                <w:szCs w:val="12"/>
                <w:b w:val="1"/>
                <w:bCs w:val="1"/>
                <w:color w:val="auto"/>
                <w:w w:val="97"/>
              </w:rPr>
              <w:t>hire rate</w:t>
            </w:r>
            <w:r>
              <w:rPr>
                <w:rFonts w:ascii="Arial" w:cs="Arial" w:eastAsia="Arial" w:hAnsi="Arial"/>
                <w:sz w:val="20"/>
                <w:szCs w:val="20"/>
                <w:b w:val="1"/>
                <w:bCs w:val="1"/>
                <w:color w:val="auto"/>
                <w:w w:val="97"/>
                <w:vertAlign w:val="superscript"/>
              </w:rPr>
              <w:t>(2)</w:t>
            </w:r>
          </w:p>
        </w:tc>
        <w:tc>
          <w:tcPr>
            <w:tcW w:w="16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(Amount)</w:t>
            </w:r>
          </w:p>
        </w:tc>
        <w:tc>
          <w:tcPr>
            <w:tcW w:w="1660" w:type="dxa"/>
            <w:vAlign w:val="bottom"/>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Variance (%)</w:t>
            </w:r>
          </w:p>
        </w:tc>
        <w:tc>
          <w:tcPr>
            <w:tcW w:w="160" w:type="dxa"/>
            <w:vAlign w:val="bottom"/>
          </w:tcPr>
          <w:p>
            <w:pPr>
              <w:spacing w:after="0"/>
              <w:rPr>
                <w:sz w:val="15"/>
                <w:szCs w:val="15"/>
                <w:color w:val="auto"/>
              </w:rPr>
            </w:pPr>
          </w:p>
        </w:tc>
      </w:tr>
      <w:tr>
        <w:trPr>
          <w:trHeight w:val="210"/>
        </w:trPr>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2" w:lineRule="exact"/>
        <w:rPr>
          <w:sz w:val="20"/>
          <w:szCs w:val="20"/>
          <w:color w:val="auto"/>
        </w:rPr>
      </w:pPr>
    </w:p>
    <w:p>
      <w:pPr>
        <w:ind w:left="2240" w:right="80" w:hanging="536"/>
        <w:spacing w:after="0" w:line="274" w:lineRule="auto"/>
        <w:tabs>
          <w:tab w:leader="none" w:pos="2240" w:val="left"/>
        </w:tabs>
        <w:numPr>
          <w:ilvl w:val="0"/>
          <w:numId w:val="85"/>
        </w:numPr>
        <w:rPr>
          <w:rFonts w:ascii="Arial" w:cs="Arial" w:eastAsia="Arial" w:hAnsi="Arial"/>
          <w:sz w:val="11"/>
          <w:szCs w:val="11"/>
          <w:color w:val="auto"/>
        </w:rPr>
      </w:pPr>
      <w:r>
        <w:rPr>
          <w:rFonts w:ascii="Arial" w:cs="Arial" w:eastAsia="Arial" w:hAnsi="Arial"/>
          <w:sz w:val="13"/>
          <w:szCs w:val="13"/>
          <w:color w:val="auto"/>
        </w:rPr>
        <w:t>The average charter rate used in our impairment testing is the average charter rate based on which we estimated the revenues for the remaining useful life of the respective vessels.</w:t>
      </w:r>
    </w:p>
    <w:p>
      <w:pPr>
        <w:spacing w:after="0" w:line="90" w:lineRule="exact"/>
        <w:rPr>
          <w:rFonts w:ascii="Arial" w:cs="Arial" w:eastAsia="Arial" w:hAnsi="Arial"/>
          <w:sz w:val="11"/>
          <w:szCs w:val="11"/>
          <w:color w:val="auto"/>
        </w:rPr>
      </w:pPr>
    </w:p>
    <w:p>
      <w:pPr>
        <w:ind w:left="2240" w:right="200" w:hanging="536"/>
        <w:spacing w:after="0" w:line="274" w:lineRule="auto"/>
        <w:tabs>
          <w:tab w:leader="none" w:pos="2240" w:val="left"/>
        </w:tabs>
        <w:numPr>
          <w:ilvl w:val="0"/>
          <w:numId w:val="85"/>
        </w:numPr>
        <w:rPr>
          <w:rFonts w:ascii="Arial" w:cs="Arial" w:eastAsia="Arial" w:hAnsi="Arial"/>
          <w:sz w:val="11"/>
          <w:szCs w:val="11"/>
          <w:color w:val="auto"/>
        </w:rPr>
      </w:pPr>
      <w:r>
        <w:rPr>
          <w:rFonts w:ascii="Arial" w:cs="Arial" w:eastAsia="Arial" w:hAnsi="Arial"/>
          <w:sz w:val="13"/>
          <w:szCs w:val="13"/>
          <w:color w:val="auto"/>
        </w:rPr>
        <w:t>The average break-even charter hire rate is the average of the contracted charter rate and the break-even rechartering hire rate that if used in the discounted projected net operating cash flows of the impairment testing, would result in discounted total cash flows being equal to the carrying value of the vessels.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annual report.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we do not have any transactions, obligations or relationships that should be considered off-balance sheet arrangements.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2018 were:</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More than</w:t>
            </w:r>
          </w:p>
        </w:tc>
        <w:tc>
          <w:tcPr>
            <w:tcW w:w="160" w:type="dxa"/>
            <w:vAlign w:val="bottom"/>
          </w:tcPr>
          <w:p>
            <w:pPr>
              <w:spacing w:after="0"/>
              <w:rPr>
                <w:sz w:val="11"/>
                <w:szCs w:val="11"/>
                <w:color w:val="auto"/>
              </w:rPr>
            </w:pPr>
          </w:p>
        </w:tc>
      </w:tr>
      <w:tr>
        <w:trPr>
          <w:trHeight w:val="161"/>
        </w:trPr>
        <w:tc>
          <w:tcPr>
            <w:tcW w:w="2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0"/>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b w:val="1"/>
                <w:bCs w:val="1"/>
                <w:color w:val="auto"/>
                <w:w w:val="87"/>
              </w:rPr>
              <w:t>1 - 3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b w:val="1"/>
                <w:bCs w:val="1"/>
                <w:color w:val="auto"/>
                <w:w w:val="91"/>
              </w:rPr>
              <w:t>3 - 5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5 years</w:t>
            </w:r>
          </w:p>
        </w:tc>
      </w:tr>
      <w:tr>
        <w:trPr>
          <w:trHeight w:val="142"/>
        </w:trPr>
        <w:tc>
          <w:tcPr>
            <w:tcW w:w="2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w w:val="91"/>
              </w:rPr>
              <w:t>(Expressed</w:t>
            </w:r>
          </w:p>
        </w:tc>
        <w:tc>
          <w:tcPr>
            <w:tcW w:w="160" w:type="dxa"/>
            <w:vAlign w:val="bottom"/>
          </w:tcPr>
          <w:p>
            <w:pPr>
              <w:spacing w:after="0" w:line="142" w:lineRule="exact"/>
              <w:rPr>
                <w:sz w:val="20"/>
                <w:szCs w:val="20"/>
                <w:color w:val="auto"/>
              </w:rPr>
            </w:pPr>
            <w:r>
              <w:rPr>
                <w:rFonts w:ascii="Arial" w:cs="Arial" w:eastAsia="Arial" w:hAnsi="Arial"/>
                <w:sz w:val="13"/>
                <w:szCs w:val="13"/>
                <w:b w:val="1"/>
                <w:bCs w:val="1"/>
                <w:color w:val="auto"/>
              </w:rPr>
              <w:t>in</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5"/>
              </w:rPr>
              <w:t>thousands of</w:t>
            </w:r>
          </w:p>
        </w:tc>
        <w:tc>
          <w:tcPr>
            <w:tcW w:w="160" w:type="dxa"/>
            <w:vAlign w:val="bottom"/>
          </w:tcPr>
          <w:p>
            <w:pPr>
              <w:spacing w:after="0"/>
              <w:rPr>
                <w:sz w:val="20"/>
                <w:szCs w:val="20"/>
                <w:color w:val="auto"/>
              </w:rPr>
            </w:pPr>
            <w:r>
              <w:rPr>
                <w:rFonts w:ascii="Arial" w:cs="Arial" w:eastAsia="Arial" w:hAnsi="Arial"/>
                <w:sz w:val="10"/>
                <w:szCs w:val="10"/>
                <w:b w:val="1"/>
                <w:bCs w:val="1"/>
                <w:color w:val="auto"/>
                <w:w w:val="71"/>
              </w:rPr>
              <w:t>U.S.</w:t>
            </w:r>
          </w:p>
        </w:tc>
        <w:tc>
          <w:tcPr>
            <w:tcW w:w="780" w:type="dxa"/>
            <w:vAlign w:val="bottom"/>
            <w:tcBorders>
              <w:top w:val="single" w:sz="8" w:color="auto"/>
            </w:tcBorders>
            <w:gridSpan w:val="2"/>
          </w:tcPr>
          <w:p>
            <w:pPr>
              <w:jc w:val="right"/>
              <w:ind w:right="175"/>
              <w:spacing w:after="0" w:line="142"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1,251,718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238,420</w:t>
            </w:r>
          </w:p>
        </w:tc>
        <w:tc>
          <w:tcPr>
            <w:tcW w:w="160" w:type="dxa"/>
            <w:vAlign w:val="bottom"/>
            <w:shd w:val="clear" w:color="auto" w:fill="CCEEFF"/>
          </w:tcPr>
          <w:p>
            <w:pPr>
              <w:spacing w:after="0"/>
              <w:rPr>
                <w:sz w:val="18"/>
                <w:szCs w:val="18"/>
                <w:color w:val="auto"/>
              </w:rPr>
            </w:pPr>
          </w:p>
        </w:tc>
      </w:tr>
      <w:tr>
        <w:trPr>
          <w:trHeight w:val="257"/>
        </w:trPr>
        <w:tc>
          <w:tcPr>
            <w:tcW w:w="3880" w:type="dxa"/>
            <w:vAlign w:val="bottom"/>
            <w:gridSpan w:val="2"/>
          </w:tcPr>
          <w:p>
            <w:pPr>
              <w:spacing w:after="0" w:line="256" w:lineRule="exact"/>
              <w:rPr>
                <w:sz w:val="20"/>
                <w:szCs w:val="20"/>
                <w:color w:val="auto"/>
              </w:rPr>
            </w:pPr>
            <w:r>
              <w:rPr>
                <w:rFonts w:ascii="Arial" w:cs="Arial" w:eastAsia="Arial" w:hAnsi="Arial"/>
                <w:sz w:val="18"/>
                <w:szCs w:val="18"/>
                <w:color w:val="auto"/>
              </w:rPr>
              <w:t>Interest on long-term debt obligations</w:t>
            </w:r>
            <w:r>
              <w:rPr>
                <w:rFonts w:ascii="Arial" w:cs="Arial" w:eastAsia="Arial" w:hAnsi="Arial"/>
                <w:sz w:val="29"/>
                <w:szCs w:val="29"/>
                <w:color w:val="auto"/>
                <w:vertAlign w:val="superscript"/>
              </w:rPr>
              <w:t>(1)</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160,277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42,676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63,012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25,984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28,605</w:t>
            </w:r>
          </w:p>
        </w:tc>
        <w:tc>
          <w:tcPr>
            <w:tcW w:w="160" w:type="dxa"/>
            <w:vAlign w:val="bottom"/>
          </w:tcPr>
          <w:p>
            <w:pPr>
              <w:spacing w:after="0"/>
              <w:rPr>
                <w:sz w:val="22"/>
                <w:szCs w:val="22"/>
                <w:color w:val="auto"/>
              </w:rPr>
            </w:pP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Amounts due to related parties</w:t>
            </w:r>
            <w:r>
              <w:rPr>
                <w:rFonts w:ascii="Arial" w:cs="Arial" w:eastAsia="Arial" w:hAnsi="Arial"/>
                <w:sz w:val="29"/>
                <w:szCs w:val="29"/>
                <w:color w:val="auto"/>
                <w:vertAlign w:val="superscript"/>
              </w:rPr>
              <w:t>(2)</w:t>
            </w: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3880" w:type="dxa"/>
            <w:vAlign w:val="bottom"/>
            <w:gridSpan w:val="2"/>
          </w:tcPr>
          <w:p>
            <w:pPr>
              <w:spacing w:after="0"/>
              <w:rPr>
                <w:sz w:val="20"/>
                <w:szCs w:val="20"/>
                <w:color w:val="auto"/>
              </w:rPr>
            </w:pPr>
            <w:r>
              <w:rPr>
                <w:rFonts w:ascii="Arial" w:cs="Arial" w:eastAsia="Arial" w:hAnsi="Arial"/>
                <w:sz w:val="18"/>
                <w:szCs w:val="18"/>
                <w:color w:val="auto"/>
              </w:rPr>
              <w:t>Amounts due for management, commercial and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388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administrative services fees</w:t>
            </w:r>
            <w:r>
              <w:rPr>
                <w:rFonts w:ascii="Arial" w:cs="Arial" w:eastAsia="Arial" w:hAnsi="Arial"/>
                <w:sz w:val="29"/>
                <w:szCs w:val="29"/>
                <w:color w:val="auto"/>
                <w:vertAlign w:val="superscript"/>
              </w:rPr>
              <w:t>(3)</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(4)</w:t>
            </w: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Vessels' enhancement and conversion contracts</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1,426,196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486,137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267,025</w:t>
            </w:r>
          </w:p>
        </w:tc>
        <w:tc>
          <w:tcPr>
            <w:tcW w:w="160" w:type="dxa"/>
            <w:vAlign w:val="bottom"/>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700" w:right="360" w:hanging="536"/>
        <w:spacing w:after="0" w:line="256" w:lineRule="auto"/>
        <w:tabs>
          <w:tab w:leader="none" w:pos="1700" w:val="left"/>
        </w:tabs>
        <w:numPr>
          <w:ilvl w:val="0"/>
          <w:numId w:val="86"/>
        </w:numPr>
        <w:rPr>
          <w:rFonts w:ascii="Arial" w:cs="Arial" w:eastAsia="Arial" w:hAnsi="Arial"/>
          <w:sz w:val="11"/>
          <w:szCs w:val="11"/>
          <w:color w:val="auto"/>
        </w:rPr>
      </w:pPr>
      <w:r>
        <w:rPr>
          <w:rFonts w:ascii="Arial" w:cs="Arial" w:eastAsia="Arial" w:hAnsi="Arial"/>
          <w:sz w:val="13"/>
          <w:szCs w:val="13"/>
          <w:color w:val="auto"/>
        </w:rPr>
        <w:t xml:space="preserve">Our interest commitment on our floating long-term debt is calculated based on an assumed applicable interest rate of 4.8%, which takes into account the LIBOR and applicable margin spreads in our credit facilities while 1.0% is used for the commitment fees of our New Sponsor Credit Facility and 0.9% is used for the commitment fees of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Seattle </w:t>
      </w:r>
      <w:r>
        <w:rPr>
          <w:rFonts w:ascii="Arial" w:cs="Arial" w:eastAsia="Arial" w:hAnsi="Arial"/>
          <w:sz w:val="13"/>
          <w:szCs w:val="13"/>
          <w:color w:val="auto"/>
        </w:rPr>
        <w:t>and</w:t>
      </w:r>
      <w:r>
        <w:rPr>
          <w:rFonts w:ascii="Arial" w:cs="Arial" w:eastAsia="Arial" w:hAnsi="Arial"/>
          <w:sz w:val="13"/>
          <w:szCs w:val="13"/>
          <w:i w:val="1"/>
          <w:iCs w:val="1"/>
          <w:color w:val="auto"/>
        </w:rPr>
        <w:t xml:space="preserve"> Solaris </w:t>
      </w:r>
      <w:r>
        <w:rPr>
          <w:rFonts w:ascii="Arial" w:cs="Arial" w:eastAsia="Arial" w:hAnsi="Arial"/>
          <w:sz w:val="13"/>
          <w:szCs w:val="13"/>
          <w:color w:val="auto"/>
        </w:rPr>
        <w:t>Assumed Revolving Facilities.</w:t>
      </w:r>
    </w:p>
    <w:p>
      <w:pPr>
        <w:spacing w:after="0" w:line="102" w:lineRule="exact"/>
        <w:rPr>
          <w:rFonts w:ascii="Arial" w:cs="Arial" w:eastAsia="Arial" w:hAnsi="Arial"/>
          <w:sz w:val="11"/>
          <w:szCs w:val="11"/>
          <w:color w:val="auto"/>
        </w:rPr>
      </w:pPr>
    </w:p>
    <w:p>
      <w:pPr>
        <w:ind w:left="1700" w:hanging="536"/>
        <w:spacing w:after="0"/>
        <w:tabs>
          <w:tab w:leader="none" w:pos="1700" w:val="left"/>
        </w:tabs>
        <w:numPr>
          <w:ilvl w:val="0"/>
          <w:numId w:val="86"/>
        </w:numPr>
        <w:rPr>
          <w:rFonts w:ascii="Arial" w:cs="Arial" w:eastAsia="Arial" w:hAnsi="Arial"/>
          <w:sz w:val="11"/>
          <w:szCs w:val="11"/>
          <w:color w:val="auto"/>
        </w:rPr>
      </w:pPr>
      <w:r>
        <w:rPr>
          <w:rFonts w:ascii="Arial" w:cs="Arial" w:eastAsia="Arial" w:hAnsi="Arial"/>
          <w:sz w:val="13"/>
          <w:szCs w:val="13"/>
          <w:color w:val="auto"/>
        </w:rPr>
        <w:t>Amounts due to related parties represent mainly payments made by GasLog to cover operating expenses. See Note 13 to our consolidated financial statements.</w:t>
      </w:r>
    </w:p>
    <w:p>
      <w:pPr>
        <w:spacing w:after="0" w:line="134" w:lineRule="exact"/>
        <w:rPr>
          <w:rFonts w:ascii="Arial" w:cs="Arial" w:eastAsia="Arial" w:hAnsi="Arial"/>
          <w:sz w:val="11"/>
          <w:szCs w:val="11"/>
          <w:color w:val="auto"/>
        </w:rPr>
      </w:pPr>
    </w:p>
    <w:p>
      <w:pPr>
        <w:ind w:left="1700" w:hanging="536"/>
        <w:spacing w:after="0" w:line="270" w:lineRule="auto"/>
        <w:tabs>
          <w:tab w:leader="none" w:pos="1700" w:val="left"/>
        </w:tabs>
        <w:numPr>
          <w:ilvl w:val="0"/>
          <w:numId w:val="86"/>
        </w:numPr>
        <w:rPr>
          <w:rFonts w:ascii="Arial" w:cs="Arial" w:eastAsia="Arial" w:hAnsi="Arial"/>
          <w:sz w:val="10"/>
          <w:szCs w:val="10"/>
          <w:color w:val="auto"/>
        </w:rPr>
      </w:pPr>
      <w:r>
        <w:rPr>
          <w:rFonts w:ascii="Arial" w:cs="Arial" w:eastAsia="Arial" w:hAnsi="Arial"/>
          <w:sz w:val="12"/>
          <w:szCs w:val="12"/>
          <w:color w:val="auto"/>
        </w:rPr>
        <w:t>This includes the amounts due under our contractual obligations under our amended ship management agreements and our amended commercial management agreements signed with GasLog LNG Services and GasLog, respectively, for their non-terminable periods. In addition, it includes the amounts due under the amended administrative services agreement for its non-terminable period. The amended ship management agreements provide for a monthly management fee of $46,000 per vessel and the amended commercial management agreements provide for a fixed annual fee of $360,000 per vessel and may be terminated by either party giving three months' notice. The administrative services agreement, as amended, provides for a fixed annual fee of $607,656 per vessel and may be terminated by either party at any time giving the other party not less than three months' written notice. The contractual obligations table includes ship management services fees, commercial management services fees and administrative services fees for three months.</w:t>
      </w:r>
    </w:p>
    <w:p>
      <w:pPr>
        <w:spacing w:after="0" w:line="94" w:lineRule="exact"/>
        <w:rPr>
          <w:rFonts w:ascii="Arial" w:cs="Arial" w:eastAsia="Arial" w:hAnsi="Arial"/>
          <w:sz w:val="10"/>
          <w:szCs w:val="10"/>
          <w:color w:val="auto"/>
        </w:rPr>
      </w:pPr>
    </w:p>
    <w:p>
      <w:pPr>
        <w:jc w:val="both"/>
        <w:ind w:left="1700" w:right="80" w:hanging="536"/>
        <w:spacing w:after="0" w:line="250" w:lineRule="auto"/>
        <w:tabs>
          <w:tab w:leader="none" w:pos="1700" w:val="left"/>
        </w:tabs>
        <w:numPr>
          <w:ilvl w:val="0"/>
          <w:numId w:val="86"/>
        </w:numPr>
        <w:rPr>
          <w:rFonts w:ascii="Arial" w:cs="Arial" w:eastAsia="Arial" w:hAnsi="Arial"/>
          <w:sz w:val="11"/>
          <w:szCs w:val="11"/>
          <w:color w:val="auto"/>
        </w:rPr>
      </w:pPr>
      <w:r>
        <w:rPr>
          <w:rFonts w:ascii="Arial" w:cs="Arial" w:eastAsia="Arial" w:hAnsi="Arial"/>
          <w:sz w:val="13"/>
          <w:szCs w:val="13"/>
          <w:color w:val="auto"/>
        </w:rPr>
        <w:t xml:space="preserve">Following the acquisition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 xml:space="preserve">Methane Becki Anne, </w:t>
      </w:r>
      <w:r>
        <w:rPr>
          <w:rFonts w:ascii="Arial" w:cs="Arial" w:eastAsia="Arial" w:hAnsi="Arial"/>
          <w:sz w:val="13"/>
          <w:szCs w:val="13"/>
          <w:color w:val="auto"/>
        </w:rPr>
        <w:t>the Partnership, through its subsidiaries GAS-sixteen Ltd., GAS-seventeen Ltd., GAS-nineteen Ltd., GAS-twenty Ltd., GAS-twenty one Ltd. and GAS-twenty</w:t>
      </w:r>
      <w:r>
        <w:rPr>
          <w:rFonts w:ascii="Arial" w:cs="Arial" w:eastAsia="Arial" w:hAnsi="Arial"/>
          <w:sz w:val="13"/>
          <w:szCs w:val="13"/>
          <w:i w:val="1"/>
          <w:iCs w:val="1"/>
          <w:color w:val="auto"/>
        </w:rPr>
        <w:t xml:space="preserve"> </w:t>
      </w:r>
      <w:r>
        <w:rPr>
          <w:rFonts w:ascii="Arial" w:cs="Arial" w:eastAsia="Arial" w:hAnsi="Arial"/>
          <w:sz w:val="13"/>
          <w:szCs w:val="13"/>
          <w:color w:val="auto"/>
        </w:rPr>
        <w:t>seven Ltd., is the counter guarantor for the acquisition from MSL of 83.33% of depot spares with an aggregate value of $6.0 million, of which $0.7 million have been purchased and paid as of December 31, 2018 by GasLog. These spares should be acquired before March 31, 2020.</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Directors and Senior Management</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following table sets forth information regarding our directors and executive officers. With the exception of Andrew J. Orekar,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Gildo Pastor Center, 7 Rue du Gabian, MC 98000, Monaco. The following directors have been determined by our board of directors to be independent under the standards of the NYSE and the rules and regulations of the SEC: Robert B. Allardice III, Daniel R. Bradshaw, Pamela M. Gibson and Michael G. Gialouris. Officers are elected from time to time by vote of our board of directors and hold office until a successor is elected.</w:t>
      </w:r>
    </w:p>
    <w:p>
      <w:pPr>
        <w:spacing w:after="0" w:line="16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4"/>
                <w:szCs w:val="14"/>
                <w:color w:val="auto"/>
              </w:rPr>
            </w:pPr>
          </w:p>
        </w:tc>
        <w:tc>
          <w:tcPr>
            <w:tcW w:w="3440" w:type="dxa"/>
            <w:vAlign w:val="bottom"/>
          </w:tcPr>
          <w:p>
            <w:pPr>
              <w:ind w:left="148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Curtis V. Anastasio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Chairman of the Board of Directors/Director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Robert B. Allardice III</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Class 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R. Bradshaw</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III 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gridSpan w:val="3"/>
          </w:tcPr>
          <w:p>
            <w:pPr>
              <w:spacing w:after="0" w:line="256" w:lineRule="exact"/>
              <w:rPr>
                <w:sz w:val="20"/>
                <w:szCs w:val="20"/>
                <w:color w:val="auto"/>
              </w:rPr>
            </w:pPr>
            <w:r>
              <w:rPr>
                <w:rFonts w:ascii="Arial" w:cs="Arial" w:eastAsia="Arial" w:hAnsi="Arial"/>
                <w:sz w:val="18"/>
                <w:szCs w:val="18"/>
                <w:color w:val="auto"/>
              </w:rPr>
              <w:t>Michael G. Gialouris</w:t>
            </w:r>
            <w:r>
              <w:rPr>
                <w:rFonts w:ascii="Arial" w:cs="Arial" w:eastAsia="Arial" w:hAnsi="Arial"/>
                <w:sz w:val="29"/>
                <w:szCs w:val="29"/>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Pamela M. Gibson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Peter G. Livanos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Anthony S. Papadimitriou</w:t>
            </w:r>
            <w:r>
              <w:rPr>
                <w:rFonts w:ascii="Arial" w:cs="Arial" w:eastAsia="Arial" w:hAnsi="Arial"/>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Andrew J. Orekar</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Maxwell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Richard Sadler</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tabs>
          <w:tab w:leader="none" w:pos="1700" w:val="left"/>
        </w:tabs>
        <w:numPr>
          <w:ilvl w:val="0"/>
          <w:numId w:val="87"/>
        </w:numPr>
        <w:rPr>
          <w:rFonts w:ascii="Arial" w:cs="Arial" w:eastAsia="Arial" w:hAnsi="Arial"/>
          <w:sz w:val="10"/>
          <w:szCs w:val="10"/>
          <w:color w:val="auto"/>
        </w:rPr>
      </w:pPr>
      <w:r>
        <w:rPr>
          <w:rFonts w:ascii="Arial" w:cs="Arial" w:eastAsia="Arial" w:hAnsi="Arial"/>
          <w:sz w:val="12"/>
          <w:szCs w:val="12"/>
          <w:color w:val="auto"/>
        </w:rPr>
        <w:t>On January 31, 2019, Anthony S. Papadimitriou stepped down from the board of directors and Michael G. Gialouris was appointed as a director with effect from February 1, 2019.</w:t>
      </w:r>
    </w:p>
    <w:p>
      <w:pPr>
        <w:spacing w:after="0" w:line="229" w:lineRule="exact"/>
        <w:rPr>
          <w:sz w:val="20"/>
          <w:szCs w:val="20"/>
          <w:color w:val="auto"/>
        </w:rPr>
      </w:pPr>
    </w:p>
    <w:p>
      <w:pPr>
        <w:ind w:right="280" w:firstLine="351"/>
        <w:spacing w:after="0" w:line="331" w:lineRule="auto"/>
        <w:rPr>
          <w:sz w:val="20"/>
          <w:szCs w:val="20"/>
          <w:color w:val="auto"/>
        </w:rPr>
      </w:pPr>
      <w:r>
        <w:rPr>
          <w:rFonts w:ascii="Arial" w:cs="Arial" w:eastAsia="Arial" w:hAnsi="Arial"/>
          <w:sz w:val="16"/>
          <w:szCs w:val="16"/>
          <w:color w:val="auto"/>
        </w:rPr>
        <w:t>Our Class I, Class II and Class III Directors were elected by our common unitholders and will hold office until the 2019, 2020 and 2021 annual meetings of limited partners, respectively. Our other directors were appointed by our general partner in its sole discretion. See "—C. Board Practices".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b w:val="1"/>
          <w:bCs w:val="1"/>
          <w:color w:val="auto"/>
        </w:rPr>
        <w:t xml:space="preserve">Curtis V. Anastasio </w:t>
      </w:r>
      <w:r>
        <w:rPr>
          <w:rFonts w:ascii="Arial" w:cs="Arial" w:eastAsia="Arial" w:hAnsi="Arial"/>
          <w:sz w:val="16"/>
          <w:szCs w:val="16"/>
          <w:color w:val="auto"/>
        </w:rPr>
        <w:t>has been the Executive Chairman of our board of directors since our inception to May 2016 and Non-Executive Chairman from May 2016</w:t>
      </w:r>
      <w:r>
        <w:rPr>
          <w:rFonts w:ascii="Arial" w:cs="Arial" w:eastAsia="Arial" w:hAnsi="Arial"/>
          <w:sz w:val="16"/>
          <w:szCs w:val="16"/>
          <w:b w:val="1"/>
          <w:bCs w:val="1"/>
          <w:color w:val="auto"/>
        </w:rPr>
        <w:t xml:space="preserve"> </w:t>
      </w:r>
      <w:r>
        <w:rPr>
          <w:rFonts w:ascii="Arial" w:cs="Arial" w:eastAsia="Arial" w:hAnsi="Arial"/>
          <w:sz w:val="16"/>
          <w:szCs w:val="16"/>
          <w:color w:val="auto"/>
        </w:rPr>
        <w:t>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He also serves on the board of the Federal Reserve Bank of Dallas and in June 2015 was appointed to the board of the Chemours Company.</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Mr. Anastasio received a Juris Doctorate degree from Harvard Law School in 1981 and a Bachelor of Arts degree, Magna cum Laude, from Cornell University in 1978.</w:t>
      </w:r>
    </w:p>
    <w:p>
      <w:pPr>
        <w:spacing w:after="0" w:line="187"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Robert B. Allardice III </w:t>
      </w:r>
      <w:r>
        <w:rPr>
          <w:rFonts w:ascii="Arial" w:cs="Arial" w:eastAsia="Arial" w:hAnsi="Arial"/>
          <w:sz w:val="18"/>
          <w:szCs w:val="18"/>
          <w:color w:val="auto"/>
        </w:rPr>
        <w:t>has been a member of our board of directors since October 2014. Mr. Allardice has had a long career in the financial services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having worked for Morgan Stanley in a number of roles for 19 years as well as with Smith Barney and Deutsche Bank Americas Holding Corp. Mr. Allardice currently serves as a director, member of or chairman of the audit committee of a number of companies, including Hartford Financial Group, and Ellington Residential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Mortgage REIT. Mr. Allardice received a Bachelor of Arts with Honors from Yale University in 1968 and an M.B.A. from Harvard Business School in 1974.</w:t>
      </w:r>
    </w:p>
    <w:p>
      <w:pPr>
        <w:spacing w:after="0" w:line="242" w:lineRule="exact"/>
        <w:rPr>
          <w:sz w:val="20"/>
          <w:szCs w:val="20"/>
          <w:color w:val="auto"/>
        </w:rPr>
      </w:pPr>
    </w:p>
    <w:p>
      <w:pPr>
        <w:ind w:right="100" w:firstLine="351"/>
        <w:spacing w:after="0" w:line="301" w:lineRule="auto"/>
        <w:rPr>
          <w:sz w:val="20"/>
          <w:szCs w:val="20"/>
          <w:color w:val="auto"/>
        </w:rPr>
      </w:pPr>
      <w:r>
        <w:rPr>
          <w:rFonts w:ascii="Arial" w:cs="Arial" w:eastAsia="Arial" w:hAnsi="Arial"/>
          <w:sz w:val="16"/>
          <w:szCs w:val="16"/>
          <w:b w:val="1"/>
          <w:bCs w:val="1"/>
          <w:color w:val="auto"/>
        </w:rPr>
        <w:t xml:space="preserve">Daniel R. Bradshaw </w:t>
      </w:r>
      <w:r>
        <w:rPr>
          <w:rFonts w:ascii="Arial" w:cs="Arial" w:eastAsia="Arial" w:hAnsi="Arial"/>
          <w:sz w:val="16"/>
          <w:szCs w:val="16"/>
          <w:color w:val="auto"/>
        </w:rPr>
        <w:t>has been a director since the closing of our IPO in 2014. Since 1978, Mr. Bradshaw has worked at the law firm of Johnson Stokes &amp;</w:t>
      </w:r>
      <w:r>
        <w:rPr>
          <w:rFonts w:ascii="Arial" w:cs="Arial" w:eastAsia="Arial" w:hAnsi="Arial"/>
          <w:sz w:val="16"/>
          <w:szCs w:val="16"/>
          <w:b w:val="1"/>
          <w:bCs w:val="1"/>
          <w:color w:val="auto"/>
        </w:rPr>
        <w:t xml:space="preserve"> </w:t>
      </w:r>
      <w:r>
        <w:rPr>
          <w:rFonts w:ascii="Arial" w:cs="Arial" w:eastAsia="Arial" w:hAnsi="Arial"/>
          <w:sz w:val="16"/>
          <w:szCs w:val="16"/>
          <w:color w:val="auto"/>
        </w:rPr>
        <w:t>Master, now Mayer Brown, in Hong Kong, from 1983 to 2003 as a partner and since 2003 as a senior consultant. In addition, Mr. Bradshaw is an independent non-executive director of Pacific Basin Shipping Company Limited, an independent non-executive director of IRC Limited, an affiliate of Petropavlovsk PLC and a non-executive director of Euronav NV. Mr. Bradshaw received a Master of Laws degree from the Victoria University of Wellington in 1971.</w:t>
      </w:r>
    </w:p>
    <w:p>
      <w:pPr>
        <w:spacing w:after="0" w:line="15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Michael G. Gialouris </w:t>
      </w:r>
      <w:r>
        <w:rPr>
          <w:rFonts w:ascii="Arial" w:cs="Arial" w:eastAsia="Arial" w:hAnsi="Arial"/>
          <w:sz w:val="16"/>
          <w:szCs w:val="16"/>
          <w:color w:val="auto"/>
        </w:rPr>
        <w:t>was appointed to our board of directors on February 1, 2019. Mr. Gialouris is the President and Managing Director of ASOFIN</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S.A., an Onassis Foundation company. He acts as Group CFO for the Onassis Foundation Group of Companies. His experience dates back to 1987 and combines shipping finance, corporate banking, advisory, investment assessment and asset management. He has been involved in a number of complex transactions including IPOs, M&amp;A transactions, bank debt raising, private equity investments, etc. Mr Gialouris has served in senior executive positions for Citibank Shipping Bank S.A. in Greece, Attica Enterprises (the holding company of Superfast Ferries S.A. and Blue Star Ferries S.A.) and Magna Marine Inc. (the owner/operator of a dry bulk carrier fleet). He joined ASOFIN Management S.A. and the Onassis Foundation in 2009 and sits on the Board of Directors of a number of Onassis Foundation companies. Mr. Gialouris studied Mechanical Engineering and earned a M.Sc. degree in Shipping, Trade and Finance from City University Business School (now Cass Business School) in 1987.</w:t>
      </w:r>
    </w:p>
    <w:p>
      <w:pPr>
        <w:spacing w:after="0" w:line="16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color w:val="auto"/>
        </w:rPr>
        <w:t xml:space="preserve">Pamela M. Gibson </w:t>
      </w:r>
      <w:r>
        <w:rPr>
          <w:rFonts w:ascii="Arial" w:cs="Arial" w:eastAsia="Arial" w:hAnsi="Arial"/>
          <w:sz w:val="18"/>
          <w:szCs w:val="18"/>
          <w:color w:val="auto"/>
        </w:rPr>
        <w:t>has been a director since the closing of our IPO in 2014. Since 1984, Ms. Gibson has worked at the law firm of Shearman &amp; Sterling LLP,</w:t>
      </w:r>
      <w:r>
        <w:rPr>
          <w:rFonts w:ascii="Arial" w:cs="Arial" w:eastAsia="Arial" w:hAnsi="Arial"/>
          <w:sz w:val="18"/>
          <w:szCs w:val="18"/>
          <w:b w:val="1"/>
          <w:bCs w:val="1"/>
          <w:color w:val="auto"/>
        </w:rPr>
        <w:t xml:space="preserve"> </w:t>
      </w:r>
      <w:r>
        <w:rPr>
          <w:rFonts w:ascii="Arial" w:cs="Arial" w:eastAsia="Arial" w:hAnsi="Arial"/>
          <w:sz w:val="18"/>
          <w:szCs w:val="18"/>
          <w:color w:val="auto"/>
        </w:rPr>
        <w:t>from 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 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9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has been a director since the closing of our IPO in 2014. Mr. Livanos is the Chairman of GasLog and a member of GasLog's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5"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Anthony S. Papadimitriou </w:t>
      </w:r>
      <w:r>
        <w:rPr>
          <w:rFonts w:ascii="Arial" w:cs="Arial" w:eastAsia="Arial" w:hAnsi="Arial"/>
          <w:sz w:val="18"/>
          <w:szCs w:val="18"/>
          <w:color w:val="auto"/>
        </w:rPr>
        <w:t>has been a director since our 2015 annual meeting. Mr. Papadimitriou is a member of GasLog's board of directors. From 1986</w:t>
      </w:r>
      <w:r>
        <w:rPr>
          <w:rFonts w:ascii="Arial" w:cs="Arial" w:eastAsia="Arial" w:hAnsi="Arial"/>
          <w:sz w:val="18"/>
          <w:szCs w:val="18"/>
          <w:b w:val="1"/>
          <w:bCs w:val="1"/>
          <w:color w:val="auto"/>
        </w:rPr>
        <w:t xml:space="preserve"> </w:t>
      </w:r>
      <w:r>
        <w:rPr>
          <w:rFonts w:ascii="Arial" w:cs="Arial" w:eastAsia="Arial" w:hAnsi="Arial"/>
          <w:sz w:val="18"/>
          <w:szCs w:val="18"/>
          <w:color w:val="auto"/>
        </w:rPr>
        <w:t>until 2005, Mr. Papadimitriou served as legal counsel for Olympic Shipping &amp; Management S.A, an affiliate of the Onassis Foundation, and from 1995 to 2005 he was the coordinator of the Executive Committee of the commercial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controlled by the Onassis Foundation. In addition, Mr. Papadimitriou has been a member of the board of directors of the Alexander S. Onassis Public Benefit Foundation since 1988, serving as the president of the board since 2005. Mr. Papadimitriou is the founding partner of A.S. Papadimitriou and Partners Law Firm. Mr. Papadimitriou is a graduate of the Athens University Law School and holds a postgraduate degree in maritime and transport law from the University Aix-en-Provence, a B.Sc. from the London School of Economics and a Ph.D. from the National and Kapodistrian University of Athens. On January 31, 2019, Mr. Papadimitriou stepped down from the board of directors.</w:t>
      </w:r>
    </w:p>
    <w:p>
      <w:pPr>
        <w:spacing w:after="0" w:line="19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color w:val="auto"/>
        </w:rPr>
        <w:t xml:space="preserve">Andrew J. Orekar </w:t>
      </w:r>
      <w:r>
        <w:rPr>
          <w:rFonts w:ascii="Arial" w:cs="Arial" w:eastAsia="Arial" w:hAnsi="Arial"/>
          <w:sz w:val="18"/>
          <w:szCs w:val="18"/>
          <w:color w:val="auto"/>
        </w:rPr>
        <w:t>has served as our CEO since the closing of our IPO in 2014 and was appointed a director in May 2016. Prior to joining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Mr. Orekar served as Managing Director at Goldman Sachs &amp; Co. LLC, where he advised global natural resources and energy companies on mergers and acquisitions, corporate finance and capital markets transactions. Mr. Orekar joined Goldman Sachs in 1998, was appointed Managing Director in 2009 and held positions of increasing responsibility within the Investment Banking Division during his 15-year career. In addition, Mr. Orekar is an independent director nominee of Tortoise Acquisition Corp., a company formed for the purpose of effecting a merger, capital stock exchange, asset acquisition, stock purchase, reorganization or similar combination with one or more energy businesses. Mr. Orekar received B.S. (Wharton School) and B.A. degrees from the University of Pennsylvania in 1998.</w:t>
      </w:r>
    </w:p>
    <w:p>
      <w:pPr>
        <w:spacing w:after="0" w:line="19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Alastair Maxwell </w:t>
      </w:r>
      <w:r>
        <w:rPr>
          <w:rFonts w:ascii="Arial" w:cs="Arial" w:eastAsia="Arial" w:hAnsi="Arial"/>
          <w:sz w:val="16"/>
          <w:szCs w:val="16"/>
          <w:color w:val="auto"/>
        </w:rPr>
        <w:t>joined GasLog Partners on February 1, 2017 and was appointed Chief Financial Officer ("CFO") on March 9, 2017. He was appointed CFO</w:t>
      </w:r>
      <w:r>
        <w:rPr>
          <w:rFonts w:ascii="Arial" w:cs="Arial" w:eastAsia="Arial" w:hAnsi="Arial"/>
          <w:sz w:val="16"/>
          <w:szCs w:val="16"/>
          <w:b w:val="1"/>
          <w:bCs w:val="1"/>
          <w:color w:val="auto"/>
        </w:rPr>
        <w:t xml:space="preserve"> </w:t>
      </w:r>
      <w:r>
        <w:rPr>
          <w:rFonts w:ascii="Arial" w:cs="Arial" w:eastAsia="Arial" w:hAnsi="Arial"/>
          <w:sz w:val="16"/>
          <w:szCs w:val="16"/>
          <w:color w:val="auto"/>
        </w:rPr>
        <w:t>of GasLog on the same date Prior to joining GasLog Partners, Mr. Maxwell worked in the investment banking industry for 29 years, most recently with Goldman Sachs &amp; Co. LLC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 Executive Director and Head of Latin America Utilities based in New York. From 1987 to 1998 he was at Dresdner Kleinwort Benson in a series of roles in the Utilities and M&amp;A Groups based in London, Spain and Brazil. Mr. Maxwell studied Modern Languages (Spanish and Portuguese) at Worcester College, Oxford.</w:t>
      </w:r>
    </w:p>
    <w:p>
      <w:pPr>
        <w:spacing w:after="0" w:line="16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b w:val="1"/>
          <w:bCs w:val="1"/>
          <w:color w:val="auto"/>
        </w:rPr>
        <w:t xml:space="preserve">Richard Sadler </w:t>
      </w:r>
      <w:r>
        <w:rPr>
          <w:rFonts w:ascii="Arial" w:cs="Arial" w:eastAsia="Arial" w:hAnsi="Arial"/>
          <w:sz w:val="16"/>
          <w:szCs w:val="16"/>
          <w:color w:val="auto"/>
        </w:rPr>
        <w:t>has served as our Chief Operating Officer ("COO") since September 20, 2017. He was appointed COO of GasLog on the same date.</w:t>
      </w:r>
      <w:r>
        <w:rPr>
          <w:rFonts w:ascii="Arial" w:cs="Arial" w:eastAsia="Arial" w:hAnsi="Arial"/>
          <w:sz w:val="16"/>
          <w:szCs w:val="16"/>
          <w:b w:val="1"/>
          <w:bCs w:val="1"/>
          <w:color w:val="auto"/>
        </w:rPr>
        <w:t xml:space="preserve"> </w:t>
      </w:r>
      <w:r>
        <w:rPr>
          <w:rFonts w:ascii="Arial" w:cs="Arial" w:eastAsia="Arial" w:hAnsi="Arial"/>
          <w:sz w:val="16"/>
          <w:szCs w:val="16"/>
          <w:color w:val="auto"/>
        </w:rPr>
        <w:t>Mr. Sadler joined GasLog Partners from the Foresight Group, a family company with a strong global presence including Shipping, Offshore Oil Drilling &amp; Engineering, where he served as advisor to the Chairman, family Board members and the senior management. Previously, from 2007 to 2015, Mr. Sadler served as CEO of Lloyd's Register Group, providing compliance and consultancy services to 60,000 global clients in 78 countries. Prior to that Mr. Sadler worked as a Director of Asset Management for the Royal Bank of Scotland in the Shipping and Offshore Energy Division and held a number of positions at Lloyd's Register including in Kuwait, Bahrain, Oman and Japan. Mr. Sadler was an Engineering Officer in the Royal Navy prior to studying Naval Architecture at the University of Newcastle-upon-Tyne. Mr. Sadler is a Fellow, Trustee and member of the Audit &amp; Risk Committee of the Royal Academy of Engineering and holds Honorary Doctorates from the University of Southampton and the University of Newcastle-upon-Tyne. He is a visiting Professor at Dalian Maritime University and an elder Brethren and Trustee of Trinity House.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Our board leadership structure consists of our Chairman and the chairmen of our board committees. Our operational management is headed by our CEO.</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Orekar,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Chairman be held by separate individuals, but believes that at this time the separation of such roles is appropriate and beneficial to unitholders.</w:t>
      </w:r>
    </w:p>
    <w:p>
      <w:pPr>
        <w:spacing w:after="0" w:line="242" w:lineRule="exact"/>
        <w:rPr>
          <w:sz w:val="20"/>
          <w:szCs w:val="20"/>
          <w:color w:val="auto"/>
        </w:rPr>
      </w:pPr>
    </w:p>
    <w:p>
      <w:pPr>
        <w:ind w:right="7320" w:firstLine="8"/>
        <w:spacing w:after="0" w:line="605" w:lineRule="auto"/>
        <w:tabs>
          <w:tab w:leader="none" w:pos="336"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of Directors and Senior Management Reimbursement of Expenses of Our General Partner</w:t>
      </w:r>
    </w:p>
    <w:p>
      <w:pPr>
        <w:jc w:val="both"/>
        <w:ind w:right="240" w:firstLine="351"/>
        <w:spacing w:after="0" w:line="256" w:lineRule="auto"/>
        <w:rPr>
          <w:sz w:val="20"/>
          <w:szCs w:val="20"/>
          <w:color w:val="auto"/>
        </w:rPr>
      </w:pPr>
      <w:r>
        <w:rPr>
          <w:rFonts w:ascii="Arial" w:cs="Arial" w:eastAsia="Arial" w:hAnsi="Arial"/>
          <w:sz w:val="18"/>
          <w:szCs w:val="18"/>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2018, the amount of compensation we paid to our executive officers, including annual and long-term cash incentive compensation, as well as aggregate fees for administrative services provided under the administrative services agreement, totaled $1,802,340.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2018 to provide pension, retirement or similar benefits to our senior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Each non-management director receives cash compensation for being a member of our board of directors, as well as for being a member or chairperson of a committee. During 2018, non-management directors each received a director fee of $110,000 per year. In addition, members of the audit and conflicts committees each received a committee fee of $25,000 per year whereas the chairpersons of such committees received a fee of $50,000 per year. Pursuant to the administrative services agreement, we pay directly to GasLog the director fees for any appointed directors who are also directors of GasLog. Our chairman receives an additional chair fee and received director fees totaling $260,000 in 2018. In addition, each director is reimbursed for out-of-pocket expenses in connection with attending meetings of the board of directors or committees.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did not set aside or accrue any amounts in the year ended December 31, 2018 to provide pension, retirement or similar benefits to our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 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20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April 1, 2018, we granted our executive officers an aggregate of 24,608 restricted common units and 24,608 phantom performance common units, with an aggregate fair value as of the grant date of $1.1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 As of December 31, 2018, we have 241,447 common units reserved for issuance under the Plan (equal to approximately 0.53% of the 45,488,993 common units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6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board of directors consists of seven members, four of whom are appointed by our general partner in its sole discretion and three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w:t>
      </w:r>
    </w:p>
    <w:p>
      <w:pPr>
        <w:spacing w:after="0" w:line="17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our general partner exercises its right to transfer the power to elect a majority of our directors to the common unitholders, an additional director will thereafter be elected as a Class III director by our common unitholders. Our general partner may exercise this right in order to permit us to claim, or continue to claim, an exemption from U.S. federal income tax under Section 883 of the Code. See "Item 4. Information on the Partnership—B. Business Overview—Taxation of the Partnership".</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Class I, Class II and Class III directors elected by our common unitholders and Mr. Gialouris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Each outstanding common unit is entitled to one vote on matters subject to a vote of common unitholders. However, if at any time, any person or group owns beneficially more than 4.9% of any class or series of units (other than the Preference Units) then outstanding, any such units owned by that person or group in excess of 4.9% may not be voted on any matter and will not be considered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 claim of an exemption from U.S. federal income tax under Section 883 of the Code in the event our general partner transfers the power to elect one director to the common unitholders.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service contracts between us and any of our directors providing for benefits upon termination of their employment or service.</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or a nominating/corporate governance committee be established. Four of our seven directors qualify as independent. As a result,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spacing w:after="0" w:line="173"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color w:val="auto"/>
        </w:rPr>
        <w:t>Our board of directors meets regularly throughout the year. In 2018, the board met 11 times. As part of our board meetings, our independent directors meet without the non-independent directors in attendance. In addition, the board regularly holds sessions without the CEO and executive officers present.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40" w:firstLine="348"/>
        <w:spacing w:after="0" w:line="303" w:lineRule="auto"/>
        <w:rPr>
          <w:sz w:val="20"/>
          <w:szCs w:val="20"/>
          <w:color w:val="auto"/>
        </w:rPr>
      </w:pPr>
      <w:r>
        <w:rPr>
          <w:rFonts w:ascii="Arial" w:cs="Arial" w:eastAsia="Arial" w:hAnsi="Arial"/>
          <w:sz w:val="15"/>
          <w:szCs w:val="15"/>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Robert B. Allardice III, Daniel R. Bradshaw and Pamela M. Gibson, with Robert B. Allardice III serving as the chair of the audit committee. Our board of directors has determined that each of Robert B.</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Allardice III, Daniel R. Bradshaw and Pamela M. Gibson satisfies the independence standards established by the NYSE, and that Robert B. Allardice III qualifies as an "audit committee financial expert" for purposes of SEC rules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w:t>
      </w:r>
    </w:p>
    <w:p>
      <w:pPr>
        <w:spacing w:after="0" w:line="1" w:lineRule="exact"/>
        <w:rPr>
          <w:sz w:val="20"/>
          <w:szCs w:val="20"/>
          <w:color w:val="auto"/>
        </w:rPr>
      </w:pPr>
    </w:p>
    <w:p>
      <w:pPr>
        <w:ind w:firstLine="8"/>
        <w:spacing w:after="0" w:line="295" w:lineRule="auto"/>
        <w:tabs>
          <w:tab w:leader="none" w:pos="2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Robert B. Allardice III, Daniel R. Bradshaw and Pamela M. Gibson, with Daniel R. Bradshaw serving as chair of the conflicts committee.</w:t>
      </w:r>
    </w:p>
    <w:p>
      <w:pPr>
        <w:spacing w:after="0" w:line="16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8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6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registration rights or right to make a determination to receive common units in a resetting of the target distribution levels related to its incentive distribution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the incentive distribution rights it owns or votes upon the dissolution of the partnership. Actions of our general partner, which are made in its individual capacity, will be made by GasLog as sole member of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This document and other important information on our governance are posted on our website and may be viewed at </w:t>
      </w:r>
      <w:r>
        <w:rPr>
          <w:rFonts w:ascii="Arial" w:cs="Arial" w:eastAsia="Arial" w:hAnsi="Arial"/>
          <w:sz w:val="16"/>
          <w:szCs w:val="16"/>
          <w:i w:val="1"/>
          <w:iCs w:val="1"/>
          <w:color w:val="auto"/>
        </w:rPr>
        <w:t>http://www.gaslogmlp.com.</w:t>
      </w:r>
      <w:r>
        <w:rPr>
          <w:rFonts w:ascii="Arial" w:cs="Arial" w:eastAsia="Arial" w:hAnsi="Arial"/>
          <w:sz w:val="16"/>
          <w:szCs w:val="16"/>
          <w:color w:val="auto"/>
        </w:rPr>
        <w:t xml:space="preserve"> Reference to our website is for informational purposes only; our website is not incorporated by reference in this annual report. We will also provide a paper copy of any of these documents upon the written request of a unitholder at no cost. Unitholders may direct their requests to the attention of our General Counsel, c/o GasLog Monaco S.A.M., Gildo Pastor Center, 7 Rue du Gabian, MC 98000, Monaco.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74" w:lineRule="exact"/>
        <w:rPr>
          <w:sz w:val="20"/>
          <w:szCs w:val="20"/>
          <w:color w:val="auto"/>
        </w:rPr>
      </w:pPr>
    </w:p>
    <w:p>
      <w:pPr>
        <w:jc w:val="both"/>
        <w:ind w:right="58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directly employ any on-shore employees or seagoing employees. As of December 31, 2018, GasLog employed (directly and through ship managers) approximately 1,517 seafaring staff who serve on its owned and managed vessels (including our fleet) as well as 160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6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In addition, GasLog provides intensive onboard and shore-based training for its officers and crews to instill a culture of the highest operational and safety standards. As a result, GasLog has historically enjoyed high retention rates. In 2018, GasLog's retention rate was 96% for seagoing senior officers, 98% for other seagoing officers and 94% for shore staff.</w:t>
      </w:r>
    </w:p>
    <w:p>
      <w:pPr>
        <w:spacing w:after="0" w:line="20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certain of our time charters, including automatic periodic adjustment provisions and cost review provisions.</w:t>
      </w:r>
    </w:p>
    <w:p>
      <w:pPr>
        <w:spacing w:after="0" w:line="166"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Unitholders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regarding the beneficial ownership of our outstanding common units as of February 21, 2019 held by:</w:t>
      </w:r>
    </w:p>
    <w:p>
      <w:pPr>
        <w:spacing w:after="0" w:line="262"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holder known to us to beneficially own 5% or more of our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an aggregate of 45,448,993 common units outstanding as of February 21, 2019. Each issued and outstanding common unit entitles the unitholder to one vote. Information for certain holders is based on their latest filings with the SEC or information delivered to us. Except as noted below, the address of all unitholders, officers and directors identified in the table and the accompanying footnotes below is in care of our principal executive offices.</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Common Units</w:t>
            </w:r>
          </w:p>
        </w:tc>
        <w:tc>
          <w:tcPr>
            <w:tcW w:w="0" w:type="dxa"/>
            <w:vAlign w:val="bottom"/>
          </w:tcPr>
          <w:p>
            <w:pPr>
              <w:spacing w:after="0"/>
              <w:rPr>
                <w:sz w:val="1"/>
                <w:szCs w:val="1"/>
                <w:color w:val="auto"/>
              </w:rPr>
            </w:pPr>
          </w:p>
        </w:tc>
      </w:tr>
      <w:tr>
        <w:trPr>
          <w:trHeight w:val="161"/>
        </w:trPr>
        <w:tc>
          <w:tcPr>
            <w:tcW w:w="6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8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149"/>
        </w:trPr>
        <w:tc>
          <w:tcPr>
            <w:tcW w:w="6240" w:type="dxa"/>
            <w:vAlign w:val="bottom"/>
            <w:gridSpan w:val="3"/>
            <w:vMerge w:val="continue"/>
          </w:tcPr>
          <w:p>
            <w:pPr>
              <w:spacing w:after="0"/>
              <w:rPr>
                <w:sz w:val="12"/>
                <w:szCs w:val="12"/>
                <w:color w:val="auto"/>
              </w:rPr>
            </w:pPr>
          </w:p>
        </w:tc>
        <w:tc>
          <w:tcPr>
            <w:tcW w:w="10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Number</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8"/>
              </w:rPr>
              <w:t>Directors and officers</w:t>
            </w:r>
          </w:p>
        </w:tc>
        <w:tc>
          <w:tcPr>
            <w:tcW w:w="472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Curtis V. Anastasio</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B. Allardice III</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Daniel R. Bradshaw</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 Gialouris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Pamela M. Gibson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G. Livanos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623,147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Alastair Maxwell</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J. Orekar</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Richard Sadler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733,559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i w:val="1"/>
                <w:iCs w:val="1"/>
                <w:color w:val="auto"/>
              </w:rPr>
              <w:t>Other 5% beneficial owners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11,843,691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6"/>
        </w:trPr>
        <w:tc>
          <w:tcPr>
            <w:tcW w:w="6240" w:type="dxa"/>
            <w:vAlign w:val="bottom"/>
            <w:gridSpan w:val="3"/>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4,469,278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57"/>
        </w:trPr>
        <w:tc>
          <w:tcPr>
            <w:tcW w:w="62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OppenheimerFunds, Inc.</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2,442,539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64"/>
        </w:trPr>
        <w:tc>
          <w:tcPr>
            <w:tcW w:w="6240" w:type="dxa"/>
            <w:vAlign w:val="bottom"/>
            <w:gridSpan w:val="3"/>
          </w:tcPr>
          <w:p>
            <w:pPr>
              <w:spacing w:after="0"/>
              <w:rPr>
                <w:sz w:val="20"/>
                <w:szCs w:val="20"/>
                <w:color w:val="auto"/>
              </w:rPr>
            </w:pPr>
            <w:r>
              <w:rPr>
                <w:rFonts w:ascii="Arial" w:cs="Arial" w:eastAsia="Arial" w:hAnsi="Arial"/>
                <w:sz w:val="18"/>
                <w:szCs w:val="18"/>
                <w:color w:val="auto"/>
              </w:rPr>
              <w:t>Kayne Anderson Capital Advisors, L.P. &amp; Richard A Kayne</w:t>
            </w:r>
            <w:r>
              <w:rPr>
                <w:rFonts w:ascii="Arial" w:cs="Arial" w:eastAsia="Arial" w:hAnsi="Arial"/>
                <w:sz w:val="29"/>
                <w:szCs w:val="29"/>
                <w:color w:val="auto"/>
                <w:vertAlign w:val="superscript"/>
              </w:rPr>
              <w:t>(3)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2,272,517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280" w:right="100" w:hanging="539"/>
        <w:spacing w:after="0" w:line="317" w:lineRule="auto"/>
        <w:tabs>
          <w:tab w:leader="none" w:pos="2280" w:val="left"/>
        </w:tabs>
        <w:numPr>
          <w:ilvl w:val="0"/>
          <w:numId w:val="91"/>
        </w:numPr>
        <w:rPr>
          <w:rFonts w:ascii="Arial" w:cs="Arial" w:eastAsia="Arial" w:hAnsi="Arial"/>
          <w:sz w:val="10"/>
          <w:szCs w:val="10"/>
          <w:color w:val="auto"/>
        </w:rPr>
      </w:pPr>
      <w:r>
        <w:rPr>
          <w:rFonts w:ascii="Arial" w:cs="Arial" w:eastAsia="Arial" w:hAnsi="Arial"/>
          <w:sz w:val="12"/>
          <w:szCs w:val="12"/>
          <w:color w:val="auto"/>
        </w:rPr>
        <w:t>GasLog Ltd. is effectively controlled by its chairman, Peter G. Livanos, who is deemed to beneficially own, directly or indirectly, 40.09% of the issued and outstanding common shares of GasLog Ltd. Excludes the 2.0% general partner interest held by our general partner, a wholly owned subsidiary of GasLog Ltd.</w:t>
      </w:r>
    </w:p>
    <w:p>
      <w:pPr>
        <w:spacing w:after="0" w:line="67" w:lineRule="exact"/>
        <w:rPr>
          <w:rFonts w:ascii="Arial" w:cs="Arial" w:eastAsia="Arial" w:hAnsi="Arial"/>
          <w:sz w:val="10"/>
          <w:szCs w:val="10"/>
          <w:color w:val="auto"/>
        </w:rPr>
      </w:pPr>
    </w:p>
    <w:p>
      <w:pPr>
        <w:ind w:left="2280" w:right="260" w:hanging="539"/>
        <w:spacing w:after="0" w:line="274" w:lineRule="auto"/>
        <w:tabs>
          <w:tab w:leader="none" w:pos="2280" w:val="left"/>
        </w:tabs>
        <w:numPr>
          <w:ilvl w:val="0"/>
          <w:numId w:val="91"/>
        </w:numPr>
        <w:rPr>
          <w:rFonts w:ascii="Arial" w:cs="Arial" w:eastAsia="Arial" w:hAnsi="Arial"/>
          <w:sz w:val="11"/>
          <w:szCs w:val="11"/>
          <w:color w:val="auto"/>
        </w:rPr>
      </w:pPr>
      <w:r>
        <w:rPr>
          <w:rFonts w:ascii="Arial" w:cs="Arial" w:eastAsia="Arial" w:hAnsi="Arial"/>
          <w:sz w:val="13"/>
          <w:szCs w:val="13"/>
          <w:color w:val="auto"/>
        </w:rPr>
        <w:t>Based on information contained in the Schedule 13G filed with the SEC on January 24, 2019, OppenheimerFunds, Inc. has shared voting and dispositive power over 2,442,539 common units.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80" w:right="120" w:hanging="539"/>
        <w:spacing w:after="0" w:line="274" w:lineRule="auto"/>
        <w:tabs>
          <w:tab w:leader="none" w:pos="2280" w:val="left"/>
        </w:tabs>
        <w:numPr>
          <w:ilvl w:val="0"/>
          <w:numId w:val="92"/>
        </w:numPr>
        <w:rPr>
          <w:rFonts w:ascii="Arial" w:cs="Arial" w:eastAsia="Arial" w:hAnsi="Arial"/>
          <w:sz w:val="11"/>
          <w:szCs w:val="11"/>
          <w:color w:val="auto"/>
        </w:rPr>
      </w:pPr>
      <w:r>
        <w:rPr>
          <w:rFonts w:ascii="Arial" w:cs="Arial" w:eastAsia="Arial" w:hAnsi="Arial"/>
          <w:sz w:val="13"/>
          <w:szCs w:val="13"/>
          <w:color w:val="auto"/>
        </w:rPr>
        <w:t>Based on information contained in the Schedule 13G filed with the SEC on February 6, 2018. Kayne Anderson Capital Advisors, L.P. and Richard A. Kayne have shared voting and dispositive power over 2,272,517 common units.</w:t>
      </w:r>
    </w:p>
    <w:p>
      <w:pPr>
        <w:spacing w:after="0" w:line="90" w:lineRule="exact"/>
        <w:rPr>
          <w:rFonts w:ascii="Arial" w:cs="Arial" w:eastAsia="Arial" w:hAnsi="Arial"/>
          <w:sz w:val="11"/>
          <w:szCs w:val="11"/>
          <w:color w:val="auto"/>
        </w:rPr>
      </w:pPr>
    </w:p>
    <w:p>
      <w:pPr>
        <w:ind w:left="2280" w:right="120" w:hanging="539"/>
        <w:spacing w:after="0" w:line="274" w:lineRule="auto"/>
        <w:tabs>
          <w:tab w:leader="none" w:pos="2280" w:val="left"/>
        </w:tabs>
        <w:numPr>
          <w:ilvl w:val="0"/>
          <w:numId w:val="92"/>
        </w:numPr>
        <w:rPr>
          <w:rFonts w:ascii="Arial" w:cs="Arial" w:eastAsia="Arial" w:hAnsi="Arial"/>
          <w:sz w:val="11"/>
          <w:szCs w:val="11"/>
          <w:color w:val="auto"/>
        </w:rPr>
      </w:pPr>
      <w:r>
        <w:rPr>
          <w:rFonts w:ascii="Arial" w:cs="Arial" w:eastAsia="Arial" w:hAnsi="Arial"/>
          <w:sz w:val="13"/>
          <w:szCs w:val="13"/>
          <w:color w:val="auto"/>
        </w:rPr>
        <w:t>Based on the information in the Schedule 13G filed with the SEC on February 13, 2019, FMR LLC has sole voting authority over 8,300 common units and sole power to dispose or to direct the disposition over 4,469,278 common units.</w:t>
      </w:r>
    </w:p>
    <w:p>
      <w:pPr>
        <w:spacing w:after="0" w:line="91" w:lineRule="exact"/>
        <w:rPr>
          <w:sz w:val="20"/>
          <w:szCs w:val="20"/>
          <w:color w:val="auto"/>
        </w:rPr>
      </w:pPr>
    </w:p>
    <w:p>
      <w:pPr>
        <w:ind w:left="2280" w:hanging="539"/>
        <w:spacing w:after="0"/>
        <w:tabs>
          <w:tab w:leader="none" w:pos="22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21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(which we do not expect to qualify for, unless our general partner exercises the "GasLog option" described in "Item 4. Information on the Partnership—B. Business Overview—Taxation of the Partnership—U.S. Taxation of Shipping"), if at any time any person or group owns beneficially more than 4.9% of any class or series of units (other than the Preference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7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dividends on the applicable series of Preference Units have been paid in full.</w:t>
      </w:r>
    </w:p>
    <w:p>
      <w:pPr>
        <w:spacing w:after="0" w:line="176"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a result of its ownership of the general partner, and the fact that the general partner elects the majority of the Partnership's directors in accordance with the partnership agreement, GasLog has the ability to control the Partnership's affairs and policies. See "Item 6. Directors, Senior Management and Employees—C. Board Practices".</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February 21, 2019, we had 2 common unitholders of record located in the United States. One of those shareholders was CEDE &amp; CO., a nominee of The Depository Trust Company, which held in aggregate 33,602,902 common units, representing 73.9% of our outstanding common units and a 72.5% ownership interest in us. We believe that the units held by CEDE &amp; CO. include common units beneficially owned by both holders in the United Sates and non-U.S. beneficial owners.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2018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Agreement</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Five-Year Vessel Restricted Business Opportunities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For the purposes of this section, we refer to these vessels, together with any related charters, as "Five Year Vessels" and to all other LNG carriers, together with any related charters, as Non-Five Year Vessels. The restrictions in this paragraph will not prevent GasLog or any of its controlled affiliates (other than us and our subsidiaries) from:</w:t>
      </w:r>
    </w:p>
    <w:p>
      <w:pPr>
        <w:spacing w:after="0" w:line="187"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52" w:lineRule="exact"/>
        <w:rPr>
          <w:rFonts w:ascii="Arial" w:cs="Arial" w:eastAsia="Arial" w:hAnsi="Arial"/>
          <w:sz w:val="18"/>
          <w:szCs w:val="18"/>
          <w:color w:val="auto"/>
        </w:rPr>
      </w:pPr>
    </w:p>
    <w:p>
      <w:pPr>
        <w:ind w:left="1080" w:right="36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54" w:lineRule="exact"/>
        <w:rPr>
          <w:rFonts w:ascii="Arial" w:cs="Arial" w:eastAsia="Arial" w:hAnsi="Arial"/>
          <w:sz w:val="16"/>
          <w:szCs w:val="16"/>
          <w:color w:val="auto"/>
        </w:rPr>
      </w:pPr>
    </w:p>
    <w:p>
      <w:pPr>
        <w:ind w:left="1080" w:right="22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GasLog offers to sell the vessel to us for fair market value (x) promptly after the time it becomes a Five-Year Vessel and (y) at each renewal or extension of that charter for five full years or more;</w:t>
      </w:r>
    </w:p>
    <w:p>
      <w:pPr>
        <w:spacing w:after="0" w:line="154"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200" w:hanging="532"/>
        <w:spacing w:after="0" w:line="335" w:lineRule="auto"/>
        <w:tabs>
          <w:tab w:leader="none" w:pos="16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155" w:lineRule="exact"/>
        <w:rPr>
          <w:rFonts w:ascii="Arial" w:cs="Arial" w:eastAsia="Arial" w:hAnsi="Arial"/>
          <w:sz w:val="15"/>
          <w:szCs w:val="15"/>
          <w:color w:val="auto"/>
        </w:rPr>
      </w:pPr>
    </w:p>
    <w:p>
      <w:pPr>
        <w:ind w:left="1620" w:right="100" w:hanging="532"/>
        <w:spacing w:after="0" w:line="294" w:lineRule="auto"/>
        <w:tabs>
          <w:tab w:leader="none" w:pos="16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 (a) above;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we do not fulfill our obligation to purchase such vessel in accordance with the terms of any existing or future agreement;</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us described in paragraphs (2), (3) and (4) above pending our determination whether to accept such offers and pending the closing of any offers we accept;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owning or operating any Five-Year Vessel that GasLog owned on the closing date of the IPO and that was not part of our fleet as of such date; or</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we have previously advised GasLog that we consent to such acquisition, ownership, operation or charter.</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99" w:lineRule="exact"/>
        <w:rPr>
          <w:sz w:val="20"/>
          <w:szCs w:val="20"/>
          <w:color w:val="auto"/>
        </w:rPr>
      </w:pPr>
    </w:p>
    <w:p>
      <w:pPr>
        <w:ind w:left="1080" w:right="14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prevent us or any of our subsidiaries from owning, operating or chartering any Non-Five-Year Vessel that was previously a Five-Year Vessel while owned by us or any of our subsidiaries;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Non-Five-Year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306" w:lineRule="auto"/>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73" w:lineRule="exact"/>
        <w:rPr>
          <w:rFonts w:ascii="Arial" w:cs="Arial" w:eastAsia="Arial" w:hAnsi="Arial"/>
          <w:sz w:val="16"/>
          <w:szCs w:val="16"/>
          <w:color w:val="auto"/>
        </w:rPr>
      </w:pPr>
    </w:p>
    <w:p>
      <w:pPr>
        <w:ind w:left="1620" w:right="100" w:hanging="532"/>
        <w:spacing w:after="0" w:line="294" w:lineRule="auto"/>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 acquisition within 30 days, we may proceed with the acquisition and then offer to sell such vessels to GasLog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380" w:hanging="532"/>
        <w:spacing w:after="0" w:line="369"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owning, operating or chartering Non-Five-Year Vessels if GasLog has previously advised us that it consents to such acquisition, ownership, operation or charter.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"—Indemnification".</w:t>
      </w:r>
    </w:p>
    <w:p>
      <w:pPr>
        <w:spacing w:after="0" w:line="17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Upon a change of control of us or our general partner, the non-competition provisions of the omnibus agreement will terminate immediately. Upon a change of control of GasLog, the non-competition provisions of the omnibus agreement applicable to GasLog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Carrier Purchase Options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Under the omnibus agreement, we currently have the option to purchase from GasLog: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within 36 months after GasLog notifies our board of directors of her acceptance by her charterer, and (ii)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within 30 calendar days following receipt of a notice from GasLog that the vessel has commenced its multi-year charter (being at least five years in length). In each case, our option to purchase is at fair market value as determined pursuant to the omnibus agreement.</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on April 21, 2015, GasLog signed an agreement with MSL for its newbuilding Hull No 2131 to be chartered to MSL upon its delivery in 2019, for initial terms of approximately 9.5 years. Within 30 days of the commencement of each charter, GasLog will be required to offer us an opportunity to purchase the vessel at fair market value as determined pursuant to the omnibus agreement.</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October 20, 2016, GasLog signed an agreement with Centrica for its newbuilding Hull No. 2212 to be chartered to Centrica upon delivery in 2019 for an initial term of seven years. However, GasLog has amended the ship building contract for this newbuilding Hull No. 2212 such that it becomes a 180,000 cbm GTT Mark III Flex Plus Vessel, to be delivered on or before July 31, 2019 and which is currently without charter. Newbuilding Hull No. 2213 becomes a committed Centrica vessel, a 180,000 cbm GTT Mark III Flex Vessel, to be delivered on or before April 1, 2020 for an initial term of seven years. Within 30 days of the commencement of the charter, GasLog will be required to offer us the opportunity to purchase the vessel at fair market value as determined pursuant to the omnibus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May 30, 2018, GasLog signed an agreement with Centrica for its newbuilding Hull No. 2262 to be chartered to Centrica upon delivery in 2020 for an initial term of seven years.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August 16, 2018, GasLog signed an agreement with Cheniere for newbuildings Hull Nos. 2300 and 2301 to be chartered to Cheniere upon delivery in 2020 for initial terms of seven years. Within 30 days of the commencement of each of the charters, GasLog will be required to offer us the opportunity to purchase the vessels at fair market value as determined pursuant to the omnibus agreement.</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December 21, 2018, Gaslog signed agreements with Cheniere for newbuildings Hull Nos. 2311 and 2312 to be chartered to Cheniere upon delivery in 2021 for initial terms of seven years. Within 30 days of the commencement of each of the charters, GasLog will be required to offer us the opportunity to purchase the vessels at fair market value as determined pursuant to the omnibus agreement.</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 Information—D. Risk Factors—Risks Inherent in Our Business—We may have difficulty obtaining consents that are necessary to acquire vessels with an existing charter or a financing agreement".</w:t>
      </w:r>
    </w:p>
    <w:p>
      <w:pPr>
        <w:spacing w:after="0" w:line="169"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First Offer</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pacing w:after="0" w:line="16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 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Factors—Risks Inherent in Our Business—We may have difficulty obtaining consents that are necessary to acquire vessels with an existing charter or a financing agreement".</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provisions related to the rights of first offer granted to us by GasLog shall terminate immediately.</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omnibus agreement, GasLog will indemnify us after the closing of the IPO for a period of five years (and GasLog will indemnify us for a period of at least three years after our purchase of any vessels subject to purchase options, if applicable)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 million on the amount of indemnity coverage provided by GasLog for environmental and toxic tort liabilities. No claim may be made unless the aggregate dollar amount of all claims exceeds $500,000, in which case GasLog is liable for claims only to the extent such aggregate amount exceeds $500,000.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will also indemnify us for liabilities related to:</w:t>
      </w:r>
    </w:p>
    <w:p>
      <w:pPr>
        <w:spacing w:after="0" w:line="239" w:lineRule="exact"/>
        <w:rPr>
          <w:sz w:val="20"/>
          <w:szCs w:val="20"/>
          <w:color w:val="auto"/>
        </w:rPr>
      </w:pPr>
    </w:p>
    <w:p>
      <w:pPr>
        <w:ind w:left="1080" w:right="2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certain tax liabilities attributable to the operation of the assets contributed or sold to us prior to the time they were contributed or sold.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9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there is a change of control of us or 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our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order is made to wind up our partnership;</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final judgment or order that materially and adversely affects our ability to perform the agreement is obtained or entered and not vacated, discharged or stayed; or</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make a general assignment for the benefit of our creditors, file a petition in bankruptcy or liquidation or commence any reorganization proceedings.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administrative services agreement, certain officers of GasLog provide executive officer functions for our benefit. These officers are responsible for our day-to-day management subject to the direction of our board of directors. The services provided by Andrew J. Orekar, our CEO, are provided under the administrative services agreement pursuant to an employment agreement that he has entered into with a subsidiary of GasLog. Our board of directors has the ability to terminate the arrangement with GasLog regarding the provision of executive officer services to us at any time in its sole discretion.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administrative services provided by GasLog include:</w:t>
      </w:r>
    </w:p>
    <w:p>
      <w:pPr>
        <w:spacing w:after="0" w:line="239" w:lineRule="exact"/>
        <w:rPr>
          <w:sz w:val="20"/>
          <w:szCs w:val="20"/>
          <w:color w:val="auto"/>
        </w:rPr>
      </w:pPr>
    </w:p>
    <w:p>
      <w:pPr>
        <w:ind w:left="1080" w:right="4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bookkeeping, audit and accounting services: </w:t>
      </w:r>
      <w:r>
        <w:rPr>
          <w:rFonts w:ascii="Arial" w:cs="Arial" w:eastAsia="Arial" w:hAnsi="Arial"/>
          <w:sz w:val="18"/>
          <w:szCs w:val="18"/>
          <w:color w:val="auto"/>
        </w:rPr>
        <w:t>assistance with the maintenance of our corporate books and records, assistance with the preparation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tax returns and arranging for the provision of audit and accounting services;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legal and insurance services: </w:t>
      </w:r>
      <w:r>
        <w:rPr>
          <w:rFonts w:ascii="Arial" w:cs="Arial" w:eastAsia="Arial" w:hAnsi="Arial"/>
          <w:sz w:val="18"/>
          <w:szCs w:val="18"/>
          <w:color w:val="auto"/>
        </w:rPr>
        <w:t>arranging for the provision of legal, insurance and other professional services and maintaining our existence and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in necessary jurisdictions;</w:t>
      </w:r>
    </w:p>
    <w:p>
      <w:pPr>
        <w:spacing w:after="0" w:line="21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administrative and clerical services: </w:t>
      </w:r>
      <w:r>
        <w:rPr>
          <w:rFonts w:ascii="Arial" w:cs="Arial" w:eastAsia="Arial" w:hAnsi="Arial"/>
          <w:sz w:val="16"/>
          <w:szCs w:val="16"/>
          <w:color w:val="auto"/>
        </w:rPr>
        <w:t>assistance with personnel administration, payroll and office space, arranging meetings for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3"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banking and financing services: </w:t>
      </w:r>
      <w:r>
        <w:rPr>
          <w:rFonts w:ascii="Arial" w:cs="Arial" w:eastAsia="Arial" w:hAnsi="Arial"/>
          <w:sz w:val="18"/>
          <w:szCs w:val="18"/>
          <w:color w:val="auto"/>
        </w:rPr>
        <w:t>providing treasury and cash management services including assistance with identifying and accessing sources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preparation of budgets, overseeing banking services and bank accounts, arranging for the deposit of funds and monitoring and maintaining compliance therewith and financial risk management;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assistance in complying with United States and other relevant securities 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client and investor relations: </w:t>
      </w:r>
      <w:r>
        <w:rPr>
          <w:rFonts w:ascii="Arial" w:cs="Arial" w:eastAsia="Arial" w:hAnsi="Arial"/>
          <w:sz w:val="18"/>
          <w:szCs w:val="18"/>
          <w:color w:val="auto"/>
        </w:rPr>
        <w:t>arranging for the provision of advisory, clerical and investor relations services to assist and support us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with our unitholders;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assistance with the integration of any acquired businesses.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For periods through the year ended December 31, 2018, GasLog received a service fee of $0.8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2018 was $10.4 million, which related to the five vessels acquired from GasLog in 2014, the three vessels acquired from GasLog in 2015, the vessel acquired from GasLog in 2016, the three vessels acquired in 2017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from their acquisition in April and November 2018, respectively.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November 2018, the board of directors approved a decrease in the service fee payable to GasLog under the terms of the administrative services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 effect from January 1, 2019 a service fee of $0.6 million per vessel per year will be payable.</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 xml:space="preserve">All vessels in our fleet have entered into a ship management agreement with GasLog LNG Services, except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which is managed by Shell, pursuant to which certain crew and technical services are provided by GasLog LNG Services. Under these ship management agreements, our operating subsidiaries pay fees to and reimburse the costs and expenses of the manager as described below.</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Management services. </w:t>
      </w:r>
      <w:r>
        <w:rPr>
          <w:rFonts w:ascii="Arial" w:cs="Arial" w:eastAsia="Arial" w:hAnsi="Arial"/>
          <w:sz w:val="18"/>
          <w:szCs w:val="18"/>
          <w:color w:val="auto"/>
        </w:rPr>
        <w:t>Each amended ship management agreement requires that GasLog LNG Services and its subcontractors use their best endeavors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among others, the following management services:</w:t>
      </w:r>
    </w:p>
    <w:p>
      <w:pPr>
        <w:spacing w:after="0" w:line="199" w:lineRule="exact"/>
        <w:rPr>
          <w:sz w:val="20"/>
          <w:szCs w:val="20"/>
          <w:color w:val="auto"/>
        </w:rPr>
      </w:pPr>
    </w:p>
    <w:p>
      <w:pPr>
        <w:ind w:left="1080" w:right="30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 of suitably and adequately qualified crew for the vessel in accordance with the requirements of the owner and the attendance to all matters pertaining to training, labor relations, insurance and amenities of the crew;</w:t>
      </w:r>
    </w:p>
    <w:p>
      <w:pPr>
        <w:spacing w:after="0" w:line="199"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 of applicable documentation of compliance and safety management certificates;</w:t>
      </w:r>
    </w:p>
    <w:p>
      <w:pPr>
        <w:spacing w:after="0" w:line="238"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procurement of all stores, spares, equipment, provisions, oils, fuels and any other goods, material or services to be supplied to the vessel;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handling and settlement of claims relating to the vessel, including any claims involving the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navigation of the vessel, handling of all necessary communication, and management of cargo operations of the vessel;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arrangement, maintenance and preparation for suitable moorings for vessels for lay-up.</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Management fee. </w:t>
      </w:r>
      <w:r>
        <w:rPr>
          <w:rFonts w:ascii="Arial" w:cs="Arial" w:eastAsia="Arial" w:hAnsi="Arial"/>
          <w:sz w:val="16"/>
          <w:szCs w:val="16"/>
          <w:color w:val="auto"/>
        </w:rPr>
        <w:t>Pursuant to the amended ship management agreements, the vessel-owning subsidiaries, as owners, will pay a management fee of $46,000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 month to GasLog LNG Services, as manager, and will reimburse GasLog LNG Services for all expenses incurred on their behalf. The aggregate fees and expenses for services under these management agreements for the year ended December 31, 2018 were $6.5 million, which related to the five vessels acquired from GasLog in 2014, the three vessels acquired from GasLog in 2015, the vessel acquired from GasLog in 2016, the three vessels acquired in 2017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from their acquisition in April and November 2018, respectively.</w:t>
      </w:r>
    </w:p>
    <w:p>
      <w:pPr>
        <w:spacing w:after="0" w:line="16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94"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8"/>
          <w:szCs w:val="18"/>
          <w:color w:val="auto"/>
        </w:rPr>
        <w:t>Each ship management agreement continues indefinitely until terminated by either party as described below.</w:t>
      </w:r>
    </w:p>
    <w:p>
      <w:pPr>
        <w:spacing w:after="0" w:line="225"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Automatic termination and termination by either party.</w:t>
      </w:r>
      <w:r>
        <w:rPr>
          <w:sz w:val="20"/>
          <w:szCs w:val="20"/>
          <w:color w:val="auto"/>
        </w:rPr>
        <w:tab/>
      </w:r>
      <w:r>
        <w:rPr>
          <w:rFonts w:ascii="Arial" w:cs="Arial" w:eastAsia="Arial" w:hAnsi="Arial"/>
          <w:sz w:val="15"/>
          <w:szCs w:val="15"/>
          <w:color w:val="auto"/>
        </w:rPr>
        <w:t>Each ship management agreement will be deemed to be terminated if:</w:t>
      </w:r>
    </w:p>
    <w:p>
      <w:pPr>
        <w:spacing w:after="0" w:line="25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vessel is sold, becomes a total loss, is declared as a constructive, compromised or arranged total loss or is requisitioned for hire; or</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Termination by the manager. </w:t>
      </w:r>
      <w:r>
        <w:rPr>
          <w:rFonts w:ascii="Arial" w:cs="Arial" w:eastAsia="Arial" w:hAnsi="Arial"/>
          <w:sz w:val="18"/>
          <w:szCs w:val="18"/>
          <w:color w:val="auto"/>
        </w:rPr>
        <w:t>Under each ship management agreement, the manager may terminate the ship management agreement with immediate effect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if:</w:t>
      </w:r>
    </w:p>
    <w:p>
      <w:pPr>
        <w:spacing w:after="0" w:line="199" w:lineRule="exact"/>
        <w:rPr>
          <w:sz w:val="20"/>
          <w:szCs w:val="20"/>
          <w:color w:val="auto"/>
        </w:rPr>
      </w:pPr>
    </w:p>
    <w:p>
      <w:pPr>
        <w:ind w:left="1080" w:right="1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money payable to the manager pursuant to the agreement has not been paid within 30 days of payment having been requested in writing by the manager;</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owner fails to cease employment of the vessel in an unlawful trade or on a voyage, which in the reasonable opinion of the manager, is unduly hazardous, within a reasonable time after receiving notice from the manager;</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relevant ship management agreement or any of the owner's rights or obligations are assigned to any person or entity without the manager's prior written agreement or approval; or</w:t>
      </w:r>
    </w:p>
    <w:p>
      <w:pPr>
        <w:spacing w:after="0" w:line="19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Termination by the owner. </w:t>
      </w:r>
      <w:r>
        <w:rPr>
          <w:rFonts w:ascii="Arial" w:cs="Arial" w:eastAsia="Arial" w:hAnsi="Arial"/>
          <w:sz w:val="16"/>
          <w:szCs w:val="16"/>
          <w:color w:val="auto"/>
        </w:rPr>
        <w:t>Under each ship management agreement, the owner may terminate the applicable agreement by giving 90 days' written notice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7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i w:val="1"/>
          <w:iCs w:val="1"/>
          <w:color w:val="auto"/>
        </w:rPr>
        <w:t xml:space="preserve">Additional fees and provisions. </w:t>
      </w:r>
      <w:r>
        <w:rPr>
          <w:rFonts w:ascii="Arial" w:cs="Arial" w:eastAsia="Arial" w:hAnsi="Arial"/>
          <w:sz w:val="18"/>
          <w:szCs w:val="18"/>
          <w:color w:val="auto"/>
        </w:rPr>
        <w:t>Under each ship management agreement, the manager and its employees, agents and subcontractors will be indemnified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May 2015, the Ship Management Agreements were amended to delete the annual incentive bonus and superintendent fees clauses, with effect from April 1,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2016, the Ship Management Agreements were amended to consolidate all ship management related fees into a single fee 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Management Agreements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operating subsidiaries have entered into commercial management agreements with GasLog that were amended upon completion of the IPO, pursuant to which GasLog provides certain commercial management services to us. The annual commercial management fee is $360,000 for each vessel payable quarterly in advance. The aggregate fees and expenses under these commercial management agreements for the year ended December 31, 2018 were $4.6 million which related to the five vessels acquired from GasLog in 2014, the three vessels acquired from GasLog in 2015, the vessel acquired from GasLog in 2016, the three vessels acquired in 2017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from their acquisition in April and November 2018, respectively.</w:t>
      </w:r>
    </w:p>
    <w:p>
      <w:pPr>
        <w:spacing w:after="0" w:line="169"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amended commercial management agreements require that GasLog use their best endeavors to perform, among others, the following management services:</w:t>
      </w:r>
    </w:p>
    <w:p>
      <w:pPr>
        <w:spacing w:after="0" w:line="199" w:lineRule="exact"/>
        <w:rPr>
          <w:sz w:val="20"/>
          <w:szCs w:val="20"/>
          <w:color w:val="auto"/>
        </w:rPr>
      </w:pPr>
    </w:p>
    <w:p>
      <w:pPr>
        <w:ind w:left="1080" w:right="120" w:hanging="532"/>
        <w:spacing w:after="0" w:line="298"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administration of invoicing and collection of hire payables;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assessment of the market on specific issues and provision of such consultancy services as the owners may from time to time require.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Agreement</w:t>
      </w:r>
    </w:p>
    <w:p>
      <w:pPr>
        <w:spacing w:after="0" w:line="231" w:lineRule="exact"/>
        <w:rPr>
          <w:sz w:val="20"/>
          <w:szCs w:val="20"/>
          <w:color w:val="auto"/>
        </w:rPr>
      </w:pPr>
    </w:p>
    <w:p>
      <w:pPr>
        <w:ind w:right="660" w:firstLine="351"/>
        <w:spacing w:after="0" w:line="331" w:lineRule="auto"/>
        <w:rPr>
          <w:sz w:val="20"/>
          <w:szCs w:val="20"/>
          <w:color w:val="auto"/>
        </w:rPr>
      </w:pPr>
      <w:r>
        <w:rPr>
          <w:rFonts w:ascii="Arial" w:cs="Arial" w:eastAsia="Arial" w:hAnsi="Arial"/>
          <w:sz w:val="16"/>
          <w:szCs w:val="16"/>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April 3, 2017, we entered into a new unsecured five-year term loan of $45.0 million and a new five-year revolving credit facility of $30.0 million with GasLog. For a more detailed description of this credit facility, please read "Item 5. Operating and Financial Review and Prospects—B. Liquidity and Capital Resources—Borrowing Activities—Revolving Credit Facility with GasLog".</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In connection with the acquisition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in July 2015, we and GasLog Partners Holdings entered into a guarantee agreement pursuant to which we and GasLog Partners Holdings guaranteed the obligations of GAS-nineteen Ltd., the owner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GAS-twenty Ltd., the owner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GAS-twenty one Ltd., the owner of the </w:t>
      </w:r>
      <w:r>
        <w:rPr>
          <w:rFonts w:ascii="Arial" w:cs="Arial" w:eastAsia="Arial" w:hAnsi="Arial"/>
          <w:sz w:val="16"/>
          <w:szCs w:val="16"/>
          <w:i w:val="1"/>
          <w:iCs w:val="1"/>
          <w:color w:val="auto"/>
        </w:rPr>
        <w:t>Methane Heather</w:t>
      </w:r>
      <w:r>
        <w:rPr>
          <w:rFonts w:ascii="Arial" w:cs="Arial" w:eastAsia="Arial" w:hAnsi="Arial"/>
          <w:sz w:val="16"/>
          <w:szCs w:val="16"/>
          <w:color w:val="auto"/>
        </w:rPr>
        <w:t xml:space="preserve"> </w:t>
      </w:r>
      <w:r>
        <w:rPr>
          <w:rFonts w:ascii="Arial" w:cs="Arial" w:eastAsia="Arial" w:hAnsi="Arial"/>
          <w:sz w:val="16"/>
          <w:szCs w:val="16"/>
          <w:i w:val="1"/>
          <w:iCs w:val="1"/>
          <w:color w:val="auto"/>
        </w:rPr>
        <w:t>Sally</w:t>
      </w:r>
      <w:r>
        <w:rPr>
          <w:rFonts w:ascii="Arial" w:cs="Arial" w:eastAsia="Arial" w:hAnsi="Arial"/>
          <w:sz w:val="16"/>
          <w:szCs w:val="16"/>
          <w:color w:val="auto"/>
        </w:rPr>
        <w:t>, under the then existing facility agreement between such entities as borrowers, Citibank N.A., London Branch, as mandated lead arranger, bookrunner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agent, the financial institutions listed in Schedule 1 thereto as lenders and Citibank International Plc as agent of the other finance parties.</w:t>
      </w:r>
    </w:p>
    <w:p>
      <w:pPr>
        <w:spacing w:after="0" w:line="16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In connection with the acquisition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in November 2016, we and GasLog Partners Holdings entered into a guarantee agreement pursuant to which we and GasLog Partners Holdings guaranteed up to the amount of outstanding commitment made available to GAS-seven Ltd., the owner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Seattle</w:t>
      </w:r>
      <w:r>
        <w:rPr>
          <w:rFonts w:ascii="Arial" w:cs="Arial" w:eastAsia="Arial" w:hAnsi="Arial"/>
          <w:sz w:val="16"/>
          <w:szCs w:val="16"/>
          <w:color w:val="auto"/>
        </w:rPr>
        <w:t>, ($120.1 million as of December 31, 2018) of the obligations under the $1,050.0 million Legacy Facility Refinancing. In October 2017,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acquisition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we and GasLog Partners Holdings extended the guarantee agreement to guarantee up to the amount of outstanding commitment made available to GAS-eight Ltd., the owner of the </w:t>
      </w:r>
      <w:r>
        <w:rPr>
          <w:rFonts w:ascii="Arial" w:cs="Arial" w:eastAsia="Arial" w:hAnsi="Arial"/>
          <w:sz w:val="16"/>
          <w:szCs w:val="16"/>
          <w:i w:val="1"/>
          <w:iCs w:val="1"/>
          <w:color w:val="auto"/>
        </w:rPr>
        <w:t>Solaris</w:t>
      </w:r>
      <w:r>
        <w:rPr>
          <w:rFonts w:ascii="Arial" w:cs="Arial" w:eastAsia="Arial" w:hAnsi="Arial"/>
          <w:sz w:val="16"/>
          <w:szCs w:val="16"/>
          <w:color w:val="auto"/>
        </w:rPr>
        <w:t>, ($122.0 million as of December 31, 2018). GasLog provides a guarantee on the Legacy Facility Refinancing, including the commitments made available to GAS-seven Ltd. and GAS-eight Ltd.</w:t>
      </w:r>
    </w:p>
    <w:p>
      <w:pPr>
        <w:spacing w:after="0" w:line="174"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 xml:space="preserve">On April 5, 2016, we and GasLog Partners Holdings entered into a guarantee pursuant to which we and GasLog Partners Holdings guaranteed up to the amount of outstanding loans available to GAS-nineteen Ltd., the owner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GAS-twenty Ltd., the owner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GAS-twenty one Ltd., the owner of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under the Five Vessel Refinancing among GAS-eighteen Ltd., the owner of the </w:t>
      </w:r>
      <w:r>
        <w:rPr>
          <w:rFonts w:ascii="Arial" w:cs="Arial" w:eastAsia="Arial" w:hAnsi="Arial"/>
          <w:sz w:val="15"/>
          <w:szCs w:val="15"/>
          <w:i w:val="1"/>
          <w:iCs w:val="1"/>
          <w:color w:val="auto"/>
        </w:rPr>
        <w:t>Methane Lydon</w:t>
      </w:r>
      <w:r>
        <w:rPr>
          <w:rFonts w:ascii="Arial" w:cs="Arial" w:eastAsia="Arial" w:hAnsi="Arial"/>
          <w:sz w:val="15"/>
          <w:szCs w:val="15"/>
          <w:color w:val="auto"/>
        </w:rPr>
        <w:t xml:space="preserve"> </w:t>
      </w:r>
      <w:r>
        <w:rPr>
          <w:rFonts w:ascii="Arial" w:cs="Arial" w:eastAsia="Arial" w:hAnsi="Arial"/>
          <w:sz w:val="15"/>
          <w:szCs w:val="15"/>
          <w:i w:val="1"/>
          <w:iCs w:val="1"/>
          <w:color w:val="auto"/>
        </w:rPr>
        <w:t>Volney</w:t>
      </w:r>
      <w:r>
        <w:rPr>
          <w:rFonts w:ascii="Arial" w:cs="Arial" w:eastAsia="Arial" w:hAnsi="Arial"/>
          <w:sz w:val="15"/>
          <w:szCs w:val="15"/>
          <w:color w:val="auto"/>
        </w:rPr>
        <w:t>, a GasLog owned vessel, GAS-nineteen Ltd., GAS-twenty Ltd., GAS-twenty one Ltd. and GAS-twenty seven Ltd., the owner of the</w:t>
      </w:r>
      <w:r>
        <w:rPr>
          <w:rFonts w:ascii="Arial" w:cs="Arial" w:eastAsia="Arial" w:hAnsi="Arial"/>
          <w:sz w:val="15"/>
          <w:szCs w:val="15"/>
          <w:i w:val="1"/>
          <w:iCs w:val="1"/>
          <w:color w:val="auto"/>
        </w:rPr>
        <w:t xml:space="preserve"> Methane Becki Anne</w:t>
      </w:r>
      <w:r>
        <w:rPr>
          <w:rFonts w:ascii="Arial" w:cs="Arial" w:eastAsia="Arial" w:hAnsi="Arial"/>
          <w:sz w:val="15"/>
          <w:szCs w:val="15"/>
          <w:color w:val="auto"/>
        </w:rPr>
        <w:t>,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borrowers and ABN AMRO Bank N.V. and DNB (UK) Ltd. as mandated lead arrangers, original lenders and bookrunners. In November 2018, in connection with the acquisition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we and GasLog Partners Holdings extended the guarantee agreement to guarantee up to the amount of outstanding commitment made available to GAS-twenty seven Ltd.. As of December 31, 2018, the amount outstanding under the loans available to GAS-nineteen Ltd., GAS-twenty Ltd. and GAS-twenty one Ltd. was $171.7 million and Gas-twenty seven Ltd. was $93.9 million. GasLog provides a guarantee on the total obligations under the facilities, including the commitments made available to GAS-nineteen Ltd., GAS-twenty Ltd., GAS-twenty one Ltd. and GAS-twenty seven Ltd.</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On May 25, 2017, in connection with the acquisition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and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bookrunner and Citibank N.A., London Branch as export credit agent, global co-ordinator, bookrunner and export credit agent co-ordinator. On June 28, 2017, in connection with the acquisition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we and GasLog Partners Holdings extended the guarantee agreement to guarantee up to the amount of outstanding commitment made available to GAS-thirteen Ltd. In April 2018, in connection with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we and GasLog Partners Holdings extended the guarantee agreement to guarantee up to the amount of outstanding commitment made available to GAS-fourteen Ltd. As of December 31, 2018, the amount outstanding under the loans available to GAS-eleven Ltd. was $134.7 million, GAS-thirteen Ltd. was $137.9 million and GAS-fourteen Ltd. was $137.9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Agreements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On October 27, 2016, we entered into a Share Purchase Agreement to purchase from GasLog Carriers, a direct subsidiary of GasLog, 100% of the ownership interest in GAS-seven Ltd., the entity that owned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for a purchase price of $189.0 million. GasLog has operated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since its delivery in 2013. The acquisition closed on November 1, 2016. In connection with the transaction, the Partnership acquired GAS-seven Ltd. with $1.0 million of positive net working capital existing at the time of closing.</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On March 23, 2017, we entered into a Share Purchase Agreement to purchase from GasLog Carriers, a direct subsidiary of GasLog, 100% of the ownership interest in GAS-eleven Ltd., the entity that owned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for a purchase price of $219.0 million. GasLog has operated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since its delivery in 2016. The acquisition closed on May 3, 2017. In connection with the transaction, the Partnership acquired GAS-eleven Ltd. with $1.0 million of positive net working capital existing at the time of closing.</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On June 1, 2017, we entered into a Share Purchase Agreement to purchase from GasLog Carriers, a direct subsidiary of GasLog, 100% of the ownership interest in GAS-thirteen Ltd., the entity that owned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for a purchase price of $211.0 million. GasLog has operated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since its delivery in 2016. The acquisition closed on July 3, 2017. In connection with the transaction, the Partnership acquired GAS-thirteen Ltd. with $1.0 million of positive net working capital existing at the time of closing.</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On September 19, 2017, we entered into a Share Purchase Agreement to purchase from GasLog Carriers, a direct subsidiary of GasLog, 100% of the ownership interest in GAS-eight Ltd., the entity that owned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for a purchase price of $185.9 million.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has been operated and managed by Shell since its delivery in 2014. The acquisition closed on May 3, 2017. In connection with the transaction, the Partnership acquired GAS-eight Ltd. with $1.0 million of positive net working capital existing at the time of closing.</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On April 16, 2018, we entered into a Share Purchase Agreement to purchase from GasLog Carriers, a direct subsidiary of GasLog, 100% of the ownership interest in GAS-fourteen Ltd., the entity that owned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for a purchase price of $207 million including $45.0 million new privately placed common units issued to GasLog (1,858,975 common units at a price of $24.21 per unit). GasLog has operated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since its delivery in 2016. The acquisition closed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April 26, 2018. In connection with the transaction, the Partnership acquired GAS-fourteen Ltd. with $1.0 million of positive net working capital existing at the time of closing.</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On October 30, 2018, we entered into a Share Purchase Agreement to purchase from GasLog Carriers, a direct subsidiary of GasLog, 100% of the ownership interest in GAS-twenty seven Ltd., the entity that owned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for a purchase price of $207.4 million. GasLog has technically managed the Methane Becki Anne since its delivery in 2010. The acquisition closed on November 14,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31" w:lineRule="exact"/>
        <w:rPr>
          <w:sz w:val="20"/>
          <w:szCs w:val="20"/>
          <w:color w:val="auto"/>
        </w:rPr>
      </w:pPr>
    </w:p>
    <w:p>
      <w:pPr>
        <w:ind w:right="400" w:firstLine="351"/>
        <w:spacing w:after="0" w:line="294" w:lineRule="auto"/>
        <w:rPr>
          <w:sz w:val="20"/>
          <w:szCs w:val="20"/>
          <w:color w:val="auto"/>
        </w:rPr>
      </w:pPr>
      <w:r>
        <w:rPr>
          <w:rFonts w:ascii="Arial" w:cs="Arial" w:eastAsia="Arial" w:hAnsi="Arial"/>
          <w:sz w:val="16"/>
          <w:szCs w:val="16"/>
          <w:color w:val="auto"/>
        </w:rPr>
        <w:t>On November 27, 2018, we entered into an agreement with GasLog to modify the partnership agreement with respect to the general partner's incentive distribution rights. The modification reduced the distributions of cash upon liquidation and the general partner's incentive distribution rights on quarterly distributions above $0.5625 per unit, each from 48% to 23%. GasLog further agreed to waive incentive distribution right payments resulting from any asset or business acquired by us from a third party (a "Non-GasLog Acquisition"). In exchange for these modifications, we entered into an Exchange Agreement with GasLog and GasLog Partners GP LLC under which we paid $25.0 million to GasLog, sourced from available cash..</w:t>
      </w:r>
    </w:p>
    <w:p>
      <w:pPr>
        <w:spacing w:after="0" w:line="169"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 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 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73"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Our conflicts committee is comprised of three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w:t>
      </w:r>
    </w:p>
    <w:p>
      <w:pPr>
        <w:spacing w:after="0" w:line="2" w:lineRule="exact"/>
        <w:rPr>
          <w:sz w:val="20"/>
          <w:szCs w:val="20"/>
          <w:color w:val="auto"/>
        </w:rPr>
      </w:pPr>
    </w:p>
    <w:p>
      <w:pPr>
        <w:ind w:left="5660" w:right="4640" w:hanging="5652"/>
        <w:spacing w:after="0" w:line="450" w:lineRule="auto"/>
        <w:tabs>
          <w:tab w:leader="none" w:pos="26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awards granted pursuant to any long-term incentive plan of the Partnership or its subsidiaries).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34187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cash distribution policy reflects a judgment that our common unitholders are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ind w:left="1080" w:right="4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 the broad discretion of our board of directors to establish reserves and other limitations.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94"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196"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26.1% ownership interest in us.</w:t>
      </w:r>
    </w:p>
    <w:p>
      <w:pPr>
        <w:spacing w:after="0" w:line="173" w:lineRule="exact"/>
        <w:rPr>
          <w:rFonts w:ascii="Arial" w:cs="Arial" w:eastAsia="Arial" w:hAnsi="Arial"/>
          <w:sz w:val="16"/>
          <w:szCs w:val="16"/>
          <w:color w:val="auto"/>
        </w:rPr>
      </w:pPr>
    </w:p>
    <w:p>
      <w:pPr>
        <w:jc w:val="both"/>
        <w:ind w:left="1080" w:right="520" w:hanging="532"/>
        <w:spacing w:after="0" w:line="331"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 Distribution Requirements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adjustment. We paid distributions to holders of our Series A Preference Units of $0.5390625 per unit on March 15, 2018, June 15, 2018, September 17, 2018 and December 17,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Series B Preference Units, from and including January 17, 2018 to, but excluding, March 15, 2023, the distribution rate is 8.200% per annum per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$25.00 of liquidation preference per unit (equal to $2.05 per annum per unit). From and including March 15, 2023, the distribution rate for the Series B Preference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will be a floating rate equal to three-month LIBOR plus a spread of 5.839% per annum per $25.00 of liquidation preference per unit. The distribution rates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subject to adjustment. We paid distributions to holders of our Series B Preference Units of $0.33028 per unit on March 15, 2018 and $0.5125 per unit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15, 2018, September 17, 2018 and December 17, 2018.</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Series C Preference Units, from and including November 15, 2018 to, but excluding, March 15, 2024, the distribution rate is 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Common unitholders are entitled under our partnership agreement to receive a quarterly distribution of $0.375 per unit, or $1.50 per unit per year, after distributions are made on Preference Units, to the extent we have sufficient cash on hand to pay the distribution after we establish cash reserves and pay fees and expenses. There is no guarantee that we will pay the minimum quarterly distribution on the common units in any quarter. Even if our cash distribution policy is not modified or revoked, the amount of distributions paid under our policy and the decision to make any distribution are determined by our board of directors, taking into consideration the terms of our partnership agreement. We are effectively prohibited from making any distributions to unitholders if it would cause an event of default, or an event of default is then existing, under our financing agreements. See "Item 5. Operating and Financial Review and Prospects—B. Liquidity and Capital Resources" for a discussion of the restrictions contained in our financing agreements that may restrict our ability to make distributions.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 ended December 31, 2018, the aggregate amount of cash distribution paid to common unitholders was $91.0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make distributions of available cash from operating surplus after payment of Preference Unit distributions for any quarter in the following manner:</w:t>
      </w:r>
    </w:p>
    <w:p>
      <w:pPr>
        <w:spacing w:after="0" w:line="262" w:lineRule="exact"/>
        <w:rPr>
          <w:sz w:val="20"/>
          <w:szCs w:val="20"/>
          <w:color w:val="auto"/>
        </w:rPr>
      </w:pPr>
    </w:p>
    <w:p>
      <w:pPr>
        <w:ind w:left="1080" w:right="20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common unitholders, pro rata, and 2.0% to our general partner, until we distribute for each outstanding common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deducting Preference Unit distributions after the minimum quarterly distribution and the target distribution levels have been achieved. GasLog currently holds the incentive distribution rights.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November 27, 2018, we entered into an agreement with GasLog to modify the partnership agreement with respect to the general partner's incentive distribution rights. The modification reduced distributions of cash upon liquidation and the general partner's incentive distribution rights on quarterly distributions above $0.5625 per unit, each from 48% to 23%. GasLog further agreed to waive incentive distribution right payments resulting from any Non-GasLog Acquisition. In exchange for these modifications, we paid $25.0 million to GasLog, sourced from available cash.</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following this agreement among the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(as reduced pro rata by available cash derived from Non-GasLog Acquisitions, if any) in any available cash from operating surplus. After deducting Preference Unit distributions,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general partner include its 2.0% general partner interest only and assume that our general partner has contributed any capital necessary to maintain its 2.0% general partner interest.</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8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Marginal Percentage Interest in Distributions</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Holders of</w:t>
            </w:r>
          </w:p>
        </w:tc>
        <w:tc>
          <w:tcPr>
            <w:tcW w:w="160" w:type="dxa"/>
            <w:vAlign w:val="bottom"/>
          </w:tcPr>
          <w:p>
            <w:pPr>
              <w:spacing w:after="0"/>
              <w:rPr>
                <w:sz w:val="11"/>
                <w:szCs w:val="11"/>
                <w:color w:val="auto"/>
              </w:rPr>
            </w:pPr>
          </w:p>
        </w:tc>
      </w:tr>
      <w:tr>
        <w:trPr>
          <w:trHeight w:val="149"/>
        </w:trPr>
        <w:tc>
          <w:tcPr>
            <w:tcW w:w="2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r>
      <w:tr>
        <w:trPr>
          <w:trHeight w:val="161"/>
        </w:trPr>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Total Quarterly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General</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Distribution</w:t>
            </w:r>
          </w:p>
        </w:tc>
      </w:tr>
      <w:tr>
        <w:trPr>
          <w:trHeight w:val="176"/>
        </w:trPr>
        <w:tc>
          <w:tcPr>
            <w:tcW w:w="2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Distribution Target Amount</w:t>
            </w: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Unitholders</w:t>
            </w: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Partner</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Rights</w:t>
            </w:r>
            <w:r>
              <w:rPr>
                <w:rFonts w:ascii="Arial" w:cs="Arial" w:eastAsia="Arial" w:hAnsi="Arial"/>
                <w:sz w:val="20"/>
                <w:szCs w:val="20"/>
                <w:b w:val="1"/>
                <w:bCs w:val="1"/>
                <w:color w:val="auto"/>
                <w:w w:val="96"/>
                <w:vertAlign w:val="superscript"/>
              </w:rPr>
              <w:t>(1)</w:t>
            </w:r>
          </w:p>
        </w:tc>
        <w:tc>
          <w:tcPr>
            <w:tcW w:w="160" w:type="dxa"/>
            <w:vAlign w:val="bottom"/>
          </w:tcPr>
          <w:p>
            <w:pPr>
              <w:spacing w:after="0"/>
              <w:rPr>
                <w:sz w:val="15"/>
                <w:szCs w:val="15"/>
                <w:color w:val="auto"/>
              </w:rPr>
            </w:pPr>
          </w:p>
        </w:tc>
      </w:tr>
      <w:tr>
        <w:trPr>
          <w:trHeight w:val="209"/>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$0.375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$0.375 up to $0.43125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$0.43125 up to $0.46875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Above $0.46875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102"/>
        </w:trPr>
        <w:tc>
          <w:tcPr>
            <w:tcW w:w="222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700" w:right="80" w:hanging="536"/>
        <w:spacing w:after="0" w:line="256" w:lineRule="auto"/>
        <w:tabs>
          <w:tab w:leader="none" w:pos="1700" w:val="left"/>
        </w:tabs>
        <w:numPr>
          <w:ilvl w:val="1"/>
          <w:numId w:val="111"/>
        </w:numPr>
        <w:rPr>
          <w:rFonts w:ascii="Arial" w:cs="Arial" w:eastAsia="Arial" w:hAnsi="Arial"/>
          <w:sz w:val="11"/>
          <w:szCs w:val="11"/>
          <w:color w:val="auto"/>
        </w:rPr>
      </w:pPr>
      <w:r>
        <w:rPr>
          <w:rFonts w:ascii="Arial" w:cs="Arial" w:eastAsia="Arial" w:hAnsi="Arial"/>
          <w:sz w:val="13"/>
          <w:szCs w:val="13"/>
          <w:color w:val="auto"/>
        </w:rPr>
        <w:t>The amount of available cash generated and deriving from any Non-GasLog Acquisition will not be included in the calculation of available cash for purposes of determining the amount distributed to holders of the incentive distribution rights, but will instead be distributed pro rata to the other unitholders. As of February 21, 2019, there are no Non-GasLog Acquisitions.</w:t>
      </w:r>
    </w:p>
    <w:p>
      <w:pPr>
        <w:spacing w:after="0" w:line="179" w:lineRule="exact"/>
        <w:rPr>
          <w:rFonts w:ascii="Arial" w:cs="Arial" w:eastAsia="Arial" w:hAnsi="Arial"/>
          <w:sz w:val="11"/>
          <w:szCs w:val="11"/>
          <w:color w:val="auto"/>
        </w:rPr>
      </w:pPr>
    </w:p>
    <w:p>
      <w:pPr>
        <w:ind w:left="220" w:hanging="212"/>
        <w:spacing w:after="0"/>
        <w:tabs>
          <w:tab w:leader="none" w:pos="2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20.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New York Stock Exchange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IPO in the United States, our common units have been listed on the NYSE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C Preference Units have been trading on the NYSE under the symbol "GLOP PR C" since November 15, 2018.</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information required to be disclosed under Item 10.B is incorporated by reference to Exhibit 3.2 of our Current Report on Form 6-K furnished with the SEC on November 27,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for the two years immediately preceding the date of this annual report. Such summaries are not intended to be complete and reference is made to the contracts themselves, which are exhibits to this annual report.</w:t>
      </w:r>
    </w:p>
    <w:p>
      <w:pPr>
        <w:spacing w:after="0" w:line="207" w:lineRule="exact"/>
        <w:rPr>
          <w:sz w:val="20"/>
          <w:szCs w:val="20"/>
          <w:color w:val="auto"/>
        </w:rPr>
      </w:pPr>
    </w:p>
    <w:p>
      <w:pPr>
        <w:ind w:left="1080" w:right="6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Form of Contribution Agreement; please see "Item 7. Major Unitholders and Related Party Transactions—B. Related Party Transactions— Registration Rights Agreement".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Omnibus Agreement; please see "Item 7. Major Unitholders and Related Party Transactions—B. Related Party Transactions—Omnibus Agreement".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Administrative Services Agreement; please see "Item 7. Major Unitholders and Related Party Transactions—B. Related Party Transactions —Administrative Services Agreement".</w:t>
      </w:r>
    </w:p>
    <w:p>
      <w:pPr>
        <w:spacing w:after="0" w:line="199"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Commercial Management Agreement; please see "Item 7. Major Unitholders and Related Party Transactions—B. Related Party Transactions—Commercial Management Agreements".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Ship Management Agreement; please see "Item 7. Major Unitholders and Related Party Transactions—B. Related Party Transactions—Ship Management Agreements".</w:t>
      </w:r>
    </w:p>
    <w:p>
      <w:pPr>
        <w:spacing w:after="0" w:line="212" w:lineRule="exact"/>
        <w:rPr>
          <w:rFonts w:ascii="Arial" w:cs="Arial" w:eastAsia="Arial" w:hAnsi="Arial"/>
          <w:sz w:val="18"/>
          <w:szCs w:val="18"/>
          <w:color w:val="auto"/>
        </w:rPr>
      </w:pPr>
    </w:p>
    <w:p>
      <w:pPr>
        <w:ind w:left="1080" w:right="540" w:hanging="532"/>
        <w:spacing w:after="0" w:line="331"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Master Time Charter Party among GAS-one Ltd., GAS-two Ltd., GAS-three Ltd., GAS-four Ltd., GAS-five Ltd., GAS-six Ltd. and Methane Services Limited, dated May 9, 2011; please see "Item 4. Information on the Partnership—B. Business Overview—Ship Time Charters".</w:t>
      </w:r>
    </w:p>
    <w:p>
      <w:pPr>
        <w:spacing w:after="0" w:line="154"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$30.0 Million Revolving Credit Agreement by and between GasLog Partners LP and GasLog Ltd.; please see "Item 5. Operating and Financial Review and Prospects—B. Liquidity and Capital Resources—Credit Facilities".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Form of Indemnification Agreement for the Partnership's directors and certain officers; please see "Item 7. Major Unitholders and Related Party Transactions—B. Related Party Transactions—Indemnification Agreements".</w:t>
      </w:r>
    </w:p>
    <w:p>
      <w:pPr>
        <w:spacing w:after="0" w:line="212" w:lineRule="exact"/>
        <w:rPr>
          <w:rFonts w:ascii="Arial" w:cs="Arial" w:eastAsia="Arial" w:hAnsi="Arial"/>
          <w:sz w:val="18"/>
          <w:szCs w:val="18"/>
          <w:color w:val="auto"/>
        </w:rPr>
      </w:pPr>
    </w:p>
    <w:p>
      <w:pPr>
        <w:ind w:left="1080" w:right="22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 please see "Item 5. Operating and Financial Review and Prospects—B. Liquidity and Capital Resources— Credit Facilities".</w:t>
      </w:r>
    </w:p>
    <w:p>
      <w:pPr>
        <w:spacing w:after="0" w:line="21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Corporate Guarantee between GasLog Partners LP and Citibank, N.A., London Branch, dated November 12, 2014; please see "Item 5. Operating and Financial Review and Prospects—B. Liquidity and Capital Resources—Credit Facilities".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GasLog Partners LP 2015 Long-Term Incentive Plan; please see "Item 6. Directors, Senior Management and Employees—B. Compensation of Directors and Senior Management—Equity Compensation Plan".</w:t>
      </w:r>
    </w:p>
    <w:p>
      <w:pPr>
        <w:spacing w:after="0" w:line="212" w:lineRule="exact"/>
        <w:rPr>
          <w:rFonts w:ascii="Arial" w:cs="Arial" w:eastAsia="Arial" w:hAnsi="Arial"/>
          <w:sz w:val="18"/>
          <w:szCs w:val="18"/>
          <w:color w:val="auto"/>
        </w:rPr>
      </w:pPr>
    </w:p>
    <w:p>
      <w:pPr>
        <w:ind w:left="1080" w:right="4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Addendum dated April 21, 2015 to the Omnibus Agreement dated May 12, 2014, among GasLog Ltd., GasLog Partners GP LLC and GasLog Partners Holdings LLC; please see "Item 7. Major Unitholders and Related Party Transactions—B. Related Party Transactions—Omnibus Agreement".</w:t>
      </w:r>
    </w:p>
    <w:p>
      <w:pPr>
        <w:spacing w:after="0" w:line="207"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Facility Agreement for $325,500,000 Loan Facility dated May 14, 2014 among GAS-nineteen Ltd., GAS-twenty Ltd., GAS-twenty one Ltd., as borrowers, Citibank, N.A., London Branch as arranger, bookrunner and security agent, Citibank International PLC as Agent and the financial institutions listed in Schedule 1 thereto as Lenders: please see "Item 5. Operating and Financial Review and Prospects—B. Liquidity and Capital Resources—Credit Facilities".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Corporate Guarantee between GasLog Ltd. and Citibank, N.A., London Branch, dated May 14, 2014; please see "Item 5. Operating and Financial Review and Prospects—B. Liquidity and Capital Resources—Credit Facilities".</w:t>
      </w:r>
    </w:p>
    <w:p>
      <w:pPr>
        <w:spacing w:after="0" w:line="21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and National Australia Bank Limited as original lenders and DNB Bank ASA, London Branch as agent and security agent: please see "Item 5. Operating and Financial Review and Prospects—B. Liquidity and Capital Resources—Credit Facilities".</w:t>
      </w:r>
    </w:p>
    <w:p>
      <w:pPr>
        <w:spacing w:after="0" w:line="211" w:lineRule="exact"/>
        <w:rPr>
          <w:rFonts w:ascii="Arial" w:cs="Arial" w:eastAsia="Arial" w:hAnsi="Arial"/>
          <w:sz w:val="18"/>
          <w:szCs w:val="18"/>
          <w:color w:val="auto"/>
        </w:rPr>
      </w:pPr>
    </w:p>
    <w:p>
      <w:pPr>
        <w:ind w:left="1080" w:right="200" w:hanging="532"/>
        <w:spacing w:after="0" w:line="294"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and ING Bank N.V., London Branch, as original lenders and DNB Bank ASA, London Branch as agent and security agent: please see "Item 5. Operating and Financial Review and Prospects—B. Liquidity and Capital Resources—Credit Facilities".</w:t>
      </w:r>
    </w:p>
    <w:p>
      <w:pPr>
        <w:spacing w:after="0" w:line="18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 B. Liquidity and Capital Resources—Credit Facilities".</w:t>
      </w:r>
    </w:p>
    <w:p>
      <w:pPr>
        <w:spacing w:after="0" w:line="220"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Dansmarks Skibskredit A/S and The Korea Bank as mandated lead arrangers and DVB Bank America N.V. as arranger with Nordea Bank AB, London Branch as agent and security agent: please see "Item 5. Operating and Financial Review and Prospects—B. Liquidity and Capital Resources—Credit Facilities".</w:t>
      </w:r>
    </w:p>
    <w:p>
      <w:pPr>
        <w:spacing w:after="0" w:line="211" w:lineRule="exact"/>
        <w:rPr>
          <w:rFonts w:ascii="Arial" w:cs="Arial" w:eastAsia="Arial" w:hAnsi="Arial"/>
          <w:sz w:val="18"/>
          <w:szCs w:val="18"/>
          <w:color w:val="auto"/>
        </w:rPr>
      </w:pPr>
    </w:p>
    <w:p>
      <w:pPr>
        <w:ind w:left="1080" w:right="60" w:hanging="532"/>
        <w:spacing w:after="0" w:line="288"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Facilities Agreement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co-coordinator, bookrunner and export credit agent co-ordinator guaranteed by GasLog Ltd. and GasLog Carriers Ltd.: please see "Item 5. Operating and Financial Review and Prospects—B. Liquidity and Capital Resources—Credit Facilities".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Exchange Agreement among GasLog Partners LP, GasLog Partners GP LLC and GasLog Ltd. dated November 27, 2018: please see "Item 7. Major Unitholders and Related Party Transactions—B. Related Party Transactions—Exchange Agreement."</w:t>
      </w:r>
    </w:p>
    <w:p>
      <w:pPr>
        <w:spacing w:after="0" w:line="212" w:lineRule="exact"/>
        <w:rPr>
          <w:rFonts w:ascii="Arial" w:cs="Arial" w:eastAsia="Arial" w:hAnsi="Arial"/>
          <w:sz w:val="18"/>
          <w:szCs w:val="18"/>
          <w:color w:val="auto"/>
        </w:rPr>
      </w:pPr>
    </w:p>
    <w:p>
      <w:pPr>
        <w:ind w:left="1080" w:right="220" w:hanging="532"/>
        <w:spacing w:after="0" w:line="294" w:lineRule="auto"/>
        <w:tabs>
          <w:tab w:leader="none" w:pos="10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 B. Liquidity and Capital Resources—Credit Facilities".</w:t>
      </w:r>
    </w:p>
    <w:p>
      <w:pPr>
        <w:spacing w:after="0" w:line="163" w:lineRule="exact"/>
        <w:rPr>
          <w:rFonts w:ascii="Arial" w:cs="Arial" w:eastAsia="Arial" w:hAnsi="Arial"/>
          <w:sz w:val="16"/>
          <w:szCs w:val="16"/>
          <w:color w:val="auto"/>
        </w:rPr>
      </w:pPr>
    </w:p>
    <w:p>
      <w:pPr>
        <w:ind w:left="220" w:hanging="212"/>
        <w:spacing w:after="0"/>
        <w:tabs>
          <w:tab w:leader="none" w:pos="2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Security Holders</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20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pacing w:after="0" w:line="173"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advisor regarding the U.S. federal, state, local and other tax consequences of the ownership or disposition of common units or Preference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Treated as a Corporation</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or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 dividend is paid or the immediately preceding tax year (which we do not believe we are, 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units or Preference Units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Medicare Tax on Net Investment Income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right="40" w:firstLine="341"/>
        <w:spacing w:after="0" w:line="331" w:lineRule="auto"/>
        <w:rPr>
          <w:sz w:val="20"/>
          <w:szCs w:val="20"/>
          <w:color w:val="auto"/>
        </w:rPr>
      </w:pPr>
      <w:r>
        <w:rPr>
          <w:rFonts w:ascii="Arial" w:cs="Arial" w:eastAsia="Arial" w:hAnsi="Arial"/>
          <w:sz w:val="16"/>
          <w:szCs w:val="16"/>
          <w:color w:val="auto"/>
        </w:rPr>
        <w:t>Adverse U.S. federal income tax rules apply to a U.S. Holder that owns an equity interest in a non-U.S. corporation that is classified as a PFIC for U.S. federal income tax purposes. In general, we will be treated as a PFIC with respect to a U.S. Holder if, for any tax year in which the holder held our units, either:</w:t>
      </w:r>
    </w:p>
    <w:p>
      <w:pPr>
        <w:spacing w:after="0" w:line="154" w:lineRule="exact"/>
        <w:rPr>
          <w:sz w:val="20"/>
          <w:szCs w:val="20"/>
          <w:color w:val="auto"/>
        </w:rPr>
      </w:pPr>
    </w:p>
    <w:p>
      <w:pPr>
        <w:ind w:left="1080" w:right="4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 year produce, or are held for the production of, passive income.</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5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Fifth Circuit held in </w:t>
      </w:r>
      <w:r>
        <w:rPr>
          <w:rFonts w:ascii="Arial" w:cs="Arial" w:eastAsia="Arial" w:hAnsi="Arial"/>
          <w:sz w:val="16"/>
          <w:szCs w:val="16"/>
          <w:i w:val="1"/>
          <w:iCs w:val="1"/>
          <w:color w:val="auto"/>
        </w:rPr>
        <w:t>Tidewater Inc. v.</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w:t>
      </w:r>
      <w:r>
        <w:rPr>
          <w:rFonts w:ascii="Arial" w:cs="Arial" w:eastAsia="Arial" w:hAnsi="Arial"/>
          <w:sz w:val="16"/>
          <w:szCs w:val="16"/>
          <w:color w:val="auto"/>
        </w:rPr>
        <w:t>, 565 F.3d 299 (5th Cir. 2009) that income derived from certain marine time charter agreements should be treated as rental income rather than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case and, at the same time, announced the position of the IRS that the marine time charter agreements at issue in that case should be treated as service contracts.</w:t>
      </w:r>
    </w:p>
    <w:p>
      <w:pPr>
        <w:spacing w:after="0" w:line="17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94"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"Mark-to-Market" Election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Not Making a Timely QEF or Mark-to-Market Election</w:t>
      </w:r>
    </w:p>
    <w:p>
      <w:pPr>
        <w:spacing w:after="0" w:line="225" w:lineRule="exact"/>
        <w:rPr>
          <w:sz w:val="20"/>
          <w:szCs w:val="20"/>
          <w:color w:val="auto"/>
        </w:rPr>
      </w:pPr>
    </w:p>
    <w:p>
      <w:pPr>
        <w:ind w:right="100" w:firstLine="351"/>
        <w:spacing w:after="0" w:line="317" w:lineRule="auto"/>
        <w:rPr>
          <w:sz w:val="20"/>
          <w:szCs w:val="20"/>
          <w:color w:val="auto"/>
        </w:rPr>
      </w:pPr>
      <w:r>
        <w:rPr>
          <w:rFonts w:ascii="Arial" w:cs="Arial" w:eastAsia="Arial" w:hAnsi="Arial"/>
          <w:sz w:val="15"/>
          <w:szCs w:val="15"/>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 Electing Holder's holding period for the common units or Preference Units before the tax year) and (2) any gain realized on the sale, exchange or other disposition of the units. Under these special rules:</w:t>
      </w:r>
    </w:p>
    <w:p>
      <w:pPr>
        <w:spacing w:after="0" w:line="170" w:lineRule="exact"/>
        <w:rPr>
          <w:sz w:val="20"/>
          <w:szCs w:val="20"/>
          <w:color w:val="auto"/>
        </w:rPr>
      </w:pPr>
    </w:p>
    <w:p>
      <w:pPr>
        <w:ind w:left="1080" w:right="66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 or Preference Units;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 allocated to the current tax year and any tax year prior to the tax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Disposition of Units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or Preference Units provided the Non-U.S.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(and required by such income tax treaty), such gain also is attributable to a U.S. permanent establishment).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540" w:firstLine="351"/>
        <w:spacing w:after="0" w:line="331"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54"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is notified by the IRS that it has failed to report all interest or corporate distributions required to be reported on its U.S. federal income tax returns;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4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Because we and our subsidiaries do not and do not expect to conduct business or operations in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0" w:firstLine="348"/>
        <w:spacing w:after="0" w:line="331" w:lineRule="auto"/>
        <w:rPr>
          <w:sz w:val="20"/>
          <w:szCs w:val="20"/>
          <w:color w:val="auto"/>
        </w:rPr>
      </w:pPr>
      <w:r>
        <w:rPr>
          <w:rFonts w:ascii="Arial" w:cs="Arial" w:eastAsia="Arial" w:hAnsi="Arial"/>
          <w:sz w:val="16"/>
          <w:szCs w:val="16"/>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4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15 to our annual consolidated financial statements included elsewhere in this annual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November 27, 2018, we and GasLog entered into an agreement to modify the partnership agreement with respect to the general partner incentive distribution rights. The modification reduced the general partner's incentive distribution rights on quarterly distributions above $0.5625 per unit from 48% to 23%. GasLog further agreed to waive the incentive distribution payments resulting from any asset or business acquired by us from a third party. In connection with the modification to the incentive distribution rights we entered into a Fifth Amended and Restated Agreement of Limited Partnership which replaced the Fourth Amended and Restated Limited Partnership Agreement in its entirety. Please see our Fifth Amended and Restated Limited Partnership Agreement, filed as an exhibit hereto, for additional information about our incentive distribution rights.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 Please see our Fourth Amended and Restated Limited Partnership Agreement, filed as an exhibit hereto, for additional information about our units.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October 2014, our board of directors approved an amendment to the Partnership's First Amended and Restated Agreement of Limited Partnership that</w:t>
      </w:r>
    </w:p>
    <w:p>
      <w:pPr>
        <w:spacing w:after="0" w:line="38" w:lineRule="exact"/>
        <w:rPr>
          <w:sz w:val="20"/>
          <w:szCs w:val="20"/>
          <w:color w:val="auto"/>
        </w:rPr>
      </w:pPr>
    </w:p>
    <w:p>
      <w:pPr>
        <w:ind w:right="20" w:firstLine="8"/>
        <w:spacing w:after="0" w:line="320" w:lineRule="auto"/>
        <w:tabs>
          <w:tab w:leader="none" w:pos="24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increased the number of directors from five to seven, (2) provided that, following the 2015 annual meeting, the board shall consist of four appointed directors (rather than three as provided under the prior partnership agreement) and three elected directors (rather than two as provided under the prior partnership agreement) and (3) established that Class III of the elected directors shall comprise one elected director, or two elected directors following the surrender by the general partner of its right to appoint one appointed director (rather than the Class III seat being empty until such surrender, as provided under the prior partnership agreement).</w:t>
      </w:r>
    </w:p>
    <w:p>
      <w:pPr>
        <w:spacing w:after="0" w:line="15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12, 2014, we closed our IPO, pursuant to which we issued and sold 9,660,000 common units representing limited partner interests at a price of $21.00 per unit, resulting in gross proceeds of $202.86 million. GasLog used the net IPO proceeds of $186.03 million, after deducting underwriting discounts and other offering expenses paid by the Partnership, to (a) prepay $82.63 million of debt plus accrued interest of $0.42 million, (b) make a payment of $2.28 million (including $0.27 million accrued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to settle the mark-to-market loss on termination of one interest rate swap and reduction of a second interest rate swap in connection with the aforementioned debt prepayment, (c) make a $65.70 million payment to GasLog in exchange for its contribution of net assets in connection with the IPO. As of the date of this annual report, we have substantially used all of the balance of $35.00 million for general partnership purposes including working capital and vessel acquisitions.</w:t>
      </w:r>
    </w:p>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Our management, with the participation of our CEO and CFO, has evaluated the effectiveness of the design and operation of our disclosure controls and procedures, as defined in Rules 13a-15(e) and 15d-15(e) under the Exchange Act as of December 31, 2018. Based on our evaluation, the CEO and the CFO have concluded that, as of December 31, 2018, our disclosure controls and procedures were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66"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9"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Deloitte LLP, an independent registered public accounting firm, as stated in their report which appears below.</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audited the internal control over financial reporting of GasLog Partners LP and subsidiaries (the "Partnership") as of December 31, 2018, based on criteria established in Internal Control—Integrated Framework (2013) issued by the Committee of Sponsoring Organizations of the Treadway Commission (COSO). In our opinion, the Partnership maintained, in all material respects, effective internal control over financial reporting as of December 31, 2018, based on criteria established in Internal Control—Integrated Framework (2013) issued by COSO.</w:t>
      </w:r>
    </w:p>
    <w:p>
      <w:pPr>
        <w:spacing w:after="0" w:line="16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Partnership and our report dated February 26, 2019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Robert B. Allardice III, whose biographical details are included in "Item 6. Directors, Senior Management and Employees—A. Directors and Senior Management", qualifies as an "audit committee financial expert". Our board of directors has affirmatively determined that Mr. Allardice meets the definition of "independent director" for purposes of serving on an audit committee under applicable SEC and NYSE rules.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Partnership, a copy of which is posted on our website and may be viewed at </w:t>
      </w:r>
      <w:r>
        <w:rPr>
          <w:rFonts w:ascii="Arial" w:cs="Arial" w:eastAsia="Arial" w:hAnsi="Arial"/>
          <w:sz w:val="16"/>
          <w:szCs w:val="16"/>
          <w:i w:val="1"/>
          <w:iCs w:val="1"/>
          <w:color w:val="auto"/>
        </w:rPr>
        <w:t>http://www.gaslogmlp.com.</w:t>
      </w:r>
      <w:r>
        <w:rPr>
          <w:rFonts w:ascii="Arial" w:cs="Arial" w:eastAsia="Arial" w:hAnsi="Arial"/>
          <w:sz w:val="16"/>
          <w:szCs w:val="16"/>
          <w:color w:val="auto"/>
        </w:rPr>
        <w:t xml:space="preserve"> We will also provide a paper copy of this document upon the written request at no cost. Unitholders may direct their requests to the attention of our General Counsel, GasLog Partners LP, Gildo Pastor Center, 7 Rue du Gabian, MC 98000, Monaco. No waivers of the Code of Business Conduct and Ethics have been granted to any person during the fiscal year ended December 31, 2018.</w:t>
      </w:r>
    </w:p>
    <w:p>
      <w:pPr>
        <w:spacing w:after="0" w:line="166"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w:t>
      </w:r>
    </w:p>
    <w:p>
      <w:pPr>
        <w:spacing w:after="0" w:line="4" w:lineRule="exact"/>
        <w:rPr>
          <w:sz w:val="20"/>
          <w:szCs w:val="20"/>
          <w:color w:val="auto"/>
        </w:rPr>
      </w:pPr>
    </w:p>
    <w:p>
      <w:pPr>
        <w:ind w:right="60" w:firstLine="8"/>
        <w:spacing w:after="0" w:line="320" w:lineRule="auto"/>
        <w:tabs>
          <w:tab w:leader="none" w:pos="249"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2016, December 31, 2017 and December 31, 2018.</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table below sets forth the total amount billed and accrued for Deloitte LLP for services performed in 2017 and 2018, respectively, and breaks down these amounts by the category of service.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fees paid to our principal accountant were approved in accordance with the pre-approval policies and procedures described below.</w:t>
      </w:r>
    </w:p>
    <w:p>
      <w:pPr>
        <w:spacing w:after="0" w:line="275" w:lineRule="exact"/>
        <w:rPr>
          <w:sz w:val="20"/>
          <w:szCs w:val="20"/>
          <w:color w:val="auto"/>
        </w:rPr>
      </w:pPr>
    </w:p>
    <w:p>
      <w:pPr>
        <w:ind w:left="8580"/>
        <w:spacing w:after="0"/>
        <w:tabs>
          <w:tab w:leader="none" w:pos="924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7620</wp:posOffset>
            </wp:positionV>
            <wp:extent cx="7715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 w:lineRule="exact"/>
        <w:rPr>
          <w:sz w:val="20"/>
          <w:szCs w:val="20"/>
          <w:color w:val="auto"/>
        </w:rPr>
      </w:pPr>
    </w:p>
    <w:p>
      <w:pPr>
        <w:jc w:val="center"/>
        <w:ind w:left="6540"/>
        <w:spacing w:after="0"/>
        <w:rPr>
          <w:sz w:val="20"/>
          <w:szCs w:val="20"/>
          <w:color w:val="auto"/>
        </w:rPr>
      </w:pPr>
      <w:r>
        <w:rPr>
          <w:rFonts w:ascii="Arial" w:cs="Arial" w:eastAsia="Arial" w:hAnsi="Arial"/>
          <w:sz w:val="13"/>
          <w:szCs w:val="13"/>
          <w:b w:val="1"/>
          <w:bCs w:val="1"/>
          <w:color w:val="auto"/>
        </w:rPr>
        <w:t>(Expressed in</w:t>
      </w:r>
    </w:p>
    <w:p>
      <w:pPr>
        <w:jc w:val="center"/>
        <w:ind w:left="6540"/>
        <w:spacing w:after="0"/>
        <w:rPr>
          <w:sz w:val="20"/>
          <w:szCs w:val="20"/>
          <w:color w:val="auto"/>
        </w:rPr>
      </w:pPr>
      <w:r>
        <w:rPr>
          <w:rFonts w:ascii="Arial" w:cs="Arial" w:eastAsia="Arial" w:hAnsi="Arial"/>
          <w:sz w:val="13"/>
          <w:szCs w:val="13"/>
          <w:b w:val="1"/>
          <w:bCs w:val="1"/>
          <w:color w:val="auto"/>
        </w:rPr>
        <w:t>millions of</w:t>
      </w:r>
    </w:p>
    <w:p>
      <w:pPr>
        <w:jc w:val="center"/>
        <w:ind w:left="6540"/>
        <w:spacing w:after="0" w:line="236" w:lineRule="auto"/>
        <w:rPr>
          <w:sz w:val="20"/>
          <w:szCs w:val="20"/>
          <w:color w:val="auto"/>
        </w:rPr>
      </w:pPr>
      <w:r>
        <w:rPr>
          <w:rFonts w:ascii="Arial" w:cs="Arial" w:eastAsia="Arial" w:hAnsi="Arial"/>
          <w:sz w:val="13"/>
          <w:szCs w:val="13"/>
          <w:b w:val="1"/>
          <w:bCs w:val="1"/>
          <w:color w:val="auto"/>
        </w:rPr>
        <w:t>U.S. Dollars)</w:t>
      </w:r>
    </w:p>
    <w:p>
      <w:pPr>
        <w:spacing w:after="0" w:line="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0.68</w:t>
            </w:r>
          </w:p>
        </w:tc>
      </w:tr>
      <w:tr>
        <w:trPr>
          <w:trHeight w:val="210"/>
        </w:trPr>
        <w:tc>
          <w:tcPr>
            <w:tcW w:w="67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0.68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Included in the audit fees for 2017 are fees of $0.22 million related to the Partnership's public offerings completed in 2017. Included in the audit fees for 2018 are fees of $0.20 million related to the Partnership's public offerings completed in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On January 30, 2019, the Partnership announced that its board of directors approved a unit repurchase program of up to $25 million of the Partnership's common units covering the period from January 31, 2019 to December 31, 2021. Under the terms of the repurchase program, the Partnership may repurchase common units from time to time, at the Partnership's discretion, on the open market or in privately negotiated transactions. Any repurchases are subject to market conditions, applicable legal requirements and other considerations. The Partnership is not obligated under the repurchase programe to repurchase any specific dollar amount or number of common units, and the repurchase program may be modified, suspended or discontinued at any time or never utilized. Any common units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repurchased by the Partnership under the programe will be cancelled. As of February 21, 2019, no common units had been repurchased by the Partnership.</w:t>
      </w: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In April 2018, we issued 1,858,975 common units to GasLog in a private placement to partially finance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at a price of $24.21 per common unit.</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PARTNERSHIP'S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left="180" w:right="100" w:hanging="179"/>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New York Stock Exchange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Robert B. Allardice III, Daniel R. Bradshaw, Pamela M. Gibson and Michael G. Gialouris satisfies the independence standards established by the NYSE as applicable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jc w:val="both"/>
        <w:ind w:right="60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F-51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679"/>
        <w:spacing w:after="0"/>
        <w:tabs>
          <w:tab w:leader="none" w:pos="6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58635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93"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4.10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Certificate of Limited Partnership of GasLog Partners LP</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Second Amended and Restated Agreement of Limited Partnership of GasLog Partners LP</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Third Amended and Restated Agreement of Limited Partnership of GasLog Partners LP</w:t>
        </w:r>
      </w:hyperlink>
      <w:r>
        <w:rPr>
          <w:rFonts w:ascii="Arial" w:cs="Arial" w:eastAsia="Arial" w:hAnsi="Arial"/>
          <w:sz w:val="29"/>
          <w:szCs w:val="29"/>
          <w:u w:val="single" w:color="auto"/>
          <w:color w:val="0000EE"/>
          <w:vertAlign w:val="superscript"/>
        </w:rPr>
        <w:t>(3)</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Fourth Amended and Restated Agreement of Limited Partnership of GasLog Partners LP</w:t>
        </w:r>
      </w:hyperlink>
      <w:r>
        <w:rPr>
          <w:rFonts w:ascii="Arial" w:cs="Arial" w:eastAsia="Arial" w:hAnsi="Arial"/>
          <w:sz w:val="29"/>
          <w:szCs w:val="29"/>
          <w:u w:val="single" w:color="auto"/>
          <w:color w:val="0000EE"/>
          <w:vertAlign w:val="superscript"/>
        </w:rPr>
        <w:t>(11)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Fifth Amended and Restated Agreement of Limited Partnership of GasLog Partners LP</w:t>
        </w:r>
      </w:hyperlink>
      <w:r>
        <w:rPr>
          <w:rFonts w:ascii="Arial" w:cs="Arial" w:eastAsia="Arial" w:hAnsi="Arial"/>
          <w:sz w:val="29"/>
          <w:szCs w:val="29"/>
          <w:u w:val="single" w:color="auto"/>
          <w:color w:val="0000EE"/>
          <w:vertAlign w:val="superscript"/>
        </w:rPr>
        <w:t>(12)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Certificate of Formation of GasLog Partners GP LLC</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Limited Liability Company Agreement of GasLog Partners GP LLC</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Form of Contribution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Form of Omnibus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Form of Administrative Services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Form of Commercial Management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Form of Ship Management Agreement</w:t>
        </w:r>
      </w:hyperlink>
      <w:r>
        <w:rPr>
          <w:rFonts w:ascii="Arial" w:cs="Arial" w:eastAsia="Arial" w:hAnsi="Arial"/>
          <w:sz w:val="29"/>
          <w:szCs w:val="29"/>
          <w:u w:val="single" w:color="auto"/>
          <w:color w:val="0000EE"/>
          <w:vertAlign w:val="superscript"/>
        </w:rPr>
        <w:t>(6)</w:t>
      </w:r>
    </w:p>
    <w:p>
      <w:pPr>
        <w:spacing w:after="0" w:line="165" w:lineRule="exact"/>
        <w:rPr>
          <w:sz w:val="20"/>
          <w:szCs w:val="20"/>
          <w:color w:val="auto"/>
        </w:rPr>
      </w:pPr>
    </w:p>
    <w:p>
      <w:pPr>
        <w:ind w:right="159"/>
        <w:spacing w:after="0" w:line="281"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Master Time Charter Party among GAS-one Ltd., GAS-two Ltd., GAS-three Ltd., GAS-four Ltd., GAS-five Ltd.,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GAS-six Ltd. and Methane Services Limited, dated May 9, 2011</w:t>
        </w:r>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w:t>
        </w:r>
      </w:hyperlink>
    </w:p>
    <w:p>
      <w:pPr>
        <w:spacing w:after="0" w:line="84" w:lineRule="exact"/>
        <w:rPr>
          <w:sz w:val="20"/>
          <w:szCs w:val="20"/>
          <w:color w:val="auto"/>
        </w:rPr>
      </w:pPr>
    </w:p>
    <w:p>
      <w:pPr>
        <w:spacing w:after="0"/>
        <w:rPr>
          <w:rFonts w:ascii="Arial" w:cs="Arial" w:eastAsia="Arial" w:hAnsi="Arial"/>
          <w:sz w:val="17"/>
          <w:szCs w:val="17"/>
          <w:u w:val="single" w:color="auto"/>
          <w:color w:val="0000EE"/>
        </w:rPr>
      </w:pPr>
      <w:hyperlink r:id="rId192">
        <w:r>
          <w:rPr>
            <w:rFonts w:ascii="Arial" w:cs="Arial" w:eastAsia="Arial" w:hAnsi="Arial"/>
            <w:sz w:val="17"/>
            <w:szCs w:val="17"/>
            <w:u w:val="single" w:color="auto"/>
            <w:color w:val="0000EE"/>
          </w:rPr>
          <w:t>Form of $30.0 Million Revolving Credit Agreement by and between GasLog Partners LP and GasLog Ltd.</w:t>
        </w:r>
      </w:hyperlink>
      <w:r>
        <w:rPr>
          <w:rFonts w:ascii="Arial" w:cs="Arial" w:eastAsia="Arial" w:hAnsi="Arial"/>
          <w:sz w:val="27"/>
          <w:szCs w:val="27"/>
          <w:u w:val="single" w:color="auto"/>
          <w:color w:val="0000EE"/>
          <w:vertAlign w:val="superscript"/>
        </w:rPr>
        <w:t>(1)</w:t>
      </w:r>
    </w:p>
    <w:p>
      <w:pPr>
        <w:spacing w:after="0" w:line="189" w:lineRule="exact"/>
        <w:rPr>
          <w:sz w:val="20"/>
          <w:szCs w:val="20"/>
          <w:color w:val="auto"/>
        </w:rPr>
      </w:pPr>
    </w:p>
    <w:p>
      <w:pPr>
        <w:spacing w:after="0"/>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Form of Indemnification Agreement for the Partnership's directors and certain officers</w:t>
        </w:r>
      </w:hyperlink>
      <w:r>
        <w:rPr>
          <w:rFonts w:ascii="Arial" w:cs="Arial" w:eastAsia="Arial" w:hAnsi="Arial"/>
          <w:sz w:val="29"/>
          <w:szCs w:val="29"/>
          <w:u w:val="single" w:color="auto"/>
          <w:color w:val="0000EE"/>
          <w:vertAlign w:val="superscript"/>
        </w:rPr>
        <w:t>(6)</w:t>
      </w:r>
    </w:p>
    <w:p>
      <w:pPr>
        <w:spacing w:after="0" w:line="165" w:lineRule="exact"/>
        <w:rPr>
          <w:sz w:val="20"/>
          <w:szCs w:val="20"/>
          <w:color w:val="auto"/>
        </w:rPr>
      </w:pPr>
    </w:p>
    <w:p>
      <w:pPr>
        <w:ind w:right="19"/>
        <w:spacing w:after="0" w:line="275" w:lineRule="auto"/>
        <w:rPr>
          <w:rFonts w:ascii="Arial" w:cs="Arial" w:eastAsia="Arial" w:hAnsi="Arial"/>
          <w:sz w:val="17"/>
          <w:szCs w:val="17"/>
          <w:u w:val="single" w:color="auto"/>
          <w:color w:val="0000EE"/>
        </w:rPr>
      </w:pPr>
      <w:hyperlink r:id="rId194">
        <w:r>
          <w:rPr>
            <w:rFonts w:ascii="Arial" w:cs="Arial" w:eastAsia="Arial" w:hAnsi="Arial"/>
            <w:sz w:val="17"/>
            <w:szCs w:val="17"/>
            <w:u w:val="single" w:color="auto"/>
            <w:color w:val="0000EE"/>
          </w:rPr>
          <w:t>Facility Agreement for up to $450,000,0000 Loan Facility dated November 12, 2014 among GAS-three Ltd., GAS-</w:t>
        </w:r>
      </w:hyperlink>
      <w:hyperlink r:id="rId194">
        <w:r>
          <w:rPr>
            <w:rFonts w:ascii="Arial" w:cs="Arial" w:eastAsia="Arial" w:hAnsi="Arial"/>
            <w:sz w:val="17"/>
            <w:szCs w:val="17"/>
            <w:u w:val="single" w:color="auto"/>
            <w:color w:val="0000EE"/>
          </w:rPr>
          <w:t>four Ltd., GAS-five Ltd., GAS-sixteen Ltd. and GAS-seventeen Ltd. as borrowers, Citibank, N.A., London Branch,</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Nordea Bank Finland Plc, London Branch, DVB Bank America N.V., ABN Amro Bank N.V., Skandinaviska</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Enskilda Banken AB (Publ) and BNP Paribas, as mandated lead arrangers, the financial institutions listed in</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Schedule 1 thereto as lenders, Citibank, N.A., London Branch as bookrunner and security agent, and Citibank</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International Limited as agent and security trustee</w:t>
        </w:r>
        <w:r>
          <w:rPr>
            <w:rFonts w:ascii="Arial" w:cs="Arial" w:eastAsia="Arial" w:hAnsi="Arial"/>
            <w:sz w:val="28"/>
            <w:szCs w:val="28"/>
            <w:u w:val="single" w:color="auto"/>
            <w:color w:val="0000EE"/>
            <w:vertAlign w:val="superscript"/>
          </w:rPr>
          <w:t>(10)</w:t>
        </w:r>
        <w:r>
          <w:rPr>
            <w:rFonts w:ascii="Arial" w:cs="Arial" w:eastAsia="Arial" w:hAnsi="Arial"/>
            <w:sz w:val="17"/>
            <w:szCs w:val="17"/>
            <w:u w:val="single" w:color="auto"/>
            <w:color w:val="0000EE"/>
          </w:rPr>
          <w:t>*</w:t>
        </w:r>
      </w:hyperlink>
    </w:p>
    <w:p>
      <w:pPr>
        <w:spacing w:after="0" w:line="91" w:lineRule="exact"/>
        <w:rPr>
          <w:rFonts w:ascii="Arial" w:cs="Arial" w:eastAsia="Arial" w:hAnsi="Arial"/>
          <w:sz w:val="17"/>
          <w:szCs w:val="17"/>
          <w:u w:val="single" w:color="auto"/>
          <w:color w:val="0000EE"/>
        </w:rPr>
      </w:pPr>
    </w:p>
    <w:p>
      <w:pPr>
        <w:sectPr>
          <w:pgSz w:w="11900" w:h="16838" w:orient="portrait"/>
          <w:cols w:equalWidth="0" w:num="2">
            <w:col w:w="2000" w:space="160"/>
            <w:col w:w="8139"/>
          </w:cols>
          <w:pgMar w:left="160" w:top="51" w:right="1440" w:bottom="1440" w:gutter="0" w:footer="0" w:header="0"/>
          <w:type w:val="continuous"/>
        </w:sectPr>
      </w:pPr>
    </w:p>
    <w:p>
      <w:pPr>
        <w:ind w:left="1700"/>
        <w:spacing w:after="0"/>
        <w:tabs>
          <w:tab w:leader="none" w:pos="2140" w:val="left"/>
        </w:tabs>
        <w:rPr>
          <w:rFonts w:ascii="Arial" w:cs="Arial" w:eastAsia="Arial" w:hAnsi="Arial"/>
          <w:sz w:val="15"/>
          <w:szCs w:val="15"/>
          <w:u w:val="single" w:color="auto"/>
          <w:color w:val="0000EE"/>
        </w:rPr>
      </w:pPr>
      <w:r>
        <w:rPr>
          <w:rFonts w:ascii="Arial" w:cs="Arial" w:eastAsia="Arial" w:hAnsi="Arial"/>
          <w:sz w:val="18"/>
          <w:szCs w:val="18"/>
          <w:color w:val="auto"/>
        </w:rPr>
        <w:t>4.11</w:t>
      </w:r>
      <w:r>
        <w:rPr>
          <w:sz w:val="20"/>
          <w:szCs w:val="20"/>
          <w:color w:val="auto"/>
        </w:rPr>
        <w:tab/>
      </w:r>
      <w:hyperlink r:id="rId195">
        <w:r>
          <w:rPr>
            <w:rFonts w:ascii="Arial" w:cs="Arial" w:eastAsia="Arial" w:hAnsi="Arial"/>
            <w:sz w:val="15"/>
            <w:szCs w:val="15"/>
            <w:u w:val="single" w:color="auto"/>
            <w:color w:val="0000EE"/>
          </w:rPr>
          <w:t>Corporate Guarantee between GasLog Partners LP and Citibank, N.A., London Branch, dated November 12,</w:t>
        </w:r>
      </w:hyperlink>
    </w:p>
    <w:p>
      <w:pPr>
        <w:spacing w:after="0" w:line="15" w:lineRule="exact"/>
        <w:rPr>
          <w:rFonts w:ascii="Arial" w:cs="Arial" w:eastAsia="Arial" w:hAnsi="Arial"/>
          <w:sz w:val="17"/>
          <w:szCs w:val="17"/>
          <w:u w:val="single" w:color="auto"/>
          <w:color w:val="0000EE"/>
        </w:rPr>
      </w:pPr>
    </w:p>
    <w:p>
      <w:pPr>
        <w:ind w:left="2160"/>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2014</w:t>
        </w:r>
        <w:r>
          <w:rPr>
            <w:rFonts w:ascii="Arial" w:cs="Arial" w:eastAsia="Arial" w:hAnsi="Arial"/>
            <w:sz w:val="29"/>
            <w:szCs w:val="29"/>
            <w:u w:val="single" w:color="auto"/>
            <w:color w:val="0000EE"/>
            <w:vertAlign w:val="superscript"/>
          </w:rPr>
          <w:t>(10)</w:t>
        </w:r>
      </w:hyperlink>
    </w:p>
    <w:p>
      <w:pPr>
        <w:spacing w:after="0" w:line="160" w:lineRule="exact"/>
        <w:rPr>
          <w:rFonts w:ascii="Arial" w:cs="Arial" w:eastAsia="Arial" w:hAnsi="Arial"/>
          <w:sz w:val="17"/>
          <w:szCs w:val="17"/>
          <w:u w:val="single" w:color="auto"/>
          <w:color w:val="0000EE"/>
        </w:rPr>
      </w:pPr>
    </w:p>
    <w:p>
      <w:pPr>
        <w:ind w:left="1700"/>
        <w:spacing w:after="0"/>
        <w:tabs>
          <w:tab w:leader="none" w:pos="2140" w:val="left"/>
        </w:tabs>
        <w:rPr>
          <w:rFonts w:ascii="Arial" w:cs="Arial" w:eastAsia="Arial" w:hAnsi="Arial"/>
          <w:sz w:val="15"/>
          <w:szCs w:val="15"/>
          <w:u w:val="single" w:color="auto"/>
          <w:color w:val="0000EE"/>
        </w:rPr>
      </w:pPr>
      <w:hyperlink r:id="rId196"/>
      <w:r>
        <w:rPr>
          <w:rFonts w:ascii="Arial" w:cs="Arial" w:eastAsia="Arial" w:hAnsi="Arial"/>
          <w:sz w:val="35"/>
          <w:szCs w:val="35"/>
          <w:color w:val="000000"/>
          <w:vertAlign w:val="superscript"/>
        </w:rPr>
        <w:t>4.12</w:t>
      </w:r>
      <w:r>
        <w:rPr>
          <w:rFonts w:ascii="Arial" w:cs="Arial" w:eastAsia="Arial" w:hAnsi="Arial"/>
          <w:sz w:val="18"/>
          <w:szCs w:val="18"/>
          <w:color w:val="0000EE"/>
        </w:rPr>
        <w:tab/>
      </w:r>
      <w:hyperlink r:id="rId196">
        <w:r>
          <w:rPr>
            <w:rFonts w:ascii="Arial" w:cs="Arial" w:eastAsia="Arial" w:hAnsi="Arial"/>
            <w:sz w:val="15"/>
            <w:szCs w:val="15"/>
            <w:u w:val="single" w:color="auto"/>
            <w:color w:val="0000EE"/>
          </w:rPr>
          <w:t>GasLog Partners LP 2015 Long-Term Incentive Plan</w:t>
        </w:r>
      </w:hyperlink>
      <w:r>
        <w:rPr>
          <w:rFonts w:ascii="Arial" w:cs="Arial" w:eastAsia="Arial" w:hAnsi="Arial"/>
          <w:sz w:val="24"/>
          <w:szCs w:val="24"/>
          <w:u w:val="single" w:color="auto"/>
          <w:color w:val="0000EE"/>
          <w:vertAlign w:val="superscript"/>
        </w:rPr>
        <w:t>(4)</w:t>
      </w:r>
    </w:p>
    <w:p>
      <w:pPr>
        <w:sectPr>
          <w:pgSz w:w="11900" w:h="16838" w:orient="portrait"/>
          <w:cols w:equalWidth="0" w:num="1">
            <w:col w:w="10299"/>
          </w:cols>
          <w:pgMar w:left="160" w:top="51" w:right="1440" w:bottom="1440" w:gutter="0" w:footer="0" w:header="0"/>
          <w:type w:val="continuous"/>
        </w:sectPr>
      </w:pPr>
    </w:p>
    <w:p>
      <w:pPr>
        <w:spacing w:after="0" w:line="70"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34187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299"/>
          </w:cols>
          <w:pgMar w:left="160" w:top="51" w:right="1440"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60"/>
        <w:spacing w:after="0"/>
        <w:tabs>
          <w:tab w:leader="none" w:pos="59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5863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5" w:lineRule="exact"/>
        <w:rPr>
          <w:sz w:val="20"/>
          <w:szCs w:val="20"/>
          <w:color w:val="auto"/>
        </w:rPr>
      </w:pPr>
    </w:p>
    <w:p>
      <w:pPr>
        <w:ind w:left="2160" w:right="420" w:hanging="468"/>
        <w:spacing w:after="0" w:line="276" w:lineRule="auto"/>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99">
        <w:r>
          <w:rPr>
            <w:rFonts w:ascii="Arial" w:cs="Arial" w:eastAsia="Arial" w:hAnsi="Arial"/>
            <w:sz w:val="18"/>
            <w:szCs w:val="18"/>
            <w:u w:val="single" w:color="auto"/>
            <w:color w:val="0000EE"/>
          </w:rPr>
          <w:t>Addendum dated April 21, 2015 to the Omnibus Agreement dated May 12, 2014, among GasLog Ltd., GasLog</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Partners LP, GasLog Partners GP LLC and GasLog Partners Holdings LLC</w:t>
        </w:r>
        <w:r>
          <w:rPr>
            <w:rFonts w:ascii="Arial" w:cs="Arial" w:eastAsia="Arial" w:hAnsi="Arial"/>
            <w:sz w:val="29"/>
            <w:szCs w:val="29"/>
            <w:u w:val="single" w:color="auto"/>
            <w:color w:val="0000EE"/>
            <w:vertAlign w:val="superscript"/>
          </w:rPr>
          <w:t>(5)</w:t>
        </w:r>
      </w:hyperlink>
    </w:p>
    <w:p>
      <w:pPr>
        <w:spacing w:after="0" w:line="86" w:lineRule="exact"/>
        <w:rPr>
          <w:sz w:val="20"/>
          <w:szCs w:val="20"/>
          <w:color w:val="auto"/>
        </w:rPr>
      </w:pPr>
    </w:p>
    <w:p>
      <w:pPr>
        <w:ind w:left="2160" w:right="400" w:hanging="468"/>
        <w:spacing w:after="0" w:line="264" w:lineRule="auto"/>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200">
        <w:r>
          <w:rPr>
            <w:rFonts w:ascii="Arial" w:cs="Arial" w:eastAsia="Arial" w:hAnsi="Arial"/>
            <w:sz w:val="18"/>
            <w:szCs w:val="18"/>
            <w:u w:val="single" w:color="auto"/>
            <w:color w:val="0000EE"/>
          </w:rPr>
          <w:t>Facility Agreement for $325,500,000 Loan Facility dated May 14, 2014 among GAS-nineteen Ltd., GAS-</w:t>
        </w:r>
      </w:hyperlink>
      <w:hyperlink r:id="rId200">
        <w:r>
          <w:rPr>
            <w:rFonts w:ascii="Arial" w:cs="Arial" w:eastAsia="Arial" w:hAnsi="Arial"/>
            <w:sz w:val="18"/>
            <w:szCs w:val="18"/>
            <w:u w:val="single" w:color="auto"/>
            <w:color w:val="0000EE"/>
          </w:rPr>
          <w:t>twenty Ltd., GAS-twenty one Ltd., as borrowers, Citibank, N.A., London Branch as arranger, bookrunner and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security agent, Citibank International PLC as Agent and the financial institutions listed in Schedule 1 thereto as</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Lenders</w:t>
        </w:r>
        <w:r>
          <w:rPr>
            <w:rFonts w:ascii="Arial" w:cs="Arial" w:eastAsia="Arial" w:hAnsi="Arial"/>
            <w:sz w:val="29"/>
            <w:szCs w:val="29"/>
            <w:u w:val="single" w:color="auto"/>
            <w:color w:val="0000EE"/>
            <w:vertAlign w:val="superscript"/>
          </w:rPr>
          <w:t>(6)</w:t>
        </w:r>
        <w:r>
          <w:rPr>
            <w:rFonts w:ascii="Arial" w:cs="Arial" w:eastAsia="Arial" w:hAnsi="Arial"/>
            <w:sz w:val="18"/>
            <w:szCs w:val="18"/>
            <w:u w:val="single" w:color="auto"/>
            <w:color w:val="0000EE"/>
          </w:rPr>
          <w:t>*</w:t>
        </w:r>
      </w:hyperlink>
    </w:p>
    <w:p>
      <w:pPr>
        <w:sectPr>
          <w:pgSz w:w="11900" w:h="16838" w:orient="portrait"/>
          <w:cols w:equalWidth="0" w:num="1">
            <w:col w:w="10400"/>
          </w:cols>
          <w:pgMar w:left="160" w:top="51" w:right="1339" w:bottom="1440" w:gutter="0" w:footer="0" w:header="0"/>
        </w:sectPr>
      </w:pPr>
    </w:p>
    <w:p>
      <w:pPr>
        <w:spacing w:after="0" w:line="98" w:lineRule="exact"/>
        <w:rPr>
          <w:rFonts w:ascii="Arial" w:cs="Arial" w:eastAsia="Arial" w:hAnsi="Arial"/>
          <w:sz w:val="18"/>
          <w:szCs w:val="18"/>
          <w:u w:val="single" w:color="auto"/>
          <w:color w:val="0000EE"/>
        </w:rPr>
      </w:pPr>
    </w:p>
    <w:p>
      <w:pPr>
        <w:ind w:left="1700"/>
        <w:spacing w:after="0"/>
        <w:rPr>
          <w:sz w:val="20"/>
          <w:szCs w:val="20"/>
          <w:color w:val="auto"/>
        </w:rPr>
      </w:pPr>
      <w:r>
        <w:rPr>
          <w:rFonts w:ascii="Arial" w:cs="Arial" w:eastAsia="Arial" w:hAnsi="Arial"/>
          <w:sz w:val="15"/>
          <w:szCs w:val="15"/>
          <w:color w:val="auto"/>
        </w:rPr>
        <w:t>4.16</w:t>
      </w:r>
    </w:p>
    <w:p>
      <w:pPr>
        <w:spacing w:after="0" w:line="327" w:lineRule="exact"/>
        <w:rPr>
          <w:rFonts w:ascii="Arial" w:cs="Arial" w:eastAsia="Arial" w:hAnsi="Arial"/>
          <w:sz w:val="18"/>
          <w:szCs w:val="18"/>
          <w:u w:val="single" w:color="auto"/>
          <w:color w:val="0000EE"/>
        </w:rPr>
      </w:pPr>
    </w:p>
    <w:p>
      <w:pPr>
        <w:ind w:left="1700"/>
        <w:spacing w:after="0"/>
        <w:rPr>
          <w:sz w:val="20"/>
          <w:szCs w:val="20"/>
          <w:color w:val="auto"/>
        </w:rPr>
      </w:pPr>
      <w:r>
        <w:rPr>
          <w:rFonts w:ascii="Arial" w:cs="Arial" w:eastAsia="Arial" w:hAnsi="Arial"/>
          <w:sz w:val="15"/>
          <w:szCs w:val="15"/>
          <w:color w:val="auto"/>
        </w:rPr>
        <w:t>4.17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79"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201">
        <w:r>
          <w:rPr>
            <w:rFonts w:ascii="Arial" w:cs="Arial" w:eastAsia="Arial" w:hAnsi="Arial"/>
            <w:sz w:val="17"/>
            <w:szCs w:val="17"/>
            <w:u w:val="single" w:color="auto"/>
            <w:color w:val="0000EE"/>
          </w:rPr>
          <w:t>Corporate Guarantee between GasLog Ltd. and Citibank, N.A., London Branch, dated May 14, 2014</w:t>
        </w:r>
      </w:hyperlink>
      <w:r>
        <w:rPr>
          <w:rFonts w:ascii="Arial" w:cs="Arial" w:eastAsia="Arial" w:hAnsi="Arial"/>
          <w:sz w:val="28"/>
          <w:szCs w:val="28"/>
          <w:u w:val="single" w:color="auto"/>
          <w:color w:val="0000EE"/>
          <w:vertAlign w:val="superscript"/>
        </w:rPr>
        <w:t>(6)</w:t>
      </w:r>
    </w:p>
    <w:p>
      <w:pPr>
        <w:spacing w:after="0" w:line="176" w:lineRule="exact"/>
        <w:rPr>
          <w:rFonts w:ascii="Arial" w:cs="Arial" w:eastAsia="Arial" w:hAnsi="Arial"/>
          <w:sz w:val="18"/>
          <w:szCs w:val="18"/>
          <w:u w:val="single" w:color="auto"/>
          <w:color w:val="0000EE"/>
        </w:rPr>
      </w:pPr>
    </w:p>
    <w:p>
      <w:pPr>
        <w:ind w:right="120"/>
        <w:spacing w:after="0" w:line="296" w:lineRule="auto"/>
        <w:rPr>
          <w:rFonts w:ascii="Arial" w:cs="Arial" w:eastAsia="Arial" w:hAnsi="Arial"/>
          <w:sz w:val="16"/>
          <w:szCs w:val="16"/>
          <w:u w:val="single" w:color="auto"/>
          <w:color w:val="0000EE"/>
        </w:rPr>
      </w:pPr>
      <w:hyperlink r:id="rId202">
        <w:r>
          <w:rPr>
            <w:rFonts w:ascii="Arial" w:cs="Arial" w:eastAsia="Arial" w:hAnsi="Arial"/>
            <w:sz w:val="16"/>
            <w:szCs w:val="16"/>
            <w:u w:val="single" w:color="auto"/>
            <w:color w:val="0000EE"/>
          </w:rPr>
          <w:t>Senior Facility Agreement dated February 18, 2016, relating to a $396,500,000 loan facility among GAS-</w:t>
        </w:r>
      </w:hyperlink>
      <w:hyperlink r:id="rId202">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Australia, ING Bank N.V., London Branch, Credit Agricole Corporate and Investment Bank and National Australia</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Bank Limited as original lenders and DNB Bank ASA, London Branch as agent and security agent</w:t>
        </w:r>
        <w:r>
          <w:rPr>
            <w:rFonts w:ascii="Arial" w:cs="Arial" w:eastAsia="Arial" w:hAnsi="Arial"/>
            <w:sz w:val="26"/>
            <w:szCs w:val="26"/>
            <w:u w:val="single" w:color="auto"/>
            <w:color w:val="0000EE"/>
            <w:vertAlign w:val="superscript"/>
          </w:rPr>
          <w:t>(7)</w:t>
        </w:r>
        <w:r>
          <w:rPr>
            <w:rFonts w:ascii="Arial" w:cs="Arial" w:eastAsia="Arial" w:hAnsi="Arial"/>
            <w:sz w:val="16"/>
            <w:szCs w:val="16"/>
            <w:u w:val="single" w:color="auto"/>
            <w:color w:val="0000EE"/>
          </w:rPr>
          <w:t>*</w:t>
        </w:r>
      </w:hyperlink>
    </w:p>
    <w:p>
      <w:pPr>
        <w:spacing w:after="0" w:line="76" w:lineRule="exact"/>
        <w:rPr>
          <w:rFonts w:ascii="Arial" w:cs="Arial" w:eastAsia="Arial" w:hAnsi="Arial"/>
          <w:sz w:val="16"/>
          <w:szCs w:val="16"/>
          <w:u w:val="single" w:color="auto"/>
          <w:color w:val="0000EE"/>
        </w:rPr>
      </w:pPr>
    </w:p>
    <w:p>
      <w:pPr>
        <w:sectPr>
          <w:pgSz w:w="11900" w:h="16838" w:orient="portrait"/>
          <w:cols w:equalWidth="0" w:num="2">
            <w:col w:w="2000" w:space="160"/>
            <w:col w:w="8240"/>
          </w:cols>
          <w:pgMar w:left="160" w:top="51" w:right="1339" w:bottom="1440" w:gutter="0" w:footer="0" w:header="0"/>
          <w:type w:val="continuous"/>
        </w:sectPr>
      </w:pPr>
    </w:p>
    <w:p>
      <w:pPr>
        <w:ind w:left="2160" w:right="280" w:hanging="468"/>
        <w:spacing w:after="0" w:line="283"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4.18</w:t>
      </w:r>
      <w:r>
        <w:rPr>
          <w:sz w:val="20"/>
          <w:szCs w:val="20"/>
          <w:color w:val="auto"/>
        </w:rPr>
        <w:tab/>
      </w:r>
      <w:hyperlink r:id="rId203">
        <w:r>
          <w:rPr>
            <w:rFonts w:ascii="Arial" w:cs="Arial" w:eastAsia="Arial" w:hAnsi="Arial"/>
            <w:sz w:val="16"/>
            <w:szCs w:val="16"/>
            <w:u w:val="single" w:color="auto"/>
            <w:color w:val="0000EE"/>
          </w:rPr>
          <w:t>Junior Facility Agreement dated February 18, 2016, relating to a $180,000,000 loan facility among GAS-</w:t>
        </w:r>
      </w:hyperlink>
      <w:hyperlink r:id="rId203">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Australia and ING Bank N.V., London Branch, as original lenders and DNB Bank ASA, London Branch as agent</w:t>
        </w:r>
      </w:hyperlink>
    </w:p>
    <w:p>
      <w:pPr>
        <w:spacing w:after="0" w:line="2"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and security agent</w:t>
        </w:r>
        <w:r>
          <w:rPr>
            <w:rFonts w:ascii="Arial" w:cs="Arial" w:eastAsia="Arial" w:hAnsi="Arial"/>
            <w:sz w:val="29"/>
            <w:szCs w:val="29"/>
            <w:u w:val="single" w:color="auto"/>
            <w:color w:val="0000EE"/>
            <w:vertAlign w:val="superscript"/>
          </w:rPr>
          <w:t>(7)</w:t>
        </w:r>
        <w:r>
          <w:rPr>
            <w:rFonts w:ascii="Arial" w:cs="Arial" w:eastAsia="Arial" w:hAnsi="Arial"/>
            <w:sz w:val="18"/>
            <w:szCs w:val="18"/>
            <w:u w:val="single" w:color="auto"/>
            <w:color w:val="0000EE"/>
          </w:rPr>
          <w:t xml:space="preserve"> *</w:t>
        </w:r>
      </w:hyperlink>
    </w:p>
    <w:p>
      <w:pPr>
        <w:spacing w:after="0" w:line="160" w:lineRule="exact"/>
        <w:rPr>
          <w:rFonts w:ascii="Arial" w:cs="Arial" w:eastAsia="Arial" w:hAnsi="Arial"/>
          <w:sz w:val="16"/>
          <w:szCs w:val="16"/>
          <w:u w:val="single" w:color="auto"/>
          <w:color w:val="0000EE"/>
        </w:rPr>
      </w:pPr>
    </w:p>
    <w:p>
      <w:pPr>
        <w:ind w:left="2160" w:right="440" w:hanging="468"/>
        <w:spacing w:after="0" w:line="332"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4.19</w:t>
      </w:r>
      <w:r>
        <w:rPr>
          <w:sz w:val="20"/>
          <w:szCs w:val="20"/>
          <w:color w:val="auto"/>
        </w:rPr>
        <w:tab/>
      </w:r>
      <w:hyperlink r:id="rId204">
        <w:r>
          <w:rPr>
            <w:rFonts w:ascii="Arial" w:cs="Arial" w:eastAsia="Arial" w:hAnsi="Arial"/>
            <w:sz w:val="16"/>
            <w:szCs w:val="16"/>
            <w:u w:val="single" w:color="auto"/>
            <w:color w:val="0000EE"/>
          </w:rPr>
          <w:t>Form of Corporate Guarantee between GasLog Partners LP and DNB Bank ASA, London Branch (provided in</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respect of the Junior Facility Agreement and the Senior Facility Agreement, each dated February 18, 2016)</w:t>
        </w:r>
        <w:r>
          <w:rPr>
            <w:rFonts w:ascii="Arial" w:cs="Arial" w:eastAsia="Arial" w:hAnsi="Arial"/>
            <w:sz w:val="26"/>
            <w:szCs w:val="26"/>
            <w:u w:val="single" w:color="auto"/>
            <w:color w:val="0000EE"/>
            <w:vertAlign w:val="superscript"/>
          </w:rPr>
          <w:t>(7)</w:t>
        </w:r>
      </w:hyperlink>
    </w:p>
    <w:p>
      <w:pPr>
        <w:spacing w:after="0" w:line="47" w:lineRule="exact"/>
        <w:rPr>
          <w:sz w:val="20"/>
          <w:szCs w:val="20"/>
          <w:color w:val="auto"/>
        </w:rPr>
      </w:pPr>
    </w:p>
    <w:p>
      <w:pPr>
        <w:ind w:left="2160" w:hanging="468"/>
        <w:spacing w:after="0" w:line="283" w:lineRule="auto"/>
        <w:tabs>
          <w:tab w:leader="none" w:pos="2140" w:val="left"/>
        </w:tabs>
        <w:rPr>
          <w:rFonts w:ascii="Arial" w:cs="Arial" w:eastAsia="Arial" w:hAnsi="Arial"/>
          <w:sz w:val="16"/>
          <w:szCs w:val="16"/>
          <w:u w:val="single" w:color="auto"/>
          <w:color w:val="0000EE"/>
        </w:rPr>
      </w:pPr>
      <w:r>
        <w:rPr>
          <w:rFonts w:ascii="Arial" w:cs="Arial" w:eastAsia="Arial" w:hAnsi="Arial"/>
          <w:sz w:val="18"/>
          <w:szCs w:val="18"/>
          <w:color w:val="auto"/>
        </w:rPr>
        <w:t>4.20</w:t>
      </w:r>
      <w:r>
        <w:rPr>
          <w:sz w:val="20"/>
          <w:szCs w:val="20"/>
          <w:color w:val="auto"/>
        </w:rPr>
        <w:tab/>
      </w:r>
      <w:hyperlink r:id="rId205">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among GAS-one Ltd., GAS-two Ltd., GAS-six Ltd., GAS-seven Ltd., GAS-eight Ltd., GAS-nine Ltd., GAS-ten Ltd.</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and GAS-fifteen Ltd. as borrowers, Citigroup Global Market Limited, Credit Suisse AG, Nordea Bank AB, London</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Branch, Skandinaviska Enskilda Banken AB (publ), HSBC Bank plc, ING Bank N.V., London Branch, Dansmarks</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Skibskredit A/S and The Korea Bank as mandated lead arrangers and DVB Bank America N.V. as arranger with</w:t>
        </w:r>
      </w:hyperlink>
    </w:p>
    <w:p>
      <w:pPr>
        <w:spacing w:after="0" w:line="2" w:lineRule="exact"/>
        <w:rPr>
          <w:rFonts w:ascii="Arial" w:cs="Arial" w:eastAsia="Arial" w:hAnsi="Arial"/>
          <w:sz w:val="16"/>
          <w:szCs w:val="16"/>
          <w:u w:val="single" w:color="auto"/>
          <w:color w:val="0000EE"/>
        </w:rPr>
      </w:pPr>
    </w:p>
    <w:p>
      <w:pPr>
        <w:ind w:left="2160"/>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Nordea Bank AB, London Branch as agent and security agent</w:t>
        </w:r>
        <w:r>
          <w:rPr>
            <w:rFonts w:ascii="Arial" w:cs="Arial" w:eastAsia="Arial" w:hAnsi="Arial"/>
            <w:sz w:val="29"/>
            <w:szCs w:val="29"/>
            <w:u w:val="single" w:color="auto"/>
            <w:color w:val="0000EE"/>
            <w:vertAlign w:val="superscript"/>
          </w:rPr>
          <w:t>(8)</w:t>
        </w:r>
        <w:r>
          <w:rPr>
            <w:rFonts w:ascii="Arial" w:cs="Arial" w:eastAsia="Arial" w:hAnsi="Arial"/>
            <w:sz w:val="18"/>
            <w:szCs w:val="18"/>
            <w:u w:val="single" w:color="auto"/>
            <w:color w:val="0000EE"/>
          </w:rPr>
          <w:t>*</w:t>
        </w:r>
      </w:hyperlink>
    </w:p>
    <w:p>
      <w:pPr>
        <w:spacing w:after="0" w:line="133" w:lineRule="exact"/>
        <w:rPr>
          <w:rFonts w:ascii="Arial" w:cs="Arial" w:eastAsia="Arial" w:hAnsi="Arial"/>
          <w:sz w:val="16"/>
          <w:szCs w:val="16"/>
          <w:u w:val="single" w:color="auto"/>
          <w:color w:val="0000EE"/>
        </w:rPr>
      </w:pPr>
    </w:p>
    <w:p>
      <w:pPr>
        <w:ind w:left="5660"/>
        <w:spacing w:after="0"/>
        <w:rPr>
          <w:sz w:val="20"/>
          <w:szCs w:val="20"/>
          <w:color w:val="auto"/>
        </w:rPr>
      </w:pPr>
      <w:r>
        <w:rPr>
          <w:rFonts w:ascii="Arial" w:cs="Arial" w:eastAsia="Arial" w:hAnsi="Arial"/>
          <w:sz w:val="18"/>
          <w:szCs w:val="18"/>
          <w:color w:val="auto"/>
        </w:rPr>
        <w:t>147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400"/>
          </w:cols>
          <w:pgMar w:left="160" w:top="51" w:right="133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0" w:type="dxa"/>
            <w:vAlign w:val="bottom"/>
            <w:gridSpan w:val="22"/>
          </w:tcPr>
          <w:p>
            <w:pPr>
              <w:ind w:left="7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auto"/>
            </w:tcBorders>
            <w:gridSpan w:val="28"/>
          </w:tcPr>
          <w:p>
            <w:pPr>
              <w:spacing w:after="0" w:line="169"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 xml:space="preserve">Facilities Agreement for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1,311,356,340 Loan Facilities dated October 16, 2015 between GAS-eleven Ltd., GAS-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twelve Ltd., GAS-thirteen Ltd., Gas-fourteen Ltd., GAS-twenty two Ltd., GAS-twenty three Ltd., GAS-twenty</w:t>
              </w:r>
            </w:hyperlink>
          </w:p>
        </w:tc>
        <w:tc>
          <w:tcPr>
            <w:tcW w:w="200" w:type="dxa"/>
            <w:vAlign w:val="bottom"/>
            <w:tcBorders>
              <w:top w:val="single" w:sz="8" w:color="0000EE"/>
            </w:tcBorders>
            <w:gridSpan w:val="3"/>
          </w:tcPr>
          <w:p>
            <w:pPr>
              <w:spacing w:after="0"/>
              <w:rPr>
                <w:sz w:val="17"/>
                <w:szCs w:val="17"/>
                <w:color w:val="auto"/>
              </w:rPr>
            </w:pPr>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four Ltd., GAS-twenty five Ltd., as borrowers, Citibank, N.A., London Branch, Nordea Bank AB, London Branch,</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The Export-Import Bank of Korea, Bank of America, National Association, BNP Paribas, Credit Agricole Corporate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gridSpan w:val="29"/>
          </w:tcPr>
          <w:p>
            <w:pPr>
              <w:spacing w:after="0" w:line="196" w:lineRule="exact"/>
              <w:rPr>
                <w:rFonts w:ascii="Arial" w:cs="Arial" w:eastAsia="Arial" w:hAnsi="Arial"/>
                <w:sz w:val="18"/>
                <w:szCs w:val="18"/>
                <w:color w:val="0000EE"/>
                <w:w w:val="95"/>
              </w:rPr>
            </w:pPr>
            <w:hyperlink r:id="rId207">
              <w:r>
                <w:rPr>
                  <w:rFonts w:ascii="Arial" w:cs="Arial" w:eastAsia="Arial" w:hAnsi="Arial"/>
                  <w:sz w:val="18"/>
                  <w:szCs w:val="18"/>
                  <w:color w:val="0000EE"/>
                  <w:w w:val="95"/>
                </w:rPr>
                <w:t>and Investment Bank, Credit Suisse AG, HSBC Bank plc, ING Bank N.V., London Branch, KEB Hana Bank,</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London Branch, KfW IPEX-Bank GmbH, National Australia Bank Limited, Oversea-Chinese Banking Corporation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gridSpan w:val="29"/>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Limited, Societe Generale and The Korea Development Bank as mandated lead arrangers with Nordea Bank AB,</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London Branch as agent, security agent, global co-ordinator and bookrunner and Citibank N.A., London Branch as</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export credit agent, global co-coordinator, bookrunner and export credit agent co-ordinator, guaranteed by</w:t>
              </w:r>
            </w:hyperlink>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GasLog Ltd. and GasLog Carriers Ltd., previously filed as an exhibit to GasLog Ltd.'s Annual Report on Form 20-F</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40" w:type="dxa"/>
            <w:vAlign w:val="bottom"/>
            <w:gridSpan w:val="20"/>
            <w:vMerge w:val="restart"/>
          </w:tcPr>
          <w:p>
            <w:pPr>
              <w:spacing w:after="0"/>
              <w:rPr>
                <w:rFonts w:ascii="Arial" w:cs="Arial" w:eastAsia="Arial" w:hAnsi="Arial"/>
                <w:sz w:val="18"/>
                <w:szCs w:val="18"/>
                <w:color w:val="0000EE"/>
                <w:w w:val="88"/>
              </w:rPr>
            </w:pPr>
            <w:hyperlink r:id="rId207">
              <w:r>
                <w:rPr>
                  <w:rFonts w:ascii="Arial" w:cs="Arial" w:eastAsia="Arial" w:hAnsi="Arial"/>
                  <w:sz w:val="18"/>
                  <w:szCs w:val="18"/>
                  <w:color w:val="0000EE"/>
                  <w:w w:val="88"/>
                </w:rPr>
                <w:t>(File No. 001-35466), filed with the SEC on March 14, 2016, and hereby incorporated by reference to such Report</w:t>
              </w:r>
            </w:hyperlink>
          </w:p>
        </w:tc>
        <w:tc>
          <w:tcPr>
            <w:tcW w:w="180" w:type="dxa"/>
            <w:vAlign w:val="bottom"/>
            <w:tcBorders>
              <w:bottom w:val="single" w:sz="8" w:color="0000EE"/>
            </w:tcBorders>
            <w:gridSpan w:val="8"/>
          </w:tcPr>
          <w:p>
            <w:pPr>
              <w:jc w:val="right"/>
              <w:spacing w:after="0" w:line="156" w:lineRule="exact"/>
              <w:rPr>
                <w:rFonts w:ascii="Arial" w:cs="Arial" w:eastAsia="Arial" w:hAnsi="Arial"/>
                <w:sz w:val="15"/>
                <w:szCs w:val="15"/>
                <w:color w:val="0000EE"/>
                <w:w w:val="87"/>
              </w:rPr>
            </w:pPr>
            <w:hyperlink r:id="rId207">
              <w:r>
                <w:rPr>
                  <w:rFonts w:ascii="Arial" w:cs="Arial" w:eastAsia="Arial" w:hAnsi="Arial"/>
                  <w:sz w:val="15"/>
                  <w:szCs w:val="15"/>
                  <w:color w:val="0000EE"/>
                  <w:w w:val="87"/>
                </w:rPr>
                <w:t>(9)</w:t>
              </w:r>
            </w:hyperlink>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40" w:type="dxa"/>
            <w:vAlign w:val="bottom"/>
            <w:tcBorders>
              <w:bottom w:val="single" w:sz="8" w:color="0000EE"/>
            </w:tcBorders>
            <w:gridSpan w:val="20"/>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4"/>
          </w:tcPr>
          <w:p>
            <w:pPr>
              <w:spacing w:after="0"/>
              <w:rPr>
                <w:sz w:val="4"/>
                <w:szCs w:val="4"/>
                <w:color w:val="auto"/>
              </w:rPr>
            </w:pPr>
          </w:p>
        </w:tc>
        <w:tc>
          <w:tcPr>
            <w:tcW w:w="6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4"/>
                <w:szCs w:val="24"/>
                <w:color w:val="auto"/>
              </w:rPr>
            </w:pPr>
          </w:p>
        </w:tc>
        <w:tc>
          <w:tcPr>
            <w:tcW w:w="8240" w:type="dxa"/>
            <w:vAlign w:val="bottom"/>
            <w:gridSpan w:val="29"/>
          </w:tcPr>
          <w:p>
            <w:pPr>
              <w:spacing w:after="0"/>
              <w:rPr>
                <w:rFonts w:ascii="Arial" w:cs="Arial" w:eastAsia="Arial" w:hAnsi="Arial"/>
                <w:sz w:val="18"/>
                <w:szCs w:val="18"/>
                <w:color w:val="0000EE"/>
                <w:w w:val="95"/>
              </w:rPr>
            </w:pPr>
            <w:hyperlink r:id="rId208">
              <w:r>
                <w:rPr>
                  <w:rFonts w:ascii="Arial" w:cs="Arial" w:eastAsia="Arial" w:hAnsi="Arial"/>
                  <w:sz w:val="18"/>
                  <w:szCs w:val="18"/>
                  <w:color w:val="0000EE"/>
                  <w:w w:val="95"/>
                </w:rPr>
                <w:t>Exchange Agreement by and among GasLog Partners LP, GasLog Partners GP LLC and GasLog Ltd. dated</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0000EE"/>
              <w:bottom w:val="single" w:sz="8" w:color="0000EE"/>
            </w:tcBorders>
            <w:gridSpan w:val="2"/>
            <w:vMerge w:val="restart"/>
          </w:tcPr>
          <w:p>
            <w:pPr>
              <w:spacing w:after="0"/>
              <w:rPr>
                <w:rFonts w:ascii="Arial" w:cs="Arial" w:eastAsia="Arial" w:hAnsi="Arial"/>
                <w:sz w:val="18"/>
                <w:szCs w:val="18"/>
                <w:color w:val="0000EE"/>
                <w:w w:val="87"/>
              </w:rPr>
            </w:pPr>
            <w:hyperlink r:id="rId208">
              <w:r>
                <w:rPr>
                  <w:rFonts w:ascii="Arial" w:cs="Arial" w:eastAsia="Arial" w:hAnsi="Arial"/>
                  <w:sz w:val="18"/>
                  <w:szCs w:val="18"/>
                  <w:color w:val="0000EE"/>
                  <w:w w:val="87"/>
                </w:rPr>
                <w:t>November 27, 2018</w:t>
              </w:r>
            </w:hyperlink>
          </w:p>
        </w:tc>
        <w:tc>
          <w:tcPr>
            <w:tcW w:w="24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82"/>
              </w:rPr>
            </w:pPr>
            <w:hyperlink r:id="rId208">
              <w:r>
                <w:rPr>
                  <w:rFonts w:ascii="Arial" w:cs="Arial" w:eastAsia="Arial" w:hAnsi="Arial"/>
                  <w:sz w:val="15"/>
                  <w:szCs w:val="15"/>
                  <w:color w:val="0000EE"/>
                  <w:w w:val="82"/>
                </w:rPr>
                <w:t>(13)</w:t>
              </w:r>
            </w:hyperlink>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1300" w:type="dxa"/>
            <w:vAlign w:val="bottom"/>
            <w:tcBorders>
              <w:top w:val="single" w:sz="8" w:color="0000EE"/>
              <w:bottom w:val="single" w:sz="8" w:color="0000EE"/>
            </w:tcBorders>
            <w:vMerge w:val="restart"/>
          </w:tcPr>
          <w:p>
            <w:pPr>
              <w:spacing w:after="0"/>
              <w:rPr>
                <w:sz w:val="14"/>
                <w:szCs w:val="14"/>
                <w:color w:val="auto"/>
              </w:rPr>
            </w:pPr>
          </w:p>
        </w:tc>
        <w:tc>
          <w:tcPr>
            <w:tcW w:w="228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8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820" w:type="dxa"/>
            <w:vAlign w:val="bottom"/>
            <w:tcBorders>
              <w:top w:val="single" w:sz="8" w:color="0000EE"/>
              <w:bottom w:val="single" w:sz="8" w:color="0000EE"/>
            </w:tcBorders>
            <w:vMerge w:val="restart"/>
          </w:tcPr>
          <w:p>
            <w:pPr>
              <w:spacing w:after="0"/>
              <w:rPr>
                <w:sz w:val="14"/>
                <w:szCs w:val="14"/>
                <w:color w:val="auto"/>
              </w:rPr>
            </w:pPr>
          </w:p>
        </w:tc>
        <w:tc>
          <w:tcPr>
            <w:tcW w:w="520" w:type="dxa"/>
            <w:vAlign w:val="bottom"/>
            <w:tcBorders>
              <w:top w:val="single" w:sz="8" w:color="0000EE"/>
              <w:bottom w:val="single" w:sz="8" w:color="0000EE"/>
            </w:tcBorders>
            <w:gridSpan w:val="2"/>
            <w:vMerge w:val="restart"/>
          </w:tcPr>
          <w:p>
            <w:pPr>
              <w:spacing w:after="0"/>
              <w:rPr>
                <w:sz w:val="14"/>
                <w:szCs w:val="14"/>
                <w:color w:val="auto"/>
              </w:rPr>
            </w:pPr>
          </w:p>
        </w:tc>
        <w:tc>
          <w:tcPr>
            <w:tcW w:w="300" w:type="dxa"/>
            <w:vAlign w:val="bottom"/>
            <w:gridSpan w:val="3"/>
            <w:vMerge w:val="restart"/>
          </w:tcPr>
          <w:p>
            <w:pPr>
              <w:spacing w:after="0"/>
              <w:rPr>
                <w:sz w:val="14"/>
                <w:szCs w:val="14"/>
                <w:color w:val="auto"/>
              </w:rPr>
            </w:pPr>
          </w:p>
        </w:tc>
        <w:tc>
          <w:tcPr>
            <w:tcW w:w="18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gridSpan w:val="4"/>
            <w:vMerge w:val="restart"/>
          </w:tcPr>
          <w:p>
            <w:pPr>
              <w:spacing w:after="0"/>
              <w:rPr>
                <w:sz w:val="14"/>
                <w:szCs w:val="14"/>
                <w:color w:val="auto"/>
              </w:rPr>
            </w:pPr>
          </w:p>
        </w:tc>
        <w:tc>
          <w:tcPr>
            <w:tcW w:w="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2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gridSpan w:val="4"/>
            <w:vMerge w:val="continue"/>
          </w:tcPr>
          <w:p>
            <w:pPr>
              <w:spacing w:after="0"/>
              <w:rPr>
                <w:sz w:val="4"/>
                <w:szCs w:val="4"/>
                <w:color w:val="auto"/>
              </w:rPr>
            </w:pPr>
          </w:p>
        </w:tc>
        <w:tc>
          <w:tcPr>
            <w:tcW w:w="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24"/>
                <w:szCs w:val="24"/>
                <w:color w:val="auto"/>
              </w:rPr>
            </w:pPr>
          </w:p>
        </w:tc>
        <w:tc>
          <w:tcPr>
            <w:tcW w:w="8240" w:type="dxa"/>
            <w:vAlign w:val="bottom"/>
            <w:gridSpan w:val="29"/>
          </w:tcPr>
          <w:p>
            <w:pPr>
              <w:spacing w:after="0"/>
              <w:rPr>
                <w:sz w:val="20"/>
                <w:szCs w:val="20"/>
                <w:color w:val="auto"/>
              </w:rPr>
            </w:pPr>
            <w:r>
              <w:rPr>
                <w:rFonts w:ascii="Arial" w:cs="Arial" w:eastAsia="Arial" w:hAnsi="Arial"/>
                <w:sz w:val="18"/>
                <w:szCs w:val="18"/>
                <w:color w:val="0000EE"/>
                <w:w w:val="93"/>
              </w:rPr>
              <w:t xml:space="preserve">Facilities Agreement dated February 20, 2019, relating to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450,000,000 Revolving Credit Facility among GAS-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three Ltd., GAS-four Ltd., GAS-five Ltd., Gas-sixteen Ltd., GAS-seventeen Ltd., as borrowers, Credit Suisse AG,</w:t>
            </w:r>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Nordea Bank Abp, Filial I Norge, The IyoBank, Ltd. Singapore Branch as the Original Lenders with Nordea Bank</w:t>
            </w:r>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40" w:type="dxa"/>
            <w:vAlign w:val="bottom"/>
            <w:gridSpan w:val="29"/>
          </w:tcPr>
          <w:p>
            <w:pPr>
              <w:spacing w:after="0" w:line="196" w:lineRule="exact"/>
              <w:rPr>
                <w:sz w:val="20"/>
                <w:szCs w:val="20"/>
                <w:color w:val="auto"/>
              </w:rPr>
            </w:pPr>
            <w:r>
              <w:rPr>
                <w:rFonts w:ascii="Arial" w:cs="Arial" w:eastAsia="Arial" w:hAnsi="Arial"/>
                <w:sz w:val="18"/>
                <w:szCs w:val="18"/>
                <w:color w:val="0000EE"/>
                <w:w w:val="92"/>
              </w:rPr>
              <w:t>Abp, Filial I Norge as agent and the security agent, and Credit Suisse AG as mandated lead arranger, global co-</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8"/>
              </w:rPr>
              <w:t>ordinator and bookrunner, guaranteed by GasLog Partners LP and GasLog Partners Holdings LLC.*</w:t>
            </w: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9"/>
              </w:rPr>
              <w:t>List of Subsidiaries of GasLog Partners LP</w:t>
            </w:r>
          </w:p>
        </w:tc>
        <w:tc>
          <w:tcPr>
            <w:tcW w:w="4000" w:type="dxa"/>
            <w:vAlign w:val="bottom"/>
            <w:tcBorders>
              <w:top w:val="single" w:sz="8" w:color="0000EE"/>
            </w:tcBorders>
            <w:gridSpan w:val="5"/>
          </w:tcPr>
          <w:p>
            <w:pPr>
              <w:spacing w:after="0"/>
              <w:rPr>
                <w:sz w:val="24"/>
                <w:szCs w:val="24"/>
                <w:color w:val="auto"/>
              </w:rPr>
            </w:pPr>
          </w:p>
        </w:tc>
        <w:tc>
          <w:tcPr>
            <w:tcW w:w="1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8240" w:type="dxa"/>
            <w:vAlign w:val="bottom"/>
            <w:gridSpan w:val="29"/>
          </w:tcPr>
          <w:p>
            <w:pPr>
              <w:spacing w:after="0"/>
              <w:rPr>
                <w:sz w:val="20"/>
                <w:szCs w:val="20"/>
                <w:color w:val="auto"/>
              </w:rPr>
            </w:pPr>
            <w:r>
              <w:rPr>
                <w:rFonts w:ascii="Arial" w:cs="Arial" w:eastAsia="Arial" w:hAnsi="Arial"/>
                <w:sz w:val="18"/>
                <w:szCs w:val="18"/>
                <w:color w:val="0000EE"/>
              </w:rPr>
              <w:t>Rule 13a-14(a)/15d-14(a) Certification of GasLog Partners LP's Chief Executive Officer</w:t>
            </w: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61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89"/>
              </w:rPr>
              <w:t>Rule 13a-14(a)/15d-14(a) Certification of GasLog Partners LP's Chief Financial Officer</w:t>
            </w:r>
          </w:p>
        </w:tc>
        <w:tc>
          <w:tcPr>
            <w:tcW w:w="40" w:type="dxa"/>
            <w:vAlign w:val="bottom"/>
            <w:tcBorders>
              <w:top w:val="single" w:sz="8" w:color="0000EE"/>
            </w:tcBorders>
          </w:tcPr>
          <w:p>
            <w:pPr>
              <w:spacing w:after="0"/>
              <w:rPr>
                <w:sz w:val="24"/>
                <w:szCs w:val="24"/>
                <w:color w:val="auto"/>
              </w:rPr>
            </w:pPr>
          </w:p>
        </w:tc>
        <w:tc>
          <w:tcPr>
            <w:tcW w:w="20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4"/>
                <w:szCs w:val="24"/>
                <w:color w:val="auto"/>
              </w:rPr>
            </w:pPr>
          </w:p>
        </w:tc>
        <w:tc>
          <w:tcPr>
            <w:tcW w:w="8240" w:type="dxa"/>
            <w:vAlign w:val="bottom"/>
            <w:gridSpan w:val="29"/>
          </w:tcPr>
          <w:p>
            <w:pPr>
              <w:spacing w:after="0"/>
              <w:rPr>
                <w:sz w:val="20"/>
                <w:szCs w:val="20"/>
                <w:color w:val="auto"/>
              </w:rPr>
            </w:pPr>
            <w:r>
              <w:rPr>
                <w:rFonts w:ascii="Arial" w:cs="Arial" w:eastAsia="Arial" w:hAnsi="Arial"/>
                <w:sz w:val="18"/>
                <w:szCs w:val="18"/>
                <w:color w:val="0000EE"/>
                <w:w w:val="91"/>
              </w:rPr>
              <w:t>GasLog Partners LP Certification of Andrew Orekar, Chief Executive Officer, pursuant to 18 U.S.C. Section 1350,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7"/>
              </w:rPr>
              <w:t>as adopted pursuant to Section 906 of the U.S. Sarbanes- Oxley Act of 2002</w:t>
            </w:r>
          </w:p>
        </w:tc>
        <w:tc>
          <w:tcPr>
            <w:tcW w:w="2700" w:type="dxa"/>
            <w:vAlign w:val="bottom"/>
            <w:tcBorders>
              <w:top w:val="single" w:sz="8" w:color="0000EE"/>
            </w:tcBorders>
            <w:gridSpan w:val="12"/>
          </w:tcPr>
          <w:p>
            <w:pPr>
              <w:spacing w:after="0"/>
              <w:rPr>
                <w:sz w:val="17"/>
                <w:szCs w:val="17"/>
                <w:color w:val="auto"/>
              </w:rPr>
            </w:pPr>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81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0"/>
              </w:rPr>
              <w:t>GasLog Partners LP Certification of Alastair Maxwell, Chief Financial Officer, pursuant to 18 U.S.C. Section 1350,</w:t>
            </w:r>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as adopted pursuant to Section 906 of the U.S. Sarbanes-Oxley Act of 2002</w:t>
            </w:r>
          </w:p>
        </w:tc>
        <w:tc>
          <w:tcPr>
            <w:tcW w:w="29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Deloitte LLP</w:t>
            </w:r>
          </w:p>
        </w:tc>
        <w:tc>
          <w:tcPr>
            <w:tcW w:w="65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8240" w:type="dxa"/>
            <w:vAlign w:val="bottom"/>
            <w:gridSpan w:val="29"/>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Registration Statement on Form F-1 (File No. 333-195109), declared effective by the SEC on May 6, 2014, and hereby incorporated by reference to such Registration Statement.</w:t>
      </w:r>
    </w:p>
    <w:p>
      <w:pPr>
        <w:spacing w:after="0" w:line="17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80"/>
          </w:cols>
          <w:pgMar w:left="160" w:top="51" w:right="6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700" w:hanging="536"/>
        <w:spacing w:after="0"/>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4.1 to GasLog Partners LP's Report on Form 6-K, filed with the SEC on May 15, 2017, hereby incorporated by reference to such Report.</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3.2 to GasLog Partners LP's Report on Form 6-K, filed with the SEC on January 17, 2018, hereby incorporated by reference to such Report.</w:t>
      </w:r>
    </w:p>
    <w:p>
      <w:pPr>
        <w:spacing w:after="0" w:line="134" w:lineRule="exact"/>
        <w:rPr>
          <w:rFonts w:ascii="Arial" w:cs="Arial" w:eastAsia="Arial" w:hAnsi="Arial"/>
          <w:sz w:val="11"/>
          <w:szCs w:val="11"/>
          <w:color w:val="auto"/>
        </w:rPr>
      </w:pPr>
    </w:p>
    <w:p>
      <w:pPr>
        <w:ind w:left="1700" w:right="8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4.6 to GasLog Partners LP's Registration Statement on Form S-8 (File No. 333-203139), filed with the SEC on March 31, 2015, and hereby incorporated by reference to such Registration Statement.</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99.3 to GasLog Partners LP's Report on Form 6-K, filed with the SEC on April 30, 2015, hereby incorporated by reference to such Report.</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126"/>
        </w:numPr>
        <w:rPr>
          <w:rFonts w:ascii="Arial" w:cs="Arial" w:eastAsia="Arial" w:hAnsi="Arial"/>
          <w:sz w:val="10"/>
          <w:szCs w:val="10"/>
          <w:color w:val="auto"/>
        </w:rPr>
      </w:pPr>
      <w:r>
        <w:rPr>
          <w:rFonts w:ascii="Arial" w:cs="Arial" w:eastAsia="Arial" w:hAnsi="Arial"/>
          <w:sz w:val="12"/>
          <w:szCs w:val="12"/>
          <w:color w:val="auto"/>
        </w:rPr>
        <w:t>Previously filed as an exhibit to GasLog Partners LP's Annual Report on Form 20-F, filed with the SEC on February 12, 2016, hereby incorporated by reference to such Report.</w:t>
      </w:r>
    </w:p>
    <w:p>
      <w:pPr>
        <w:spacing w:after="0" w:line="145" w:lineRule="exact"/>
        <w:rPr>
          <w:rFonts w:ascii="Arial" w:cs="Arial" w:eastAsia="Arial" w:hAnsi="Arial"/>
          <w:sz w:val="10"/>
          <w:szCs w:val="10"/>
          <w:color w:val="auto"/>
        </w:rPr>
      </w:pPr>
    </w:p>
    <w:p>
      <w:pPr>
        <w:ind w:left="170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an exhibit to GasLog Ltd.'s Annual Report on Form 20-F for the year ended December 31, 2015 (File No. 001-35466), filed with the SEC on March 14, 2016, and hereby incorporated by reference to such Annual Report.</w:t>
      </w:r>
    </w:p>
    <w:p>
      <w:pPr>
        <w:spacing w:after="0" w:line="90" w:lineRule="exact"/>
        <w:rPr>
          <w:rFonts w:ascii="Arial" w:cs="Arial" w:eastAsia="Arial" w:hAnsi="Arial"/>
          <w:sz w:val="11"/>
          <w:szCs w:val="11"/>
          <w:color w:val="auto"/>
        </w:rPr>
      </w:pPr>
    </w:p>
    <w:p>
      <w:pPr>
        <w:ind w:left="1700" w:right="38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August 4, 2016, and hereby incorporated by reference to such Report.</w:t>
      </w:r>
    </w:p>
    <w:p>
      <w:pPr>
        <w:spacing w:after="0" w:line="90" w:lineRule="exact"/>
        <w:rPr>
          <w:rFonts w:ascii="Arial" w:cs="Arial" w:eastAsia="Arial" w:hAnsi="Arial"/>
          <w:sz w:val="11"/>
          <w:szCs w:val="11"/>
          <w:color w:val="auto"/>
        </w:rPr>
      </w:pPr>
    </w:p>
    <w:p>
      <w:pPr>
        <w:ind w:left="1700" w:right="18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an exhibit to GasLog Ltd.'s Annual Report on Form 20-F (file No. 001-35466), filed with the SEC on March 14, 2016, and hereby incorporated by reference to such Report.</w:t>
      </w:r>
    </w:p>
    <w:p>
      <w:pPr>
        <w:spacing w:after="0" w:line="90" w:lineRule="exact"/>
        <w:rPr>
          <w:rFonts w:ascii="Arial" w:cs="Arial" w:eastAsia="Arial" w:hAnsi="Arial"/>
          <w:sz w:val="11"/>
          <w:szCs w:val="11"/>
          <w:color w:val="auto"/>
        </w:rPr>
      </w:pPr>
    </w:p>
    <w:p>
      <w:pPr>
        <w:ind w:left="1700" w:hanging="536"/>
        <w:spacing w:after="0"/>
        <w:tabs>
          <w:tab w:leader="none" w:pos="1700" w:val="left"/>
        </w:tabs>
        <w:numPr>
          <w:ilvl w:val="0"/>
          <w:numId w:val="126"/>
        </w:numPr>
        <w:rPr>
          <w:rFonts w:ascii="Arial" w:cs="Arial" w:eastAsia="Arial" w:hAnsi="Arial"/>
          <w:sz w:val="10"/>
          <w:szCs w:val="10"/>
          <w:color w:val="auto"/>
        </w:rPr>
      </w:pPr>
      <w:r>
        <w:rPr>
          <w:rFonts w:ascii="Arial" w:cs="Arial" w:eastAsia="Arial" w:hAnsi="Arial"/>
          <w:sz w:val="12"/>
          <w:szCs w:val="12"/>
          <w:color w:val="auto"/>
        </w:rPr>
        <w:t>Previously filed as an exhibit to GasLog Partners LP's Annual Report on Form 20-F, filed with the SEC on February 17, 2015, hereby incorporated by reference to such Report.</w:t>
      </w:r>
    </w:p>
    <w:p>
      <w:pPr>
        <w:spacing w:after="0" w:line="145" w:lineRule="exact"/>
        <w:rPr>
          <w:rFonts w:ascii="Arial" w:cs="Arial" w:eastAsia="Arial" w:hAnsi="Arial"/>
          <w:sz w:val="10"/>
          <w:szCs w:val="10"/>
          <w:color w:val="auto"/>
        </w:rPr>
      </w:pPr>
    </w:p>
    <w:p>
      <w:pPr>
        <w:ind w:left="1700" w:hanging="536"/>
        <w:spacing w:after="0"/>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3.2 to GasLog Partners LP's Report on Form 6-K, filed with the SEC on November 15, 2018, hereby incorporated by reference to such Report.</w:t>
      </w:r>
    </w:p>
    <w:p>
      <w:pPr>
        <w:spacing w:after="0" w:line="134" w:lineRule="exact"/>
        <w:rPr>
          <w:rFonts w:ascii="Arial" w:cs="Arial" w:eastAsia="Arial" w:hAnsi="Arial"/>
          <w:sz w:val="11"/>
          <w:szCs w:val="11"/>
          <w:color w:val="auto"/>
        </w:rPr>
      </w:pPr>
    </w:p>
    <w:p>
      <w:pPr>
        <w:ind w:left="1700" w:right="16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3.2 to GasLog Partners LP's Report on Form 6-K (File No. 001-36433), filed with the SEC on November 27, 2018, hereby incorporated by reference to such Report</w:t>
      </w:r>
    </w:p>
    <w:p>
      <w:pPr>
        <w:spacing w:after="0" w:line="90" w:lineRule="exact"/>
        <w:rPr>
          <w:rFonts w:ascii="Arial" w:cs="Arial" w:eastAsia="Arial" w:hAnsi="Arial"/>
          <w:sz w:val="11"/>
          <w:szCs w:val="11"/>
          <w:color w:val="auto"/>
        </w:rPr>
      </w:pPr>
    </w:p>
    <w:p>
      <w:pPr>
        <w:ind w:left="1700" w:right="100" w:hanging="536"/>
        <w:spacing w:after="0" w:line="274" w:lineRule="auto"/>
        <w:tabs>
          <w:tab w:leader="none" w:pos="170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Previously filed as Exhibit 10.1 to GasLog Partners LP's Report on Form 6-K (File No. 001-36433), filed with the SEC on November 27, 2018, hereby incorporated by reference to such Report.</w:t>
      </w:r>
    </w:p>
    <w:p>
      <w:pPr>
        <w:spacing w:after="0" w:line="91" w:lineRule="exact"/>
        <w:rPr>
          <w:sz w:val="20"/>
          <w:szCs w:val="20"/>
          <w:color w:val="auto"/>
        </w:rPr>
      </w:pPr>
    </w:p>
    <w:p>
      <w:pPr>
        <w:ind w:left="1700" w:hanging="536"/>
        <w:spacing w:after="0"/>
        <w:tabs>
          <w:tab w:leader="none" w:pos="17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Confidential material has been redacted and complete exhibits have been separately filed with the SEC.</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300" w:type="dxa"/>
        <w:tblCellMar>
          <w:top w:w="0" w:type="dxa"/>
          <w:left w:w="0" w:type="dxa"/>
          <w:bottom w:w="0" w:type="dxa"/>
          <w:right w:w="0" w:type="dxa"/>
        </w:tblCellMar>
      </w:tblPr>
      <w:tr>
        <w:trPr>
          <w:trHeight w:val="222"/>
        </w:trPr>
        <w:tc>
          <w:tcPr>
            <w:tcW w:w="5180" w:type="dxa"/>
            <w:vAlign w:val="bottom"/>
            <w:gridSpan w:val="3"/>
          </w:tcPr>
          <w:p>
            <w:pPr>
              <w:spacing w:after="0"/>
              <w:rPr>
                <w:sz w:val="20"/>
                <w:szCs w:val="20"/>
                <w:color w:val="auto"/>
              </w:rPr>
            </w:pPr>
            <w:r>
              <w:rPr>
                <w:rFonts w:ascii="Arial" w:cs="Arial" w:eastAsia="Arial" w:hAnsi="Arial"/>
                <w:sz w:val="18"/>
                <w:szCs w:val="18"/>
                <w:color w:val="auto"/>
              </w:rPr>
              <w:t>GASLOG PARTNERS LP,</w:t>
            </w:r>
          </w:p>
        </w:tc>
      </w:tr>
      <w:tr>
        <w:trPr>
          <w:trHeight w:val="459"/>
        </w:trPr>
        <w:tc>
          <w:tcPr>
            <w:tcW w:w="5180" w:type="dxa"/>
            <w:vAlign w:val="bottom"/>
            <w:gridSpan w:val="3"/>
          </w:tcPr>
          <w:p>
            <w:pPr>
              <w:spacing w:after="0"/>
              <w:rPr>
                <w:sz w:val="20"/>
                <w:szCs w:val="20"/>
                <w:color w:val="auto"/>
              </w:rPr>
            </w:pPr>
            <w:r>
              <w:rPr>
                <w:rFonts w:ascii="Arial" w:cs="Arial" w:eastAsia="Arial" w:hAnsi="Arial"/>
                <w:sz w:val="18"/>
                <w:szCs w:val="18"/>
                <w:color w:val="auto"/>
              </w:rPr>
              <w:t>By   /s/ ANDREW J. OREKAR</w:t>
            </w:r>
          </w:p>
        </w:tc>
      </w:tr>
      <w:tr>
        <w:trPr>
          <w:trHeight w:val="97"/>
        </w:trPr>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20"/>
              <w:spacing w:after="0"/>
              <w:rPr>
                <w:sz w:val="20"/>
                <w:szCs w:val="20"/>
                <w:color w:val="auto"/>
              </w:rPr>
            </w:pPr>
            <w:r>
              <w:rPr>
                <w:rFonts w:ascii="Arial" w:cs="Arial" w:eastAsia="Arial" w:hAnsi="Arial"/>
                <w:sz w:val="18"/>
                <w:szCs w:val="18"/>
                <w:color w:val="auto"/>
              </w:rPr>
              <w:t>Andrew J. Orekar</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340"/>
          </w:cols>
          <w:pgMar w:left="160" w:top="51" w:right="3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gridSpan w:val="2"/>
            <w:vMerge w:val="restart"/>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Report of Independent Registered Public Accounting Firm—Deloitte LLP</w:t>
              </w:r>
            </w:hyperlink>
          </w:p>
        </w:tc>
        <w:tc>
          <w:tcPr>
            <w:tcW w:w="3380" w:type="dxa"/>
            <w:vAlign w:val="bottom"/>
            <w:gridSpan w:val="6"/>
            <w:vMerge w:val="restart"/>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220" w:type="dxa"/>
            <w:vAlign w:val="bottom"/>
            <w:tcBorders>
              <w:bottom w:val="single" w:sz="8" w:color="0000EE"/>
            </w:tcBorders>
            <w:gridSpan w:val="2"/>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1"/>
              </w:rPr>
            </w:pPr>
            <w:hyperlink w:anchor="page159">
              <w:r>
                <w:rPr>
                  <w:rFonts w:ascii="Arial" w:cs="Arial" w:eastAsia="Arial" w:hAnsi="Arial"/>
                  <w:sz w:val="18"/>
                  <w:szCs w:val="18"/>
                  <w:color w:val="0000EE"/>
                  <w:w w:val="81"/>
                </w:rPr>
                <w:t>F-2</w:t>
              </w:r>
            </w:hyperlink>
          </w:p>
        </w:tc>
        <w:tc>
          <w:tcPr>
            <w:tcW w:w="2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600" w:type="dxa"/>
            <w:vAlign w:val="bottom"/>
            <w:gridSpan w:val="8"/>
          </w:tcPr>
          <w:p>
            <w:pPr>
              <w:spacing w:after="0" w:line="19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Consolidated statements of financial position as of January 1, 2017, December 31, 2017 and December 31, 2018</w:t>
              </w:r>
            </w:hyperlink>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900" w:type="dxa"/>
            <w:vAlign w:val="bottom"/>
            <w:gridSpan w:val="5"/>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profit or loss for the years ended December 31, 2016, 2017 and 2018</w:t>
              </w:r>
            </w:hyperlink>
          </w:p>
        </w:tc>
        <w:tc>
          <w:tcPr>
            <w:tcW w:w="7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600" w:type="dxa"/>
            <w:vAlign w:val="bottom"/>
            <w:gridSpan w:val="8"/>
          </w:tcPr>
          <w:p>
            <w:pPr>
              <w:spacing w:after="0" w:line="19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Consolidated statements of comprehensive income or loss for the years ended December 31, 2016, 2017 and 2018</w:t>
              </w:r>
            </w:hyperlink>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600" w:type="dxa"/>
            <w:vAlign w:val="bottom"/>
            <w:gridSpan w:val="8"/>
          </w:tcPr>
          <w:p>
            <w:pPr>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Consolidated statements of changes in owners'/partners' equity for the years ended December 31, 2016, 2017 and 2018</w:t>
              </w:r>
            </w:hyperlink>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3"/>
          </w:tcPr>
          <w:p>
            <w:pPr>
              <w:spacing w:after="0" w:line="196" w:lineRule="exact"/>
              <w:rPr>
                <w:rFonts w:ascii="Arial" w:cs="Arial" w:eastAsia="Arial" w:hAnsi="Arial"/>
                <w:sz w:val="18"/>
                <w:szCs w:val="18"/>
                <w:color w:val="0000EE"/>
                <w:w w:val="87"/>
              </w:rPr>
            </w:pPr>
            <w:hyperlink w:anchor="page165">
              <w:r>
                <w:rPr>
                  <w:rFonts w:ascii="Arial" w:cs="Arial" w:eastAsia="Arial" w:hAnsi="Arial"/>
                  <w:sz w:val="18"/>
                  <w:szCs w:val="18"/>
                  <w:color w:val="0000EE"/>
                  <w:w w:val="87"/>
                </w:rPr>
                <w:t>Consolidated statements of cash flows for the years ended December 31, 2016, 2017 and 2018</w:t>
              </w:r>
            </w:hyperlink>
          </w:p>
        </w:tc>
        <w:tc>
          <w:tcPr>
            <w:tcW w:w="170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640" w:type="dxa"/>
            <w:vAlign w:val="bottom"/>
            <w:gridSpan w:val="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Notes to the consolidated financial statements</w:t>
              </w:r>
            </w:hyperlink>
          </w:p>
        </w:tc>
        <w:tc>
          <w:tcPr>
            <w:tcW w:w="19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50"/>
        </w:trPr>
        <w:tc>
          <w:tcPr>
            <w:tcW w:w="1160" w:type="dxa"/>
            <w:vAlign w:val="bottom"/>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5360" w:type="dxa"/>
            <w:vAlign w:val="bottom"/>
            <w:gridSpan w:val="7"/>
          </w:tcPr>
          <w:p>
            <w:pPr>
              <w:ind w:left="126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have audited the accompanying consolidated statements of financial position of GasLog Partners LP and subsidiaries (the "Partnership") as of December 31, 2017 and 2018, the related consolidated statements of profit or loss, comprehensive income or loss, changes in owners'/partners' equity and cash flows, for each of the three years in the period ended December 31, 2018, and the related notes (collectively referred to as the "financial statements"). In our opinion, the financial statements present fairly, in all material respects, the financial position of the Partnership as of December 31, 2017 and 2018, and the results of its operations and its cash flows for each of the three years in the period ended December 31, 2018, in conformity with International Financial Reporting Standards as issued by the International Accounting Standards Board.</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Partnership's internal control over financial reporting as of December 31, 2018, based on criteria established in Internal Control—Integrated Framework (2013) issued by the Committee of Sponsoring Organizations of the Treadway Commission and our report dated February 26, 2019 expressed an unqualified opinion on the Partnership's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260" w:firstLine="348"/>
        <w:spacing w:after="0" w:line="335" w:lineRule="auto"/>
        <w:rPr>
          <w:sz w:val="20"/>
          <w:szCs w:val="20"/>
          <w:color w:val="auto"/>
        </w:rPr>
      </w:pPr>
      <w:r>
        <w:rPr>
          <w:rFonts w:ascii="Arial" w:cs="Arial" w:eastAsia="Arial" w:hAnsi="Arial"/>
          <w:sz w:val="15"/>
          <w:szCs w:val="15"/>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4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January 1, 2017, December 31, 2017 and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January 1,</w:t>
            </w: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December 31,</w:t>
            </w:r>
          </w:p>
        </w:tc>
      </w:tr>
      <w:tr>
        <w:trPr>
          <w:trHeight w:val="161"/>
        </w:trPr>
        <w:tc>
          <w:tcPr>
            <w:tcW w:w="2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b w:val="1"/>
                <w:bCs w:val="1"/>
                <w:color w:val="auto"/>
                <w:w w:val="89"/>
              </w:rPr>
              <w:t>Note</w:t>
            </w:r>
          </w:p>
        </w:tc>
        <w:tc>
          <w:tcPr>
            <w:tcW w:w="82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auto"/>
                <w:w w:val="96"/>
              </w:rPr>
              <w:t>2017</w:t>
            </w:r>
          </w:p>
        </w:tc>
        <w:tc>
          <w:tcPr>
            <w:tcW w:w="104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w w:val="96"/>
              </w:rPr>
              <w:t>2017</w:t>
            </w:r>
          </w:p>
        </w:tc>
        <w:tc>
          <w:tcPr>
            <w:tcW w:w="10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80" w:type="dxa"/>
            <w:vAlign w:val="bottom"/>
          </w:tcPr>
          <w:p>
            <w:pPr>
              <w:spacing w:after="0"/>
              <w:rPr>
                <w:sz w:val="14"/>
                <w:szCs w:val="14"/>
                <w:color w:val="auto"/>
              </w:rPr>
            </w:pPr>
          </w:p>
        </w:tc>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Non-current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6,008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6,038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5,116</w:t>
            </w: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Vessels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2,439,092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2,363,668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2,315,823</w:t>
            </w:r>
          </w:p>
        </w:tc>
        <w:tc>
          <w:tcPr>
            <w:tcW w:w="160" w:type="dxa"/>
            <w:vAlign w:val="bottom"/>
            <w:shd w:val="clear" w:color="auto" w:fill="CCEEFF"/>
          </w:tcPr>
          <w:p>
            <w:pPr>
              <w:spacing w:after="0"/>
              <w:rPr>
                <w:sz w:val="12"/>
                <w:szCs w:val="12"/>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non-current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2,446,028</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2,369,706</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2,321,789</w:t>
            </w:r>
          </w:p>
        </w:tc>
        <w:tc>
          <w:tcPr>
            <w:tcW w:w="160" w:type="dxa"/>
            <w:vAlign w:val="bottom"/>
          </w:tcPr>
          <w:p>
            <w:pPr>
              <w:spacing w:after="0"/>
              <w:rPr>
                <w:sz w:val="12"/>
                <w:szCs w:val="12"/>
                <w:color w:val="auto"/>
              </w:rPr>
            </w:pPr>
          </w:p>
        </w:tc>
      </w:tr>
      <w:tr>
        <w:trPr>
          <w:trHeight w:val="142"/>
        </w:trPr>
        <w:tc>
          <w:tcPr>
            <w:tcW w:w="5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Current assets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Trade and other receivables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5,259</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3,765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13,484</w:t>
            </w: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3,169</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Due from related parties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15,470</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5,281</w:t>
            </w:r>
          </w:p>
        </w:tc>
        <w:tc>
          <w:tcPr>
            <w:tcW w:w="160" w:type="dxa"/>
            <w:vAlign w:val="bottom"/>
          </w:tcPr>
          <w:p>
            <w:pPr>
              <w:spacing w:after="0"/>
              <w:rPr>
                <w:sz w:val="12"/>
                <w:szCs w:val="12"/>
                <w:color w:val="auto"/>
              </w:rPr>
            </w:pPr>
          </w:p>
        </w:tc>
      </w:tr>
      <w:tr>
        <w:trPr>
          <w:trHeight w:val="149"/>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Prepayments and other current assets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1,175</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577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4,615</w:t>
            </w: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64,173</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149,455</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129,125</w:t>
            </w:r>
          </w:p>
        </w:tc>
        <w:tc>
          <w:tcPr>
            <w:tcW w:w="160" w:type="dxa"/>
            <w:vAlign w:val="bottom"/>
          </w:tcPr>
          <w:p>
            <w:pPr>
              <w:spacing w:after="0"/>
              <w:rPr>
                <w:sz w:val="12"/>
                <w:szCs w:val="12"/>
                <w:color w:val="auto"/>
              </w:rPr>
            </w:pPr>
          </w:p>
        </w:tc>
      </w:tr>
      <w:tr>
        <w:trPr>
          <w:trHeight w:val="142"/>
        </w:trPr>
        <w:tc>
          <w:tcPr>
            <w:tcW w:w="5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current assets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97,517</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158,557</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166,849</w:t>
            </w:r>
          </w:p>
        </w:tc>
        <w:tc>
          <w:tcPr>
            <w:tcW w:w="160" w:type="dxa"/>
            <w:vAlign w:val="bottom"/>
            <w:shd w:val="clear" w:color="auto" w:fill="CCEEFF"/>
          </w:tcPr>
          <w:p>
            <w:pPr>
              <w:spacing w:after="0"/>
              <w:rPr>
                <w:sz w:val="12"/>
                <w:szCs w:val="12"/>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2,543,545</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2,528,263</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2,488,638</w:t>
            </w:r>
          </w:p>
        </w:tc>
        <w:tc>
          <w:tcPr>
            <w:tcW w:w="160" w:type="dxa"/>
            <w:vAlign w:val="bottom"/>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59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Owners'/partners' equity and liabilities</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Owners'/partners' equity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 capital</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277,311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155,554</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color w:val="auto"/>
                <w:w w:val="99"/>
              </w:rPr>
              <w:t>Common unitholders (24,572,358 units issued and outstanding as of January 1, 2017, 41,002,121 units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5900" w:type="dxa"/>
            <w:vAlign w:val="bottom"/>
            <w:gridSpan w:val="2"/>
          </w:tcPr>
          <w:p>
            <w:pPr>
              <w:ind w:left="140"/>
              <w:spacing w:after="0"/>
              <w:rPr>
                <w:sz w:val="20"/>
                <w:szCs w:val="20"/>
                <w:color w:val="auto"/>
              </w:rPr>
            </w:pPr>
            <w:r>
              <w:rPr>
                <w:rFonts w:ascii="Arial" w:cs="Arial" w:eastAsia="Arial" w:hAnsi="Arial"/>
                <w:sz w:val="13"/>
                <w:szCs w:val="13"/>
                <w:color w:val="auto"/>
                <w:w w:val="99"/>
              </w:rPr>
              <w:t>issued and outstanding as of December 31, 2017 and 45,448,993 units issued and outstanding as of</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December 31, 2018)</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565,408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752,456</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812,863</w:t>
            </w:r>
          </w:p>
        </w:tc>
        <w:tc>
          <w:tcPr>
            <w:tcW w:w="160" w:type="dxa"/>
            <w:vAlign w:val="bottom"/>
          </w:tcPr>
          <w:p>
            <w:pPr>
              <w:spacing w:after="0"/>
              <w:rPr>
                <w:sz w:val="13"/>
                <w:szCs w:val="13"/>
                <w:color w:val="auto"/>
              </w:rPr>
            </w:pPr>
          </w:p>
        </w:tc>
      </w:tr>
      <w:tr>
        <w:trPr>
          <w:trHeight w:val="138"/>
        </w:trPr>
        <w:tc>
          <w:tcPr>
            <w:tcW w:w="5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8"/>
              </w:rPr>
              <w:t>Subordinated unitholders (9,822,358 units issued and outstanding as of January 1, 2017, nil units issued</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and outstanding as of December 31, 2017 and December 31, 2018)</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60,988</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color w:val="auto"/>
                <w:w w:val="98"/>
              </w:rPr>
              <w:t>General partner (701,933 units issued and outstanding as of January 1, 2017, 836,779 units issued and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5900" w:type="dxa"/>
            <w:vAlign w:val="bottom"/>
            <w:gridSpan w:val="2"/>
          </w:tcPr>
          <w:p>
            <w:pPr>
              <w:ind w:left="140"/>
              <w:spacing w:after="0"/>
              <w:rPr>
                <w:sz w:val="20"/>
                <w:szCs w:val="20"/>
                <w:color w:val="auto"/>
              </w:rPr>
            </w:pPr>
            <w:r>
              <w:rPr>
                <w:rFonts w:ascii="Arial" w:cs="Arial" w:eastAsia="Arial" w:hAnsi="Arial"/>
                <w:sz w:val="13"/>
                <w:szCs w:val="13"/>
                <w:color w:val="auto"/>
                <w:w w:val="99"/>
              </w:rPr>
              <w:t>outstanding as of December 31, 2017 and 927,532 units issued and outstanding as of December 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440" w:type="dxa"/>
            <w:vAlign w:val="bottom"/>
          </w:tcPr>
          <w:p>
            <w:pPr>
              <w:ind w:left="140"/>
              <w:spacing w:after="0"/>
              <w:rPr>
                <w:sz w:val="20"/>
                <w:szCs w:val="20"/>
                <w:color w:val="auto"/>
              </w:rPr>
            </w:pPr>
            <w:r>
              <w:rPr>
                <w:rFonts w:ascii="Arial" w:cs="Arial" w:eastAsia="Arial" w:hAnsi="Arial"/>
                <w:sz w:val="13"/>
                <w:szCs w:val="13"/>
                <w:color w:val="auto"/>
              </w:rPr>
              <w:t>2018)</w:t>
            </w:r>
          </w:p>
        </w:tc>
        <w:tc>
          <w:tcPr>
            <w:tcW w:w="346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10,095</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11,781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13,289</w:t>
            </w:r>
          </w:p>
        </w:tc>
        <w:tc>
          <w:tcPr>
            <w:tcW w:w="160" w:type="dxa"/>
            <w:vAlign w:val="bottom"/>
          </w:tcPr>
          <w:p>
            <w:pPr>
              <w:spacing w:after="0"/>
              <w:rPr>
                <w:sz w:val="13"/>
                <w:szCs w:val="13"/>
                <w:color w:val="auto"/>
              </w:rPr>
            </w:pPr>
          </w:p>
        </w:tc>
      </w:tr>
      <w:tr>
        <w:trPr>
          <w:trHeight w:val="149"/>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Incentive distribution rights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5,176</w:t>
            </w:r>
          </w:p>
        </w:tc>
        <w:tc>
          <w:tcPr>
            <w:tcW w:w="160" w:type="dxa"/>
            <w:vAlign w:val="bottom"/>
            <w:shd w:val="clear" w:color="auto" w:fill="CCEEFF"/>
          </w:tcPr>
          <w:p>
            <w:pPr>
              <w:spacing w:after="0"/>
              <w:rPr>
                <w:sz w:val="12"/>
                <w:szCs w:val="12"/>
                <w:color w:val="auto"/>
              </w:rPr>
            </w:pPr>
          </w:p>
        </w:tc>
      </w:tr>
      <w:tr>
        <w:trPr>
          <w:trHeight w:val="138"/>
        </w:trPr>
        <w:tc>
          <w:tcPr>
            <w:tcW w:w="5900" w:type="dxa"/>
            <w:vAlign w:val="bottom"/>
            <w:gridSpan w:val="2"/>
          </w:tcPr>
          <w:p>
            <w:pPr>
              <w:spacing w:after="0" w:line="138" w:lineRule="exact"/>
              <w:rPr>
                <w:sz w:val="20"/>
                <w:szCs w:val="20"/>
                <w:color w:val="auto"/>
              </w:rPr>
            </w:pPr>
            <w:r>
              <w:rPr>
                <w:rFonts w:ascii="Arial" w:cs="Arial" w:eastAsia="Arial" w:hAnsi="Arial"/>
                <w:sz w:val="13"/>
                <w:szCs w:val="13"/>
                <w:color w:val="auto"/>
              </w:rPr>
              <w:t>Preference unitholders (nil units issued and outstanding as of January 1, 2017, 5,750,000 Series A</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5900" w:type="dxa"/>
            <w:vAlign w:val="bottom"/>
            <w:gridSpan w:val="2"/>
          </w:tcPr>
          <w:p>
            <w:pPr>
              <w:ind w:left="140"/>
              <w:spacing w:after="0"/>
              <w:rPr>
                <w:sz w:val="20"/>
                <w:szCs w:val="20"/>
                <w:color w:val="auto"/>
              </w:rPr>
            </w:pPr>
            <w:r>
              <w:rPr>
                <w:rFonts w:ascii="Arial" w:cs="Arial" w:eastAsia="Arial" w:hAnsi="Arial"/>
                <w:sz w:val="13"/>
                <w:szCs w:val="13"/>
                <w:color w:val="auto"/>
                <w:w w:val="97"/>
              </w:rPr>
              <w:t>Preference Units issued and outstanding as of December 31, 2017 and 5,750,000 Series A Preference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Units, 4,600,000 Series B Preference Units and 4,000,000 Series C Preference Units issued 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outstanding as of December 31, 2018)</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139,321</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348,331</w:t>
            </w:r>
          </w:p>
        </w:tc>
        <w:tc>
          <w:tcPr>
            <w:tcW w:w="160" w:type="dxa"/>
            <w:vAlign w:val="bottom"/>
          </w:tcPr>
          <w:p>
            <w:pPr>
              <w:spacing w:after="0"/>
              <w:rPr>
                <w:sz w:val="13"/>
                <w:szCs w:val="13"/>
                <w:color w:val="auto"/>
              </w:rPr>
            </w:pPr>
          </w:p>
        </w:tc>
      </w:tr>
      <w:tr>
        <w:trPr>
          <w:trHeight w:val="142"/>
        </w:trPr>
        <w:tc>
          <w:tcPr>
            <w:tcW w:w="5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owners'/partners' equity</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919,680</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1,065,708</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1,179,659</w:t>
            </w:r>
          </w:p>
        </w:tc>
        <w:tc>
          <w:tcPr>
            <w:tcW w:w="160" w:type="dxa"/>
            <w:vAlign w:val="bottom"/>
            <w:shd w:val="clear" w:color="auto" w:fill="CCEEFF"/>
          </w:tcPr>
          <w:p>
            <w:pPr>
              <w:spacing w:after="0"/>
              <w:rPr>
                <w:sz w:val="12"/>
                <w:szCs w:val="12"/>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 accounts payable</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7,490</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Due to related parties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5,930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9,892</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2,022</w:t>
            </w: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160" w:type="dxa"/>
            <w:vAlign w:val="bottom"/>
            <w:shd w:val="clear" w:color="auto" w:fill="CCEEFF"/>
          </w:tcPr>
          <w:p>
            <w:pPr>
              <w:spacing w:after="0"/>
              <w:rPr>
                <w:sz w:val="12"/>
                <w:szCs w:val="12"/>
                <w:color w:val="auto"/>
              </w:rPr>
            </w:pPr>
          </w:p>
        </w:tc>
      </w:tr>
      <w:tr>
        <w:trPr>
          <w:trHeight w:val="149"/>
        </w:trPr>
        <w:tc>
          <w:tcPr>
            <w:tcW w:w="5900" w:type="dxa"/>
            <w:vAlign w:val="bottom"/>
            <w:gridSpan w:val="2"/>
          </w:tcPr>
          <w:p>
            <w:pPr>
              <w:spacing w:after="0"/>
              <w:rPr>
                <w:sz w:val="20"/>
                <w:szCs w:val="20"/>
                <w:color w:val="auto"/>
              </w:rPr>
            </w:pPr>
            <w:r>
              <w:rPr>
                <w:rFonts w:ascii="Arial" w:cs="Arial" w:eastAsia="Arial" w:hAnsi="Arial"/>
                <w:sz w:val="13"/>
                <w:szCs w:val="13"/>
                <w:color w:val="auto"/>
              </w:rPr>
              <w:t>Other payables and accruals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48,698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46,891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57,774</w:t>
            </w:r>
          </w:p>
        </w:tc>
        <w:tc>
          <w:tcPr>
            <w:tcW w:w="160" w:type="dxa"/>
            <w:vAlign w:val="bottom"/>
          </w:tcPr>
          <w:p>
            <w:pPr>
              <w:spacing w:after="0"/>
              <w:rPr>
                <w:sz w:val="12"/>
                <w:szCs w:val="12"/>
                <w:color w:val="auto"/>
              </w:rPr>
            </w:pPr>
          </w:p>
        </w:tc>
      </w:tr>
      <w:tr>
        <w:trPr>
          <w:trHeight w:val="14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Borrowings—current portion</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89,422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121,197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429,437</w:t>
            </w:r>
          </w:p>
        </w:tc>
        <w:tc>
          <w:tcPr>
            <w:tcW w:w="160" w:type="dxa"/>
            <w:vAlign w:val="bottom"/>
            <w:shd w:val="clear" w:color="auto" w:fill="CCEEFF"/>
          </w:tcPr>
          <w:p>
            <w:pPr>
              <w:spacing w:after="0"/>
              <w:rPr>
                <w:sz w:val="12"/>
                <w:szCs w:val="12"/>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149,173</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183,374</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497,976</w:t>
            </w:r>
          </w:p>
        </w:tc>
        <w:tc>
          <w:tcPr>
            <w:tcW w:w="160" w:type="dxa"/>
            <w:vAlign w:val="bottom"/>
          </w:tcPr>
          <w:p>
            <w:pPr>
              <w:spacing w:after="0"/>
              <w:rPr>
                <w:sz w:val="12"/>
                <w:szCs w:val="12"/>
                <w:color w:val="auto"/>
              </w:rPr>
            </w:pPr>
          </w:p>
        </w:tc>
      </w:tr>
      <w:tr>
        <w:trPr>
          <w:trHeight w:val="142"/>
        </w:trPr>
        <w:tc>
          <w:tcPr>
            <w:tcW w:w="5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Non-current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Derivative financial instruments</w:t>
            </w: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3,543</w:t>
            </w:r>
          </w:p>
        </w:tc>
        <w:tc>
          <w:tcPr>
            <w:tcW w:w="160" w:type="dxa"/>
            <w:vAlign w:val="bottom"/>
          </w:tcPr>
          <w:p>
            <w:pPr>
              <w:spacing w:after="0"/>
              <w:rPr>
                <w:sz w:val="12"/>
                <w:szCs w:val="12"/>
                <w:color w:val="auto"/>
              </w:rPr>
            </w:pPr>
          </w:p>
        </w:tc>
      </w:tr>
      <w:tr>
        <w:trPr>
          <w:trHeight w:val="149"/>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Borrowings—non-current portion</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1,474,510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1,278,931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805,560</w:t>
            </w:r>
          </w:p>
        </w:tc>
        <w:tc>
          <w:tcPr>
            <w:tcW w:w="160" w:type="dxa"/>
            <w:vAlign w:val="bottom"/>
            <w:shd w:val="clear" w:color="auto" w:fill="CCEEFF"/>
          </w:tcPr>
          <w:p>
            <w:pPr>
              <w:spacing w:after="0"/>
              <w:rPr>
                <w:sz w:val="12"/>
                <w:szCs w:val="12"/>
                <w:color w:val="auto"/>
              </w:rPr>
            </w:pPr>
          </w:p>
        </w:tc>
      </w:tr>
      <w:tr>
        <w:trPr>
          <w:trHeight w:val="148"/>
        </w:trPr>
        <w:tc>
          <w:tcPr>
            <w:tcW w:w="5900" w:type="dxa"/>
            <w:vAlign w:val="bottom"/>
            <w:gridSpan w:val="2"/>
          </w:tcPr>
          <w:p>
            <w:pPr>
              <w:spacing w:after="0"/>
              <w:rPr>
                <w:sz w:val="20"/>
                <w:szCs w:val="20"/>
                <w:color w:val="auto"/>
              </w:rPr>
            </w:pPr>
            <w:r>
              <w:rPr>
                <w:rFonts w:ascii="Arial" w:cs="Arial" w:eastAsia="Arial" w:hAnsi="Arial"/>
                <w:sz w:val="13"/>
                <w:szCs w:val="13"/>
                <w:color w:val="auto"/>
              </w:rPr>
              <w:t>Other 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w:t>
            </w:r>
          </w:p>
        </w:tc>
        <w:tc>
          <w:tcPr>
            <w:tcW w:w="160" w:type="dxa"/>
            <w:vAlign w:val="bottom"/>
          </w:tcPr>
          <w:p>
            <w:pPr>
              <w:spacing w:after="0"/>
              <w:rPr>
                <w:sz w:val="12"/>
                <w:szCs w:val="12"/>
                <w:color w:val="auto"/>
              </w:rPr>
            </w:pPr>
          </w:p>
        </w:tc>
      </w:tr>
      <w:tr>
        <w:trPr>
          <w:trHeight w:val="142"/>
        </w:trPr>
        <w:tc>
          <w:tcPr>
            <w:tcW w:w="5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non-current liabilities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1,474,692</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1,279,181</w:t>
            </w:r>
          </w:p>
        </w:tc>
        <w:tc>
          <w:tcPr>
            <w:tcW w:w="11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b w:val="1"/>
                <w:bCs w:val="1"/>
                <w:color w:val="auto"/>
              </w:rPr>
              <w:t>811,003</w:t>
            </w: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owners'/partners' equity and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2,543,545</w:t>
            </w: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2,528,263</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2,488,638</w:t>
            </w:r>
          </w:p>
        </w:tc>
        <w:tc>
          <w:tcPr>
            <w:tcW w:w="160" w:type="dxa"/>
            <w:vAlign w:val="bottom"/>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28"/>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and GAS-twenty seven Ltd. acquired on April 26, 2018 and November 14, 2018, respectively, from GasLog Ltd. ("GasLog") (Note 1).</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b w:val="1"/>
                <w:bCs w:val="1"/>
                <w:color w:val="auto"/>
              </w:rPr>
              <w:t>Note</w:t>
            </w:r>
          </w:p>
        </w:tc>
        <w:tc>
          <w:tcPr>
            <w:tcW w:w="88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i w:val="1"/>
                <w:iCs w:val="1"/>
                <w:color w:val="auto"/>
                <w:w w:val="94"/>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6"/>
              </w:rPr>
              <w:t>(restated)</w:t>
            </w:r>
            <w:r>
              <w:rPr>
                <w:rFonts w:ascii="Arial" w:cs="Arial" w:eastAsia="Arial" w:hAnsi="Arial"/>
                <w:sz w:val="19"/>
                <w:szCs w:val="19"/>
                <w:b w:val="1"/>
                <w:bCs w:val="1"/>
                <w:i w:val="1"/>
                <w:iCs w:val="1"/>
                <w:color w:val="auto"/>
                <w:w w:val="96"/>
                <w:vertAlign w:val="superscript"/>
              </w:rPr>
              <w:t>(1)</w:t>
            </w: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317,489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371,146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352,541</w:t>
            </w:r>
          </w:p>
        </w:tc>
        <w:tc>
          <w:tcPr>
            <w:tcW w:w="16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pool allocation</w:t>
            </w: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8,13</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(7,122)</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(63,076)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(71,369)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(68,725)</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(70,290)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(81,590)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(13,206)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(19,369)</w:t>
            </w:r>
          </w:p>
        </w:tc>
      </w:tr>
      <w:tr>
        <w:trPr>
          <w:trHeight w:val="209"/>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166,584</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198,727</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179,435</w:t>
            </w:r>
          </w:p>
        </w:tc>
        <w:tc>
          <w:tcPr>
            <w:tcW w:w="160" w:type="dxa"/>
            <w:vAlign w:val="bottom"/>
            <w:shd w:val="clear" w:color="auto" w:fill="CCEEFF"/>
          </w:tcPr>
          <w:p>
            <w:pPr>
              <w:spacing w:after="0"/>
              <w:rPr>
                <w:sz w:val="18"/>
                <w:szCs w:val="18"/>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(60,247)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(66,287)</w:t>
            </w:r>
          </w:p>
        </w:tc>
        <w:tc>
          <w:tcPr>
            <w:tcW w:w="16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6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(Loss)/gain on derivatives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17</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
        </w:trPr>
        <w:tc>
          <w:tcPr>
            <w:tcW w:w="2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(66,875)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(63,982)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(63,922)</w:t>
            </w: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Profit for the year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99,709</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134,745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115,513</w:t>
            </w:r>
          </w:p>
        </w:tc>
        <w:tc>
          <w:tcPr>
            <w:tcW w:w="16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per unit attributable to the Partnership, basic and diluted:</w:t>
            </w:r>
          </w:p>
        </w:tc>
        <w:tc>
          <w:tcPr>
            <w:tcW w:w="3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Common unit (basic)</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Subordinated unit</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r>
      <w:tr>
        <w:trPr>
          <w:trHeight w:val="108"/>
        </w:trPr>
        <w:tc>
          <w:tcPr>
            <w:tcW w:w="244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29"/>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and GAS-twenty seven Ltd. acquired on April 26, 2018 and November 14, 2018, respectively, from GasLog (Note 1).</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b w:val="1"/>
                <w:bCs w:val="1"/>
                <w:color w:val="auto"/>
              </w:rPr>
              <w:t>Note</w:t>
            </w:r>
          </w:p>
        </w:tc>
        <w:tc>
          <w:tcPr>
            <w:tcW w:w="88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2016</w:t>
            </w:r>
          </w:p>
        </w:tc>
        <w:tc>
          <w:tcPr>
            <w:tcW w:w="900" w:type="dxa"/>
            <w:vAlign w:val="bottom"/>
            <w:gridSpan w:val="2"/>
          </w:tcPr>
          <w:p>
            <w:pPr>
              <w:jc w:val="right"/>
              <w:ind w:right="159"/>
              <w:spacing w:after="0"/>
              <w:rPr>
                <w:sz w:val="20"/>
                <w:szCs w:val="20"/>
                <w:color w:val="auto"/>
              </w:rPr>
            </w:pPr>
            <w:r>
              <w:rPr>
                <w:rFonts w:ascii="Arial" w:cs="Arial" w:eastAsia="Arial" w:hAnsi="Arial"/>
                <w:sz w:val="13"/>
                <w:szCs w:val="13"/>
                <w:b w:val="1"/>
                <w:bCs w:val="1"/>
                <w:color w:val="auto"/>
              </w:rPr>
              <w:t>2017</w:t>
            </w:r>
          </w:p>
        </w:tc>
        <w:tc>
          <w:tcPr>
            <w:tcW w:w="860" w:type="dxa"/>
            <w:vAlign w:val="bottom"/>
            <w:gridSpan w:val="2"/>
          </w:tcPr>
          <w:p>
            <w:pPr>
              <w:jc w:val="right"/>
              <w:ind w:right="132"/>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134,745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115,513</w:t>
            </w:r>
          </w:p>
        </w:tc>
        <w:tc>
          <w:tcPr>
            <w:tcW w:w="1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year</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102,236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134,745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115,513</w:t>
            </w:r>
          </w:p>
        </w:tc>
        <w:tc>
          <w:tcPr>
            <w:tcW w:w="16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3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30"/>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and GAS-twenty seven Ltd. acquired on April 26, 2018 and November 14, 2018, respectively, from GasLog (Note 1).</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62" w:name="page163"/>
    <w:bookmarkEnd w:id="162"/>
    <w:p>
      <w:pPr>
        <w:spacing w:after="0" w:line="10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owners'/partners'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0" w:lineRule="exact"/>
        <w:rPr>
          <w:sz w:val="20"/>
          <w:szCs w:val="20"/>
          <w:color w:val="auto"/>
        </w:rPr>
      </w:pP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Common</w:t>
            </w:r>
          </w:p>
        </w:tc>
        <w:tc>
          <w:tcPr>
            <w:tcW w:w="13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Subordinated</w:t>
            </w:r>
          </w:p>
        </w:tc>
        <w:tc>
          <w:tcPr>
            <w:tcW w:w="20" w:type="dxa"/>
            <w:vAlign w:val="bottom"/>
          </w:tcPr>
          <w:p>
            <w:pPr>
              <w:spacing w:after="0"/>
              <w:rPr>
                <w:sz w:val="13"/>
                <w:szCs w:val="13"/>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Incentive</w:t>
            </w:r>
          </w:p>
        </w:tc>
        <w:tc>
          <w:tcPr>
            <w:tcW w:w="13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Preference</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Owners'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160" w:type="dxa"/>
            <w:vAlign w:val="bottom"/>
            <w:gridSpan w:val="4"/>
            <w:vMerge w:val="restart"/>
          </w:tcPr>
          <w:p>
            <w:pPr>
              <w:jc w:val="right"/>
              <w:ind w:right="160"/>
              <w:spacing w:after="0"/>
              <w:rPr>
                <w:sz w:val="20"/>
                <w:szCs w:val="20"/>
                <w:color w:val="auto"/>
              </w:rPr>
            </w:pPr>
            <w:r>
              <w:rPr>
                <w:rFonts w:ascii="Arial" w:cs="Arial" w:eastAsia="Arial" w:hAnsi="Arial"/>
                <w:sz w:val="13"/>
                <w:szCs w:val="13"/>
                <w:b w:val="1"/>
                <w:bCs w:val="1"/>
                <w:color w:val="auto"/>
              </w:rPr>
              <w:t>General partner</w:t>
            </w:r>
          </w:p>
        </w:tc>
        <w:tc>
          <w:tcPr>
            <w:tcW w:w="1340" w:type="dxa"/>
            <w:vAlign w:val="bottom"/>
            <w:gridSpan w:val="4"/>
            <w:vMerge w:val="restart"/>
          </w:tcPr>
          <w:p>
            <w:pPr>
              <w:jc w:val="right"/>
              <w:ind w:right="380"/>
              <w:spacing w:after="0"/>
              <w:rPr>
                <w:sz w:val="20"/>
                <w:szCs w:val="20"/>
                <w:color w:val="auto"/>
              </w:rPr>
            </w:pPr>
            <w:r>
              <w:rPr>
                <w:rFonts w:ascii="Arial" w:cs="Arial" w:eastAsia="Arial" w:hAnsi="Arial"/>
                <w:sz w:val="13"/>
                <w:szCs w:val="13"/>
                <w:b w:val="1"/>
                <w:bCs w:val="1"/>
                <w:color w:val="auto"/>
              </w:rPr>
              <w:t>unitholders</w:t>
            </w:r>
          </w:p>
        </w:tc>
        <w:tc>
          <w:tcPr>
            <w:tcW w:w="1300" w:type="dxa"/>
            <w:vAlign w:val="bottom"/>
            <w:gridSpan w:val="5"/>
            <w:vMerge w:val="restart"/>
          </w:tcPr>
          <w:p>
            <w:pPr>
              <w:jc w:val="right"/>
              <w:ind w:right="360"/>
              <w:spacing w:after="0"/>
              <w:rPr>
                <w:sz w:val="20"/>
                <w:szCs w:val="20"/>
                <w:color w:val="auto"/>
              </w:rPr>
            </w:pPr>
            <w:r>
              <w:rPr>
                <w:rFonts w:ascii="Arial" w:cs="Arial" w:eastAsia="Arial" w:hAnsi="Arial"/>
                <w:sz w:val="13"/>
                <w:szCs w:val="13"/>
                <w:b w:val="1"/>
                <w:bCs w:val="1"/>
                <w:color w:val="auto"/>
              </w:rPr>
              <w:t>unitholders</w:t>
            </w:r>
          </w:p>
        </w:tc>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34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unitholders</w:t>
            </w: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distribution</w:t>
            </w:r>
          </w:p>
        </w:tc>
        <w:tc>
          <w:tcPr>
            <w:tcW w:w="1340" w:type="dxa"/>
            <w:vAlign w:val="bottom"/>
            <w:gridSpan w:val="4"/>
            <w:vMerge w:val="continue"/>
          </w:tcPr>
          <w:p>
            <w:pPr>
              <w:spacing w:after="0"/>
              <w:rPr>
                <w:sz w:val="5"/>
                <w:szCs w:val="5"/>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Partners'</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4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3"/>
                <w:szCs w:val="13"/>
                <w:b w:val="1"/>
                <w:bCs w:val="1"/>
                <w:color w:val="auto"/>
              </w:rPr>
              <w:t>Units</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Amounts</w:t>
            </w:r>
          </w:p>
        </w:tc>
        <w:tc>
          <w:tcPr>
            <w:tcW w:w="660" w:type="dxa"/>
            <w:vAlign w:val="bottom"/>
          </w:tcPr>
          <w:p>
            <w:pPr>
              <w:jc w:val="right"/>
              <w:ind w:right="113"/>
              <w:spacing w:after="0"/>
              <w:rPr>
                <w:sz w:val="20"/>
                <w:szCs w:val="20"/>
                <w:color w:val="auto"/>
              </w:rPr>
            </w:pPr>
            <w:r>
              <w:rPr>
                <w:rFonts w:ascii="Arial" w:cs="Arial" w:eastAsia="Arial" w:hAnsi="Arial"/>
                <w:sz w:val="13"/>
                <w:szCs w:val="13"/>
                <w:b w:val="1"/>
                <w:bCs w:val="1"/>
                <w:color w:val="auto"/>
              </w:rPr>
              <w:t>Units</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Amounts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Units</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Amounts</w:t>
            </w:r>
          </w:p>
        </w:tc>
        <w:tc>
          <w:tcPr>
            <w:tcW w:w="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rights</w:t>
            </w:r>
          </w:p>
        </w:tc>
        <w:tc>
          <w:tcPr>
            <w:tcW w:w="640" w:type="dxa"/>
            <w:vAlign w:val="bottom"/>
          </w:tcPr>
          <w:p>
            <w:pPr>
              <w:jc w:val="right"/>
              <w:ind w:right="113"/>
              <w:spacing w:after="0"/>
              <w:rPr>
                <w:sz w:val="20"/>
                <w:szCs w:val="20"/>
                <w:color w:val="auto"/>
              </w:rPr>
            </w:pPr>
            <w:r>
              <w:rPr>
                <w:rFonts w:ascii="Arial" w:cs="Arial" w:eastAsia="Arial" w:hAnsi="Arial"/>
                <w:sz w:val="13"/>
                <w:szCs w:val="13"/>
                <w:b w:val="1"/>
                <w:bCs w:val="1"/>
                <w:color w:val="auto"/>
              </w:rPr>
              <w:t>Units</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Amounts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equity</w:t>
            </w: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(Note 5)</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b w:val="1"/>
                <w:bCs w:val="1"/>
                <w:color w:val="auto"/>
              </w:rPr>
              <w:t>January 1, 2016 (as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ind w:left="100"/>
              <w:spacing w:after="0" w:line="193" w:lineRule="exact"/>
              <w:rPr>
                <w:sz w:val="20"/>
                <w:szCs w:val="20"/>
                <w:color w:val="auto"/>
              </w:rPr>
            </w:pPr>
            <w:r>
              <w:rPr>
                <w:rFonts w:ascii="Arial" w:cs="Arial" w:eastAsia="Arial" w:hAnsi="Arial"/>
                <w:sz w:val="13"/>
                <w:szCs w:val="13"/>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645,811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8,842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21,822,358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507,433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9,822,358</w:t>
            </w: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59,786</w:t>
            </w: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578,178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199,154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777,332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3"/>
                <w:szCs w:val="13"/>
                <w:color w:val="auto"/>
              </w:rPr>
              <w:t>Capital contributions</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120,097</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120,097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Profit attributable to</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GasLog's operations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Other comprehensive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income attributable to</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GasLog's operations</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2,527</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2,527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comprehensive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income attributable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 GasLog's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operations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24,966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24,966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Cash distribution to</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GasLog in exchange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for net assets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contribution to the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Partnership</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(68,142)</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(68,142)</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Difference between net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 value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acquired subsidiary</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9"/>
              </w:rPr>
              <w:t>and consideration paid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(81)</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(1,136)</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(1,236)</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Net proceeds from</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public offerings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common units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issuances of general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partner units (Note 5)</w:t>
            </w:r>
          </w:p>
        </w:tc>
        <w:tc>
          <w:tcPr>
            <w:tcW w:w="480" w:type="dxa"/>
            <w:vAlign w:val="bottom"/>
          </w:tcPr>
          <w:p>
            <w:pPr>
              <w:jc w:val="right"/>
              <w:spacing w:after="0"/>
              <w:rPr>
                <w:sz w:val="20"/>
                <w:szCs w:val="20"/>
                <w:color w:val="auto"/>
              </w:rPr>
            </w:pPr>
            <w:r>
              <w:rPr>
                <w:rFonts w:ascii="Arial" w:cs="Arial" w:eastAsia="Arial" w:hAnsi="Arial"/>
                <w:sz w:val="13"/>
                <w:szCs w:val="13"/>
                <w:color w:val="auto"/>
              </w:rPr>
              <w:t>56,122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1,094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2,750,000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52,299</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53,393</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53,393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Distributions declared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5)</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(1,312)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(44,353)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(18,780)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(1,132)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(65,577)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(65,577)</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Share-based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compensation, net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accrued dividend</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Partnership's profit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49,886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21,049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77,270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77,270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Partnership's total</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comprehensive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income</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1,545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49,886</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21,049</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4,790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77,270</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77,270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b w:val="1"/>
                <w:bCs w:val="1"/>
                <w:color w:val="auto"/>
              </w:rPr>
              <w:t>December 31, 2016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ind w:left="100"/>
              <w:spacing w:after="0" w:line="193"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22"/>
                <w:szCs w:val="22"/>
                <w:b w:val="1"/>
                <w:bCs w:val="1"/>
                <w:color w:val="auto"/>
                <w:vertAlign w:val="superscript"/>
              </w:rPr>
              <w:t>(1)</w:t>
            </w:r>
            <w:r>
              <w:rPr>
                <w:rFonts w:ascii="Arial" w:cs="Arial" w:eastAsia="Arial" w:hAnsi="Arial"/>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701,933</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10,095</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24,572,358</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565,408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9,822,358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60,988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5,878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642,369</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277,311</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919,680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3"/>
                <w:szCs w:val="13"/>
                <w:color w:val="auto"/>
              </w:rPr>
              <w:t>Capital contributions</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20" w:type="dxa"/>
            <w:vAlign w:val="bottom"/>
            <w:vMerge w:val="continue"/>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12,000</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Profit and total</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comprehensive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attributable to</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GasLog's operations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40,628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40,628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Net proceeds from</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public offerings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common units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issuances of general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partner units (Note 5)</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134,846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2,902</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6,607,405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139,421</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142,323</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142,323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proceeds from</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public offering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preference units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5)</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138,804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138,804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Cash distributions to</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GasLog in exchange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for net assets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contributions to the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Partnership</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(192,168)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(192,168)</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Difference between net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 values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acquired subsidiaries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and considerations</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paid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(1,295)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(6,167)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(10,321)</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(17,783)</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Distributions declared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(1,661)</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(69,051)</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(9,724)</w:t>
            </w: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(2,612)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(7,232)</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(90,280)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(90,280)</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Share-based</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 net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dividend</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Conversion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subordinated units to</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common units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9,822,358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46,047</w:t>
            </w:r>
          </w:p>
        </w:tc>
        <w:tc>
          <w:tcPr>
            <w:tcW w:w="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(9,822,358)</w:t>
            </w: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(46,047)</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Partnership's profit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19)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1,728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76,347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5,085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3,208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7,749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Partnership's total</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comprehensive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income</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1,728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76,347</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5,085</w:t>
            </w:r>
          </w:p>
        </w:tc>
        <w:tc>
          <w:tcPr>
            <w:tcW w:w="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3,208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7,749</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94,117</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94,117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b w:val="1"/>
                <w:bCs w:val="1"/>
                <w:color w:val="auto"/>
              </w:rPr>
              <w:t>December 31, 2017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ind w:left="100"/>
              <w:spacing w:after="0" w:line="193"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22"/>
                <w:szCs w:val="22"/>
                <w:b w:val="1"/>
                <w:bCs w:val="1"/>
                <w:color w:val="auto"/>
                <w:vertAlign w:val="superscript"/>
              </w:rPr>
              <w:t>(1)</w:t>
            </w: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836,779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11,781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41,002,121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752,456</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6,596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139,321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910,154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155,554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1,065,708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3"/>
                <w:szCs w:val="13"/>
                <w:color w:val="auto"/>
              </w:rPr>
              <w:t>Profit and total</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comprehensive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income attributable to</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GasLog's operations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19)</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12,916</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12,916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proceeds from</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public offerings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units and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issuances of general</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 units (Note 5)</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2,171</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2,553,899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60,013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62,184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62,184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20"/>
                <w:szCs w:val="20"/>
                <w:color w:val="auto"/>
              </w:rPr>
            </w:pPr>
            <w:r>
              <w:rPr>
                <w:rFonts w:ascii="Arial" w:cs="Arial" w:eastAsia="Arial" w:hAnsi="Arial"/>
                <w:sz w:val="13"/>
                <w:szCs w:val="13"/>
                <w:color w:val="auto"/>
              </w:rPr>
              <w:t>Net proceeds from</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8,600,000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207,501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207,501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207,501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43" w:orient="portrait"/>
          <w:cols w:equalWidth="0" w:num="1">
            <w:col w:w="10520"/>
          </w:cols>
          <w:pgMar w:left="160" w:top="51" w:right="1219" w:bottom="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public offering of</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preference units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Settlement of awards</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vested during the year</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5)</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33,998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Issuance of common</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units to GasLog in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exchange for net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assets contributions to</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the Partnership</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5)</w:t>
            </w:r>
          </w:p>
        </w:tc>
        <w:tc>
          <w:tcPr>
            <w:tcW w:w="2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1,858,975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45,000</w:t>
            </w:r>
          </w:p>
        </w:tc>
        <w:tc>
          <w:tcPr>
            <w:tcW w:w="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45,000</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(45,000)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Cash distributions to</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GasLog in exchange</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 net assets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contributions to the</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(128,482)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(128,482)</w:t>
            </w: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Difference between net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1420" w:type="dxa"/>
            <w:vAlign w:val="bottom"/>
          </w:tcPr>
          <w:p>
            <w:pPr>
              <w:ind w:left="100"/>
              <w:spacing w:after="0"/>
              <w:rPr>
                <w:sz w:val="20"/>
                <w:szCs w:val="20"/>
                <w:color w:val="auto"/>
              </w:rPr>
            </w:pPr>
            <w:r>
              <w:rPr>
                <w:rFonts w:ascii="Arial" w:cs="Arial" w:eastAsia="Arial" w:hAnsi="Arial"/>
                <w:sz w:val="13"/>
                <w:szCs w:val="13"/>
                <w:color w:val="auto"/>
              </w:rPr>
              <w:t>book values of</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acquired subsidiaries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w w:val="99"/>
              </w:rPr>
              <w:t>and consideration paid</w:t>
            </w:r>
          </w:p>
        </w:tc>
        <w:tc>
          <w:tcPr>
            <w:tcW w:w="2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(337)</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(4,675)</w:t>
            </w:r>
          </w:p>
        </w:tc>
        <w:tc>
          <w:tcPr>
            <w:tcW w:w="640" w:type="dxa"/>
            <w:vAlign w:val="bottom"/>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(5,012)</w:t>
            </w:r>
          </w:p>
        </w:tc>
        <w:tc>
          <w:tcPr>
            <w:tcW w:w="520" w:type="dxa"/>
            <w:vAlign w:val="bottom"/>
          </w:tcPr>
          <w:p>
            <w:pPr>
              <w:jc w:val="right"/>
              <w:spacing w:after="0"/>
              <w:rPr>
                <w:sz w:val="20"/>
                <w:szCs w:val="20"/>
                <w:color w:val="auto"/>
              </w:rPr>
            </w:pPr>
            <w:r>
              <w:rPr>
                <w:rFonts w:ascii="Arial" w:cs="Arial" w:eastAsia="Arial" w:hAnsi="Arial"/>
                <w:sz w:val="13"/>
                <w:szCs w:val="13"/>
                <w:color w:val="auto"/>
              </w:rPr>
              <w:t>5,012</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Distributions declared</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 5)</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(1,942)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(91,022)</w:t>
            </w:r>
          </w:p>
        </w:tc>
        <w:tc>
          <w:tcPr>
            <w:tcW w:w="6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(4,141)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(20,989)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(118,094)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(118,094)</w:t>
            </w: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Share-based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1420" w:type="dxa"/>
            <w:vAlign w:val="bottom"/>
          </w:tcPr>
          <w:p>
            <w:pPr>
              <w:ind w:left="100"/>
              <w:spacing w:after="0"/>
              <w:rPr>
                <w:sz w:val="20"/>
                <w:szCs w:val="20"/>
                <w:color w:val="auto"/>
              </w:rPr>
            </w:pPr>
            <w:r>
              <w:rPr>
                <w:rFonts w:ascii="Arial" w:cs="Arial" w:eastAsia="Arial" w:hAnsi="Arial"/>
                <w:sz w:val="13"/>
                <w:szCs w:val="13"/>
                <w:color w:val="auto"/>
              </w:rPr>
              <w:t>compensation, net of</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accrued dividend</w:t>
            </w:r>
          </w:p>
        </w:tc>
        <w:tc>
          <w:tcPr>
            <w:tcW w:w="2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607</w:t>
            </w:r>
          </w:p>
        </w:tc>
        <w:tc>
          <w:tcPr>
            <w:tcW w:w="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724</w:t>
            </w:r>
          </w:p>
        </w:tc>
        <w:tc>
          <w:tcPr>
            <w:tcW w:w="160" w:type="dxa"/>
            <w:vAlign w:val="bottom"/>
          </w:tcPr>
          <w:p>
            <w:pPr>
              <w:spacing w:after="0"/>
              <w:rPr>
                <w:sz w:val="13"/>
                <w:szCs w:val="13"/>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Modification of</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incentive distribution</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rights "IDRs" (Note 5)</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(25,395)</w:t>
            </w:r>
          </w:p>
        </w:tc>
        <w:tc>
          <w:tcPr>
            <w:tcW w:w="6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(25,395)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(25,395)</w:t>
            </w: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auto"/>
              </w:rPr>
              <w:t>Partnership's profit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1420" w:type="dxa"/>
            <w:vAlign w:val="bottom"/>
          </w:tcPr>
          <w:p>
            <w:pPr>
              <w:ind w:left="100"/>
              <w:spacing w:after="0"/>
              <w:rPr>
                <w:sz w:val="20"/>
                <w:szCs w:val="20"/>
                <w:color w:val="auto"/>
              </w:rPr>
            </w:pPr>
            <w:r>
              <w:rPr>
                <w:rFonts w:ascii="Arial" w:cs="Arial" w:eastAsia="Arial" w:hAnsi="Arial"/>
                <w:sz w:val="13"/>
                <w:szCs w:val="13"/>
                <w:color w:val="auto"/>
              </w:rPr>
              <w:t>(Note 19)</w:t>
            </w:r>
          </w:p>
        </w:tc>
        <w:tc>
          <w:tcPr>
            <w:tcW w:w="2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1,602</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75,879</w:t>
            </w:r>
          </w:p>
        </w:tc>
        <w:tc>
          <w:tcPr>
            <w:tcW w:w="8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2,618</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22,498</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102,597</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102,597</w:t>
            </w:r>
          </w:p>
        </w:tc>
        <w:tc>
          <w:tcPr>
            <w:tcW w:w="160" w:type="dxa"/>
            <w:vAlign w:val="bottom"/>
          </w:tcPr>
          <w:p>
            <w:pPr>
              <w:spacing w:after="0"/>
              <w:rPr>
                <w:sz w:val="13"/>
                <w:szCs w:val="13"/>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Partnership's total</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comprehensive</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14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income</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1,602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75,879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w w:val="9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2,618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22,498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102,597</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102,597</w:t>
            </w:r>
          </w:p>
        </w:tc>
        <w:tc>
          <w:tcPr>
            <w:tcW w:w="160" w:type="dxa"/>
            <w:vAlign w:val="bottom"/>
            <w:shd w:val="clear" w:color="auto" w:fill="CCEEFF"/>
          </w:tcPr>
          <w:p>
            <w:pPr>
              <w:spacing w:after="0"/>
              <w:rPr>
                <w:sz w:val="14"/>
                <w:szCs w:val="14"/>
                <w:color w:val="auto"/>
              </w:rPr>
            </w:pPr>
          </w:p>
        </w:tc>
      </w:tr>
      <w:tr>
        <w:trPr>
          <w:trHeight w:val="129"/>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December 31, 2018</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927,532</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13,289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8"/>
              </w:rPr>
              <w:t>45,448,993</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812,863</w:t>
            </w:r>
          </w:p>
        </w:tc>
        <w:tc>
          <w:tcPr>
            <w:tcW w:w="8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Arial" w:cs="Arial" w:eastAsia="Arial" w:hAnsi="Arial"/>
                <w:sz w:val="13"/>
                <w:szCs w:val="13"/>
                <w:b w:val="1"/>
                <w:bCs w:val="1"/>
                <w:color w:val="auto"/>
                <w:w w:val="91"/>
              </w:rPr>
              <w:t>—</w:t>
            </w:r>
          </w:p>
        </w:tc>
        <w:tc>
          <w:tcPr>
            <w:tcW w:w="8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3"/>
                <w:szCs w:val="13"/>
                <w:b w:val="1"/>
                <w:bCs w:val="1"/>
                <w:color w:val="auto"/>
                <w:w w:val="91"/>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5,176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5"/>
              </w:rPr>
              <w:t>14,350,000</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348,331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3"/>
              </w:rPr>
              <w:t>1,179,659</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6"/>
              </w:rPr>
              <w:t>1,179,659</w:t>
            </w:r>
          </w:p>
        </w:tc>
        <w:tc>
          <w:tcPr>
            <w:tcW w:w="16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540" w:hanging="536"/>
        <w:spacing w:after="0" w:line="274" w:lineRule="auto"/>
        <w:tabs>
          <w:tab w:leader="none" w:pos="54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and GAS-twenty seven Ltd. acquired on April 26, 2018 and November 14, 2018, respectively, from GasLog (Note 1).</w:t>
      </w:r>
    </w:p>
    <w:p>
      <w:pPr>
        <w:spacing w:after="0" w:line="200" w:lineRule="exact"/>
        <w:rPr>
          <w:sz w:val="20"/>
          <w:szCs w:val="20"/>
          <w:color w:val="auto"/>
        </w:rPr>
      </w:pPr>
    </w:p>
    <w:p>
      <w:pPr>
        <w:spacing w:after="0" w:line="2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146050</wp:posOffset>
            </wp:positionV>
            <wp:extent cx="734187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280"/>
          </w:cols>
          <w:pgMar w:left="1320" w:top="48" w:right="2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6"/>
              </w:rPr>
              <w:t>Note</w:t>
            </w:r>
          </w:p>
        </w:tc>
        <w:tc>
          <w:tcPr>
            <w:tcW w:w="8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Profit for the year</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99,709</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134,745</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115,513</w:t>
            </w:r>
          </w:p>
        </w:tc>
        <w:tc>
          <w:tcPr>
            <w:tcW w:w="160" w:type="dxa"/>
            <w:vAlign w:val="bottom"/>
          </w:tcPr>
          <w:p>
            <w:pPr>
              <w:spacing w:after="0"/>
              <w:rPr>
                <w:sz w:val="12"/>
                <w:szCs w:val="12"/>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 for:</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6400" w:type="dxa"/>
            <w:vAlign w:val="bottom"/>
            <w:gridSpan w:val="2"/>
          </w:tcPr>
          <w:p>
            <w:pPr>
              <w:spacing w:after="0"/>
              <w:rPr>
                <w:sz w:val="20"/>
                <w:szCs w:val="20"/>
                <w:color w:val="auto"/>
              </w:rPr>
            </w:pPr>
            <w:r>
              <w:rPr>
                <w:rFonts w:ascii="Arial" w:cs="Arial" w:eastAsia="Arial" w:hAnsi="Arial"/>
                <w:sz w:val="13"/>
                <w:szCs w:val="13"/>
                <w:color w:val="auto"/>
              </w:rPr>
              <w:t>Depreciation</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70,290</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81,089</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81,590</w:t>
            </w:r>
          </w:p>
        </w:tc>
        <w:tc>
          <w:tcPr>
            <w:tcW w:w="160" w:type="dxa"/>
            <w:vAlign w:val="bottom"/>
          </w:tcPr>
          <w:p>
            <w:pPr>
              <w:spacing w:after="0"/>
              <w:rPr>
                <w:sz w:val="12"/>
                <w:szCs w:val="12"/>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60,247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65,122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66,287</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Financial income</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(209)</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(2,413)</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Unrealized loss/(gain) on derivatives held for trading</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Recycled loss of cash flow hedges reclassified to profit or loss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2,527</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160" w:type="dxa"/>
            <w:vAlign w:val="bottom"/>
            <w:shd w:val="clear" w:color="auto" w:fill="CCEEFF"/>
          </w:tcPr>
          <w:p>
            <w:pPr>
              <w:spacing w:after="0"/>
              <w:rPr>
                <w:sz w:val="12"/>
                <w:szCs w:val="12"/>
                <w:color w:val="auto"/>
              </w:rPr>
            </w:pPr>
          </w:p>
        </w:tc>
      </w:tr>
      <w:tr>
        <w:trPr>
          <w:trHeight w:val="209"/>
        </w:trPr>
        <w:tc>
          <w:tcPr>
            <w:tcW w:w="24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234,614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278,613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263,422</w:t>
            </w:r>
          </w:p>
        </w:tc>
        <w:tc>
          <w:tcPr>
            <w:tcW w:w="160" w:type="dxa"/>
            <w:vAlign w:val="bottom"/>
          </w:tcPr>
          <w:p>
            <w:pPr>
              <w:spacing w:after="0"/>
              <w:rPr>
                <w:sz w:val="18"/>
                <w:szCs w:val="18"/>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Movements in operating assets and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Decrease/(increase) in trade and other receivables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1,043</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1,501</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(9,633)</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(Increase)/decrease in inventories</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(1,086)</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w:t>
            </w:r>
          </w:p>
        </w:tc>
      </w:tr>
      <w:tr>
        <w:trPr>
          <w:trHeight w:val="149"/>
        </w:trPr>
        <w:tc>
          <w:tcPr>
            <w:tcW w:w="6400" w:type="dxa"/>
            <w:vAlign w:val="bottom"/>
            <w:gridSpan w:val="2"/>
          </w:tcPr>
          <w:p>
            <w:pPr>
              <w:spacing w:after="0"/>
              <w:rPr>
                <w:sz w:val="20"/>
                <w:szCs w:val="20"/>
                <w:color w:val="auto"/>
              </w:rPr>
            </w:pPr>
            <w:r>
              <w:rPr>
                <w:rFonts w:ascii="Arial" w:cs="Arial" w:eastAsia="Arial" w:hAnsi="Arial"/>
                <w:sz w:val="13"/>
                <w:szCs w:val="13"/>
                <w:color w:val="auto"/>
              </w:rPr>
              <w:t>Change in related parties, net</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(4,013)</w:t>
            </w:r>
          </w:p>
        </w:tc>
        <w:tc>
          <w:tcPr>
            <w:tcW w:w="660" w:type="dxa"/>
            <w:vAlign w:val="bottom"/>
          </w:tcPr>
          <w:p>
            <w:pPr>
              <w:jc w:val="right"/>
              <w:spacing w:after="0"/>
              <w:rPr>
                <w:sz w:val="20"/>
                <w:szCs w:val="20"/>
                <w:color w:val="auto"/>
              </w:rPr>
            </w:pPr>
            <w:r>
              <w:rPr>
                <w:rFonts w:ascii="Arial" w:cs="Arial" w:eastAsia="Arial" w:hAnsi="Arial"/>
                <w:sz w:val="13"/>
                <w:szCs w:val="13"/>
                <w:color w:val="auto"/>
              </w:rPr>
              <w:t>19,432</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(13,151)</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(Increase)/decrease in prepayments and other current assets</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(1,230)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Decrease/(increase) in other non-current assets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2,093</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928</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(800)</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(Decrease)/increase in other non-current liabilities</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(Decrease)/increase in trade accounts payable</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(167)</w:t>
            </w:r>
          </w:p>
        </w:tc>
        <w:tc>
          <w:tcPr>
            <w:tcW w:w="660" w:type="dxa"/>
            <w:vAlign w:val="bottom"/>
          </w:tcPr>
          <w:p>
            <w:pPr>
              <w:jc w:val="right"/>
              <w:spacing w:after="0"/>
              <w:rPr>
                <w:sz w:val="20"/>
                <w:szCs w:val="20"/>
                <w:color w:val="auto"/>
              </w:rPr>
            </w:pPr>
            <w:r>
              <w:rPr>
                <w:rFonts w:ascii="Arial" w:cs="Arial" w:eastAsia="Arial" w:hAnsi="Arial"/>
                <w:sz w:val="13"/>
                <w:szCs w:val="13"/>
                <w:color w:val="auto"/>
              </w:rPr>
              <w:t>1,289</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230</w:t>
            </w:r>
          </w:p>
        </w:tc>
        <w:tc>
          <w:tcPr>
            <w:tcW w:w="160" w:type="dxa"/>
            <w:vAlign w:val="bottom"/>
          </w:tcPr>
          <w:p>
            <w:pPr>
              <w:spacing w:after="0"/>
              <w:rPr>
                <w:sz w:val="12"/>
                <w:szCs w:val="12"/>
                <w:color w:val="auto"/>
              </w:rPr>
            </w:pP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Increase/(decrease) in other payables and accruals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9,781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(2,242)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60" w:type="dxa"/>
            <w:vAlign w:val="bottom"/>
            <w:shd w:val="clear" w:color="auto" w:fill="CCEEFF"/>
          </w:tcPr>
          <w:p>
            <w:pPr>
              <w:spacing w:after="0"/>
              <w:rPr>
                <w:sz w:val="12"/>
                <w:szCs w:val="12"/>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provided by operations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240,896</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299,876</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242,558</w:t>
            </w:r>
          </w:p>
        </w:tc>
        <w:tc>
          <w:tcPr>
            <w:tcW w:w="160" w:type="dxa"/>
            <w:vAlign w:val="bottom"/>
          </w:tcPr>
          <w:p>
            <w:pPr>
              <w:spacing w:after="0"/>
              <w:rPr>
                <w:sz w:val="12"/>
                <w:szCs w:val="12"/>
                <w:color w:val="auto"/>
              </w:rPr>
            </w:pPr>
          </w:p>
        </w:tc>
      </w:tr>
      <w:tr>
        <w:trPr>
          <w:trHeight w:val="142"/>
        </w:trPr>
        <w:tc>
          <w:tcPr>
            <w:tcW w:w="6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Interest paid</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(35,966)</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(57,049)</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(57,451)</w:t>
            </w: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provided by operating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204,930</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242,827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185,107</w:t>
            </w:r>
          </w:p>
        </w:tc>
        <w:tc>
          <w:tcPr>
            <w:tcW w:w="160" w:type="dxa"/>
            <w:vAlign w:val="bottom"/>
          </w:tcPr>
          <w:p>
            <w:pPr>
              <w:spacing w:after="0"/>
              <w:rPr>
                <w:sz w:val="12"/>
                <w:szCs w:val="12"/>
                <w:color w:val="auto"/>
              </w:rPr>
            </w:pPr>
          </w:p>
        </w:tc>
      </w:tr>
      <w:tr>
        <w:trPr>
          <w:trHeight w:val="142"/>
        </w:trPr>
        <w:tc>
          <w:tcPr>
            <w:tcW w:w="6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Payments for vessels' additions</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(502,132)</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(5,131)</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(24,177)</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income received</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160" w:type="dxa"/>
            <w:vAlign w:val="bottom"/>
            <w:shd w:val="clear" w:color="auto" w:fill="CCEEFF"/>
          </w:tcPr>
          <w:p>
            <w:pPr>
              <w:spacing w:after="0"/>
              <w:rPr>
                <w:sz w:val="12"/>
                <w:szCs w:val="12"/>
                <w:color w:val="auto"/>
              </w:rPr>
            </w:pPr>
          </w:p>
        </w:tc>
      </w:tr>
      <w:tr>
        <w:trPr>
          <w:trHeight w:val="149"/>
        </w:trPr>
        <w:tc>
          <w:tcPr>
            <w:tcW w:w="6400" w:type="dxa"/>
            <w:vAlign w:val="bottom"/>
            <w:gridSpan w:val="2"/>
          </w:tcPr>
          <w:p>
            <w:pPr>
              <w:spacing w:after="0"/>
              <w:rPr>
                <w:sz w:val="20"/>
                <w:szCs w:val="20"/>
                <w:color w:val="auto"/>
              </w:rPr>
            </w:pPr>
            <w:r>
              <w:rPr>
                <w:rFonts w:ascii="Arial" w:cs="Arial" w:eastAsia="Arial" w:hAnsi="Arial"/>
                <w:sz w:val="13"/>
                <w:szCs w:val="13"/>
                <w:color w:val="auto"/>
              </w:rPr>
              <w:t>Purchase of short-term investments</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(7,500)</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(38,000)</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Maturity of short-term investments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160" w:type="dxa"/>
            <w:vAlign w:val="bottom"/>
            <w:shd w:val="clear" w:color="auto" w:fill="CCEEFF"/>
          </w:tcPr>
          <w:p>
            <w:pPr>
              <w:spacing w:after="0"/>
              <w:rPr>
                <w:sz w:val="12"/>
                <w:szCs w:val="12"/>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(used in)/provided by investing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(506,428)</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3,381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(31,851)</w:t>
            </w:r>
          </w:p>
        </w:tc>
        <w:tc>
          <w:tcPr>
            <w:tcW w:w="160" w:type="dxa"/>
            <w:vAlign w:val="bottom"/>
          </w:tcPr>
          <w:p>
            <w:pPr>
              <w:spacing w:after="0"/>
              <w:rPr>
                <w:sz w:val="12"/>
                <w:szCs w:val="12"/>
                <w:color w:val="auto"/>
              </w:rPr>
            </w:pPr>
          </w:p>
        </w:tc>
      </w:tr>
      <w:tr>
        <w:trPr>
          <w:trHeight w:val="142"/>
        </w:trPr>
        <w:tc>
          <w:tcPr>
            <w:tcW w:w="6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Borrowings drawdowns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1,213,748</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60,000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25,940</w:t>
            </w:r>
          </w:p>
        </w:tc>
        <w:tc>
          <w:tcPr>
            <w:tcW w:w="160" w:type="dxa"/>
            <w:vAlign w:val="bottom"/>
          </w:tcPr>
          <w:p>
            <w:pPr>
              <w:spacing w:after="0"/>
              <w:rPr>
                <w:sz w:val="12"/>
                <w:szCs w:val="12"/>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Borrowings repayments</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(791,160)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(218,370)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(197,790)</w:t>
            </w: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Payment of loan issuance costs</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(24,402)</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(1,594)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(153)</w:t>
            </w: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Payments for interest rate swaps termination</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(10,647)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38"/>
        </w:trPr>
        <w:tc>
          <w:tcPr>
            <w:tcW w:w="6400" w:type="dxa"/>
            <w:vAlign w:val="bottom"/>
            <w:gridSpan w:val="2"/>
          </w:tcPr>
          <w:p>
            <w:pPr>
              <w:spacing w:after="0" w:line="138" w:lineRule="exact"/>
              <w:rPr>
                <w:sz w:val="20"/>
                <w:szCs w:val="20"/>
                <w:color w:val="auto"/>
              </w:rPr>
            </w:pPr>
            <w:r>
              <w:rPr>
                <w:rFonts w:ascii="Arial" w:cs="Arial" w:eastAsia="Arial" w:hAnsi="Arial"/>
                <w:sz w:val="13"/>
                <w:szCs w:val="13"/>
                <w:color w:val="auto"/>
              </w:rPr>
              <w:t>Proceeds from public offerings of common units and issuances of general partner units (net of underwriting</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6400" w:type="dxa"/>
            <w:vAlign w:val="bottom"/>
            <w:gridSpan w:val="2"/>
          </w:tcPr>
          <w:p>
            <w:pPr>
              <w:ind w:left="140"/>
              <w:spacing w:after="0"/>
              <w:rPr>
                <w:sz w:val="20"/>
                <w:szCs w:val="20"/>
                <w:color w:val="auto"/>
              </w:rPr>
            </w:pPr>
            <w:r>
              <w:rPr>
                <w:rFonts w:ascii="Arial" w:cs="Arial" w:eastAsia="Arial" w:hAnsi="Arial"/>
                <w:sz w:val="13"/>
                <w:szCs w:val="13"/>
                <w:color w:val="auto"/>
              </w:rPr>
              <w:t>discounts and commissions)</w:t>
            </w:r>
          </w:p>
        </w:tc>
        <w:tc>
          <w:tcPr>
            <w:tcW w:w="3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53,826</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144,297</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62,516</w:t>
            </w:r>
          </w:p>
        </w:tc>
        <w:tc>
          <w:tcPr>
            <w:tcW w:w="160" w:type="dxa"/>
            <w:vAlign w:val="bottom"/>
          </w:tcPr>
          <w:p>
            <w:pPr>
              <w:spacing w:after="0"/>
              <w:rPr>
                <w:sz w:val="13"/>
                <w:szCs w:val="13"/>
                <w:color w:val="auto"/>
              </w:rPr>
            </w:pP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public offering of preference units (net of underwriting discounts and commissions)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139,222</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208,394</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Payment of offering costs</w:t>
            </w:r>
          </w:p>
        </w:tc>
        <w:tc>
          <w:tcPr>
            <w:tcW w:w="30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(454)</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(2,033)</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(915)</w:t>
            </w: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distributions to GasLog in exchange for contribution of net assets</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(68,142)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(192,168)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(128,482)</w:t>
            </w: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Payments for IDR modification (including third-party fees)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(25,002)</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Distributions paid</w:t>
            </w: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(65,577)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(90,280)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(118,094)</w:t>
            </w:r>
          </w:p>
        </w:tc>
      </w:tr>
      <w:tr>
        <w:trPr>
          <w:trHeight w:val="149"/>
        </w:trPr>
        <w:tc>
          <w:tcPr>
            <w:tcW w:w="6400" w:type="dxa"/>
            <w:vAlign w:val="bottom"/>
            <w:gridSpan w:val="2"/>
          </w:tcPr>
          <w:p>
            <w:pPr>
              <w:spacing w:after="0"/>
              <w:rPr>
                <w:sz w:val="20"/>
                <w:szCs w:val="20"/>
                <w:color w:val="auto"/>
              </w:rPr>
            </w:pPr>
            <w:r>
              <w:rPr>
                <w:rFonts w:ascii="Arial" w:cs="Arial" w:eastAsia="Arial" w:hAnsi="Arial"/>
                <w:sz w:val="13"/>
                <w:szCs w:val="13"/>
                <w:color w:val="auto"/>
              </w:rPr>
              <w:t>Dividend due to GasLog before vessels' drop-down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(11,800)</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0"/>
        </w:trPr>
        <w:tc>
          <w:tcPr>
            <w:tcW w:w="2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provided by/(used in)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295,392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(160,926)</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(173,586)</w:t>
            </w: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(Decrease)/increase in cash and cash equivalents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(6,106)</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85,282</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(20,330)</w:t>
            </w:r>
          </w:p>
        </w:tc>
        <w:tc>
          <w:tcPr>
            <w:tcW w:w="160" w:type="dxa"/>
            <w:vAlign w:val="bottom"/>
          </w:tcPr>
          <w:p>
            <w:pPr>
              <w:spacing w:after="0"/>
              <w:rPr>
                <w:sz w:val="12"/>
                <w:szCs w:val="12"/>
                <w:color w:val="auto"/>
              </w:rPr>
            </w:pPr>
          </w:p>
        </w:tc>
      </w:tr>
      <w:tr>
        <w:trPr>
          <w:trHeight w:val="142"/>
        </w:trPr>
        <w:tc>
          <w:tcPr>
            <w:tcW w:w="6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 beginning of the year</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70,279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64,173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149,455</w:t>
            </w:r>
          </w:p>
        </w:tc>
        <w:tc>
          <w:tcPr>
            <w:tcW w:w="160" w:type="dxa"/>
            <w:vAlign w:val="bottom"/>
            <w:shd w:val="clear" w:color="auto" w:fill="CCEEFF"/>
          </w:tcPr>
          <w:p>
            <w:pPr>
              <w:spacing w:after="0"/>
              <w:rPr>
                <w:sz w:val="12"/>
                <w:szCs w:val="12"/>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and cash equivalents, end of the year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64,173</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149,455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129,125</w:t>
            </w:r>
          </w:p>
        </w:tc>
        <w:tc>
          <w:tcPr>
            <w:tcW w:w="160" w:type="dxa"/>
            <w:vAlign w:val="bottom"/>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6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6400" w:type="dxa"/>
            <w:vAlign w:val="bottom"/>
            <w:gridSpan w:val="2"/>
          </w:tcPr>
          <w:p>
            <w:pPr>
              <w:spacing w:after="0"/>
              <w:rPr>
                <w:sz w:val="20"/>
                <w:szCs w:val="20"/>
                <w:color w:val="auto"/>
              </w:rPr>
            </w:pPr>
            <w:r>
              <w:rPr>
                <w:rFonts w:ascii="Arial" w:cs="Arial" w:eastAsia="Arial" w:hAnsi="Arial"/>
                <w:sz w:val="13"/>
                <w:szCs w:val="13"/>
                <w:color w:val="auto"/>
              </w:rPr>
              <w:t>Payment for vessels through capital contributions before drop-down</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49,511</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expenditures included in liabilities at the end of the year</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Financing costs paid through capital contributions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4,879</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Offering costs included in liabilities at the end of the year</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60" w:type="dxa"/>
            <w:vAlign w:val="bottom"/>
            <w:shd w:val="clear" w:color="auto" w:fill="CCEEFF"/>
          </w:tcPr>
          <w:p>
            <w:pPr>
              <w:spacing w:after="0"/>
              <w:rPr>
                <w:sz w:val="12"/>
                <w:szCs w:val="12"/>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Loan repayments made through capital contributions</w:t>
            </w:r>
          </w:p>
        </w:tc>
        <w:tc>
          <w:tcPr>
            <w:tcW w:w="3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65,707</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12,000</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9"/>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common units to GasLog in exchange for contribution of net assets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160" w:type="dxa"/>
            <w:vAlign w:val="bottom"/>
            <w:shd w:val="clear" w:color="auto" w:fill="CCEEFF"/>
          </w:tcPr>
          <w:p>
            <w:pPr>
              <w:spacing w:after="0"/>
              <w:rPr>
                <w:sz w:val="12"/>
                <w:szCs w:val="12"/>
                <w:color w:val="auto"/>
              </w:rPr>
            </w:pPr>
          </w:p>
        </w:tc>
      </w:tr>
      <w:tr>
        <w:trPr>
          <w:trHeight w:val="108"/>
        </w:trPr>
        <w:tc>
          <w:tcPr>
            <w:tcW w:w="244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700" w:hanging="536"/>
        <w:spacing w:after="0" w:line="274" w:lineRule="auto"/>
        <w:tabs>
          <w:tab w:leader="none" w:pos="1700" w:val="left"/>
        </w:tabs>
        <w:numPr>
          <w:ilvl w:val="0"/>
          <w:numId w:val="132"/>
        </w:numPr>
        <w:rPr>
          <w:rFonts w:ascii="Arial" w:cs="Arial" w:eastAsia="Arial" w:hAnsi="Arial"/>
          <w:sz w:val="11"/>
          <w:szCs w:val="11"/>
          <w:color w:val="auto"/>
        </w:rPr>
      </w:pPr>
      <w:r>
        <w:rPr>
          <w:rFonts w:ascii="Arial" w:cs="Arial" w:eastAsia="Arial" w:hAnsi="Arial"/>
          <w:sz w:val="13"/>
          <w:szCs w:val="13"/>
          <w:color w:val="auto"/>
        </w:rPr>
        <w:t>Restated so as to reflect the historical financial statements of GAS-fourteen Ltd. and GAS-twenty seven Ltd. acquired on April 26, 2018 and November 14, 2018, respectively, from GasLog (Note 1).</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that were contributed to the Partnership by GasLog in connection with the initial public offering of its common units (the "IPO").</w:t>
      </w:r>
    </w:p>
    <w:p>
      <w:pPr>
        <w:spacing w:after="0" w:line="19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 xml:space="preserve">In connection with the IPO on May 12, 2014, the Partnership acquired from GasLog 100% of the ownership interests in GAS-three Ltd., GAS-four Ltd. and GAS-five Ltd., the entities that own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"Initial Fleet"). On September 29, 2014, GasLog Partners acquired 100% of the ownership interests in GAS-sixteen Ltd. and GAS-seventeen Ltd., the entities that own two 145,000 cubic meters ("cbm") LNG carriers,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respectively, for an aggregate purchase price of $328,000.</w:t>
      </w:r>
    </w:p>
    <w:p>
      <w:pPr>
        <w:spacing w:after="0" w:line="16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 xml:space="preserve">On July 1, 2015, GasLog Partners acquired 100% of the ownership interests in GAS-nineteen Ltd., GAS-twenty Ltd. and GAS-twenty one Ltd., the entities that own three 145,000 cbm LNG carriers,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respectively, for an aggregate purchase price of $483,000.</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On November 1, 2016, GasLog Partners acquired 100% of the ownership interests in GAS-seven Ltd., the entity that owns a 155,000 cbm LNG carrier,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$189,000.</w:t>
      </w:r>
    </w:p>
    <w:p>
      <w:pPr>
        <w:spacing w:after="0" w:line="186"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 xml:space="preserve">On May 3, 2017, GasLog Partners acquired 100% of the ownership interests in GAS-eleven Ltd., the entity that owns a 174,000 cbm LNG carrier,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Greece</w:t>
      </w:r>
      <w:r>
        <w:rPr>
          <w:rFonts w:ascii="Arial" w:cs="Arial" w:eastAsia="Arial" w:hAnsi="Arial"/>
          <w:sz w:val="15"/>
          <w:szCs w:val="15"/>
          <w:color w:val="auto"/>
        </w:rPr>
        <w:t>, for an aggregate purchase price of $219,000. On July 3, 2017, GasLog Partners acquired 100% of the ownership interests in GAS-thirteen Ltd., the entity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that owns a 174,000 cbm LNG carrier,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for an aggregate purchase price of $211,000. On October 20, 2017, GasLog Partners acquired 100% of the ownership interests in GAS-eight Ltd., the entity that owns a 155,000 cbm LNG carrier, the </w:t>
      </w:r>
      <w:r>
        <w:rPr>
          <w:rFonts w:ascii="Arial" w:cs="Arial" w:eastAsia="Arial" w:hAnsi="Arial"/>
          <w:sz w:val="15"/>
          <w:szCs w:val="15"/>
          <w:i w:val="1"/>
          <w:iCs w:val="1"/>
          <w:color w:val="auto"/>
        </w:rPr>
        <w:t>Solaris</w:t>
      </w:r>
      <w:r>
        <w:rPr>
          <w:rFonts w:ascii="Arial" w:cs="Arial" w:eastAsia="Arial" w:hAnsi="Arial"/>
          <w:sz w:val="15"/>
          <w:szCs w:val="15"/>
          <w:color w:val="auto"/>
        </w:rPr>
        <w:t>, for an aggregate purchase price of $185,900.</w:t>
      </w:r>
    </w:p>
    <w:p>
      <w:pPr>
        <w:spacing w:after="0" w:line="15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On April 26, 2018, GasLog Partners acquired 100% of the ownership interests in GAS-fourteen Ltd., the entity that owns a 174,000 cbm LNG carrier, the </w:t>
      </w:r>
      <w:r>
        <w:rPr>
          <w:rFonts w:ascii="Arial" w:cs="Arial" w:eastAsia="Arial" w:hAnsi="Arial"/>
          <w:sz w:val="16"/>
          <w:szCs w:val="16"/>
          <w:i w:val="1"/>
          <w:iCs w:val="1"/>
          <w:color w:val="auto"/>
        </w:rPr>
        <w:t>GasLog Gibraltar</w:t>
      </w:r>
      <w:r>
        <w:rPr>
          <w:rFonts w:ascii="Arial" w:cs="Arial" w:eastAsia="Arial" w:hAnsi="Arial"/>
          <w:sz w:val="16"/>
          <w:szCs w:val="16"/>
          <w:color w:val="auto"/>
        </w:rPr>
        <w:t>, for an aggregate purchase price of $207,000. On November 14, 2018, GasLog Partners acquired 100% of the ownership interests in GAS-twenty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seven Ltd., the entity that owns a 170,000 cbm LNG carrier, the </w:t>
      </w:r>
      <w:r>
        <w:rPr>
          <w:rFonts w:ascii="Arial" w:cs="Arial" w:eastAsia="Arial" w:hAnsi="Arial"/>
          <w:sz w:val="16"/>
          <w:szCs w:val="16"/>
          <w:i w:val="1"/>
          <w:iCs w:val="1"/>
          <w:color w:val="auto"/>
        </w:rPr>
        <w:t>Methane Becki Anne</w:t>
      </w:r>
      <w:r>
        <w:rPr>
          <w:rFonts w:ascii="Arial" w:cs="Arial" w:eastAsia="Arial" w:hAnsi="Arial"/>
          <w:sz w:val="16"/>
          <w:szCs w:val="16"/>
          <w:color w:val="auto"/>
        </w:rPr>
        <w:t>, for an aggregate purchase price of $207,400.</w:t>
      </w:r>
    </w:p>
    <w:p>
      <w:pPr>
        <w:spacing w:after="0" w:line="160"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60"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of December 31, 2018, GasLog holds a 27.5%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Partnership's principal business is the acquisition and operation of vessels in the LNG market, providing transportation services of LNG on a worldwide basis under multi-year charters. GasLog LNG Services Ltd. ("GasLog LNG Services" or the "Manager"), a related party and a wholly owned subsidiary of GasLog, incorporated under the laws of the Bermuda, provides technical services to the Partnership.</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On May 18, 2018, the Partnership through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an LNG carrier pooling arrangement operated by GasLog and Golar LNG Ltd. (the "Cool Pool") to market their vessels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December 31, 2018, the Cool Pool consists of 16 modern and efficient tri-fuel diesel electric ("TFDE") LNG carriers in the 155,000-170,000 cbm range. The Cool Pool charters the vessels for periods up to one year in duration as agents for the owners, who each remain responsible for the technical and commercial operation of their vessels and performance of the contracts.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companies listed below were 100% held by the Partnership:</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Cargo</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Place of</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Capacity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incorporation</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activities</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GAS-three Ltd.</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rPr>
              <w:t>April 2010</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i w:val="1"/>
                <w:iCs w:val="1"/>
                <w:color w:val="auto"/>
                <w:w w:val="94"/>
              </w:rPr>
              <w:t>GasLog Shanghai</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GAS-four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April 2010</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3"/>
              </w:rPr>
              <w:t>GasLog Santiago</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GAS-five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2011</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0"/>
              </w:rPr>
              <w:t>GasLog Sydney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GAS-seven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1"/>
              </w:rPr>
              <w:t>GasLog Seattle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December 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GAS-eight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Solaris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GAS-eleven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2012</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1"/>
              </w:rPr>
              <w:t>GasLog Greece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GAS-thirteen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2013</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Geneva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GAS-fourteen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July 2013</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8"/>
              </w:rPr>
              <w:t>GasLog Gibraltar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174,000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GAS-sixteen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Methane Rita Andrea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GAS-seventeen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3"/>
              </w:rPr>
              <w:t>Methane Jane Elizabeth</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GAS-nineteen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6"/>
              </w:rPr>
              <w:t>Methane Alison Victoria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GAS-twenty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5"/>
              </w:rPr>
              <w:t>Methane Shirley Elisabeth</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GAS-twenty one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Heather Sally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145,000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GAS-twenty seven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January 2015</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i w:val="1"/>
                <w:iCs w:val="1"/>
                <w:color w:val="auto"/>
                <w:w w:val="93"/>
              </w:rPr>
              <w:t>Methane Becki Anne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170,000</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GasLog Partners Holdings LLC</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Marshall Islands</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consolidated financial statements have been prepared on the historical cost basis. Historical cost is generally based on the fair value of the consideration given in exchange for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considering going concern, management has reviewed the Partnership's future cash requirements, covenant compliance and earnings projections. As of December 31, 2018, the Partnership's current assets totaled $166,849 while current liabilities totaled $497,976, resulting in a negative working capital position of $331,127. Current liabilities include $360,000 of loans due in November 2019. In February 2019, the Partnership signed a debt refinancing of up to $450,000 with certain financial institutions (Note 22), in order to refinance such indebtedness.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new loan agreements and equity financings.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terms acceptable to the Partnership.</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22, 2019, the Partnership's board of directors authorized the consolidated financial statements for issuance and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Revenues comprise revenues from time charters for the charter hire of the Partnership's vessels earned during the period in accordance with existing contracts and gross pool revenues.</w:t>
      </w:r>
    </w:p>
    <w:p>
      <w:pPr>
        <w:spacing w:after="0" w:line="18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after the reporting date. Accrued revenue represents income recognized in advance as a result of the straight-line revenue recognition in respect of charter agreements that provide for varying charter rates.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Pool revenues are recognized on a gross basis representing time charter revenues earned by a GasLog Partners vessel participating in the pool under charter agreements where GasLog Partners contracts directly with charterers. Revenue is recognized on a monthly basis, when the vessel is made available and services are provided to the charterer during the period, the amount can be estimated reliably and collection of the related revenue is reasonably assured.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Time charter hires are received monthly in advance and are classified as liabilities until such time as the criteria for recognizing the revenue as earned are met.</w:t>
      </w:r>
    </w:p>
    <w:p>
      <w:pPr>
        <w:spacing w:after="0" w:line="2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and not at a certain point in time following the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Consequently, positioning fees, repositioning fees and associated voyage expenses are recognized over the period of each contract, to match the recognition of the respective hire revenues realized.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Partnership because of its participation in the Cool Pool also receives a net allocation from the pool, which is recognized separately in the consolidated statement of profit or loss under "Net Pool Allocation" and represents GasLog Partners' share of the net revenues earned from the other pool participants' vessels less the other participants' share of the net revenues earned by GasLog Partners'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vessels included in the pool. Each participant's share of the net pool revenues is based on the number of pool points attributable to its vessels and the number of days such vessels participated in the pool.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interest expense, other borrowing costs and realized loss on derivatives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cost of a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6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dry-docking component is depreciated over the period of five years in the case of new vessels, and until the next dry-docking for secondhand vessels (which is performed within five years from the vessel's last dry-docking).</w:t>
      </w:r>
    </w:p>
    <w:p>
      <w:pPr>
        <w:spacing w:after="0" w:line="186"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are as follows:</w:t>
      </w:r>
    </w:p>
    <w:p>
      <w:pPr>
        <w:spacing w:after="0" w:line="22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Arial" w:cs="Arial" w:eastAsia="Arial" w:hAnsi="Arial"/>
                <w:sz w:val="13"/>
                <w:szCs w:val="13"/>
                <w:b w:val="1"/>
                <w:bCs w:val="1"/>
                <w:color w:val="auto"/>
              </w:rPr>
              <w:t>Vessel</w:t>
            </w:r>
          </w:p>
        </w:tc>
        <w:tc>
          <w:tcPr>
            <w:tcW w:w="3500" w:type="dxa"/>
            <w:vAlign w:val="bottom"/>
          </w:tcPr>
          <w:p>
            <w:pPr>
              <w:spacing w:after="0"/>
              <w:rPr>
                <w:sz w:val="14"/>
                <w:szCs w:val="1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3500" w:type="dxa"/>
            <w:vAlign w:val="bottom"/>
            <w:shd w:val="clear" w:color="auto" w:fill="CCEEFF"/>
          </w:tcPr>
          <w:p>
            <w:pPr>
              <w:ind w:left="2840"/>
              <w:spacing w:after="0"/>
              <w:rPr>
                <w:sz w:val="20"/>
                <w:szCs w:val="20"/>
                <w:color w:val="auto"/>
              </w:rPr>
            </w:pPr>
            <w:r>
              <w:rPr>
                <w:rFonts w:ascii="Arial" w:cs="Arial" w:eastAsia="Arial" w:hAnsi="Arial"/>
                <w:sz w:val="18"/>
                <w:szCs w:val="18"/>
                <w:color w:val="auto"/>
                <w:w w:val="92"/>
              </w:rPr>
              <w:t>35 years</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3500" w:type="dxa"/>
            <w:vAlign w:val="bottom"/>
          </w:tcPr>
          <w:p>
            <w:pPr>
              <w:ind w:left="2840"/>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useful lives and the depreciation method are reviewed annually to ensure that the method and period of depreciation are consistent with the expected pattern of economic benefits from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vessels are sold, they are derecognized and any gain or loss resulting from their disposals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firstLine="341"/>
        <w:spacing w:after="0" w:line="317" w:lineRule="auto"/>
        <w:rPr>
          <w:sz w:val="20"/>
          <w:szCs w:val="20"/>
          <w:color w:val="auto"/>
        </w:rPr>
      </w:pPr>
      <w:r>
        <w:rPr>
          <w:rFonts w:ascii="Arial" w:cs="Arial" w:eastAsia="Arial" w:hAnsi="Arial"/>
          <w:sz w:val="15"/>
          <w:szCs w:val="15"/>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considered to be a single cash-generating unit. The fair value less cost of disposal of the vessels is estimated from market-based evidence by appraisal that is normally undertaken by professionally qualified brokers.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Costs eligible for capitalization that are contractually reimbursable by our charterers are recognized on a gross basis in the period incurred under "Vessels".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Concurrently, an equal amount is deferred as a liability and amortized to profit or loss as income over the remaining tenure of the charter party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Inventories represent lubricants on board the vessel and, in the event of a vessel not being employed under a charter, bunkers on board the vessel. Inventories are stated at the lower of cost calculated on a first-in, first-out basis, and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4"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320"/>
        <w:spacing w:after="0" w:line="259"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right="280"/>
        <w:spacing w:after="0" w:line="298" w:lineRule="auto"/>
        <w:rPr>
          <w:sz w:val="20"/>
          <w:szCs w:val="20"/>
          <w:color w:val="auto"/>
        </w:rPr>
      </w:pPr>
      <w:r>
        <w:rPr>
          <w:rFonts w:ascii="Arial" w:cs="Arial" w:eastAsia="Arial" w:hAnsi="Arial"/>
          <w:sz w:val="16"/>
          <w:szCs w:val="16"/>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fair value and subsequently measured at amortized cost using the effective interest method. Trade receivables are written off when there is no reasonable expectation of recovery. See Note 4 for further information about the Partnership's accounting for trade receivables.</w:t>
      </w:r>
    </w:p>
    <w:p>
      <w:pPr>
        <w:spacing w:after="0" w:line="166"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93"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ind w:left="540" w:right="400"/>
        <w:spacing w:after="0" w:line="331" w:lineRule="auto"/>
        <w:rPr>
          <w:sz w:val="20"/>
          <w:szCs w:val="20"/>
          <w:color w:val="auto"/>
        </w:rPr>
      </w:pPr>
      <w:r>
        <w:rPr>
          <w:rFonts w:ascii="Arial" w:cs="Arial" w:eastAsia="Arial" w:hAnsi="Arial"/>
          <w:sz w:val="16"/>
          <w:szCs w:val="16"/>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48"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69"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w:t>
      </w:r>
    </w:p>
    <w:p>
      <w:pPr>
        <w:spacing w:after="0" w:line="169" w:lineRule="exact"/>
        <w:rPr>
          <w:sz w:val="20"/>
          <w:szCs w:val="20"/>
          <w:color w:val="auto"/>
        </w:rPr>
      </w:pPr>
    </w:p>
    <w:p>
      <w:pPr>
        <w:jc w:val="both"/>
        <w:ind w:left="540" w:right="8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vessel-owning company owns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Share-based compensation to executives and others providing similar services is measured at the fair value of the equity instruments on the grant date. Details regarding the determination of the fair value of share-based transactions are set out in Note 20. 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future. Critical accounting judgments are those that reflect significant judgments of uncertainties and potentially result in materially different results under different assumptions and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Classification of the Partnership interests: </w:t>
      </w:r>
      <w:r>
        <w:rPr>
          <w:rFonts w:ascii="Arial" w:cs="Arial" w:eastAsia="Arial" w:hAnsi="Arial"/>
          <w:sz w:val="16"/>
          <w:szCs w:val="16"/>
          <w:color w:val="auto"/>
        </w:rPr>
        <w:t>The interests in the Partnership comprise common units, preference units, a general partner interest and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rights.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Partnership evaluates the carrying amounts of each of its vessels to determine whether there is any indication that those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right="40" w:firstLine="351"/>
        <w:spacing w:after="0" w:line="317" w:lineRule="auto"/>
        <w:rPr>
          <w:sz w:val="20"/>
          <w:szCs w:val="20"/>
          <w:color w:val="auto"/>
        </w:rPr>
      </w:pPr>
      <w:r>
        <w:rPr>
          <w:rFonts w:ascii="Arial" w:cs="Arial" w:eastAsia="Arial" w:hAnsi="Arial"/>
          <w:sz w:val="15"/>
          <w:szCs w:val="15"/>
          <w:color w:val="auto"/>
        </w:rPr>
        <w:t>Recoverable amount is the higher of fair value less costs to sell and value in use. The Partnership's estimates of recoverable value assume that the vessels are all in seaworthy condition without need for repair and certified in class without notations of any kind. In assessing the fair value less cost to sell of the vessel, the Partnership obtains charter free market values for its vessel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estimates may not be indicative of the future market value of the Partnership's vessels or prices that could be achieved if it were to sell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them.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w:t>
      </w:r>
    </w:p>
    <w:p>
      <w:pPr>
        <w:spacing w:after="0" w:line="197"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December 31, 2018, the carrying amounts of the steam turbine propulsion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TFDE vessel</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were higher than the charter free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values estimated by shipbrokers and the Partnership concluded that events and circumstances triggered the existence of potential impairment of these vessels. As a result, the Partnership performed the impairment assessment of these vessels by comparing the discounted projected net operating cash flows for these vessels to their carrying values. The Partnership's strategy is to charter its vessels on multi-year contracts, providing the Partnership with contracted stable cash flows. The assumptions which the Partnership has used in its discounted projected net operating cash flow analysis included, among others, operating revenues, utilization, dry-docking costs, operating expenses (including vessel management fees), residual values and the discount factor. The key assumptions are the estimate of charter rates for non-contracted revenue days and the discount rate.</w:t>
      </w:r>
    </w:p>
    <w:p>
      <w:pPr>
        <w:spacing w:after="0" w:line="178"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Revenue assumptions were based on contracted time charter rates up to the end of life of the current contract of each vessel, as well as the estimated average time charter rates for the remaining life of the vessel after the completion of its current contract. The revenue assumptions exclude days of scheduled off-hire and assume a utilization rate of 99.5%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2018, (iii) historical average time charter rates, based on publications by independent third party maritime research services ("maritime research publications"), and (iv) estimated future time charter rates, also based largely on maritime research publications that provide such forecasts. More specifically, for the non-contracted period starting upon the expiration of the firm charter period of each vessel and up to December 31, 2023, the Partnership used the most recent charter market rate for a 5-year time charter agreement based on available data from maritime research publications, which is $45 per day for the Steam vessels and $75 per day for the TFDE vessel. Such rates are lower than current spot rates at December 31, 2018.</w:t>
      </w:r>
    </w:p>
    <w:p>
      <w:pPr>
        <w:spacing w:after="0" w:line="173"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the remaining period from January 1, 2024 through the end of each vessel's useful life, the estimated average time charter rate was based on analysis of future supply and demand for LNG, analysis of future LNG shipping supply and demand balances, internally estimated and market-derived costs of building and financing newbuild LNG vessels, the technical characteristics of each vessel and 5-year historical average 5-year time charter rates based on maritime research publications.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impairment testing of our vessels as of December 31, 2018, we performed a sensitivity analysis on the most sensitive and/or subjective assumption that has the potential to affect the outcome of the impairment exercise, which is the projected charter hire rate used to forecast future cash flows for non-contracted days for the Steam vessels. The average charter rate used in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impairment exercise for the Steam vessels was $58 per day while the average break-even charter hire rate, being the average of the contracted charter rate and the break-even re-chartering hire rate, was $50 per day. Using an average charter rate of $49 per day or 2% lower than the break-even charter hire rate would result in an aggregate impairment charge of $19,374.</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Recognizing that the LNG industry is cyclical and subject to significant volatility based on factors beyond the Partnership's control, management believes the use of revenue estimates discussed above to be reasonable as of the reporting date. The Partnership does not take into account any growth rate assumptions or inflation factors for determining forecasted time charter rates beyond the contracted charter rate period through the end of a vessel's useful life. In assessing the factors mentioned above for the purposes of determining estimated revenues, the Partnership has placed particular reliance on available third-party maritime research publications and analysis of LNG shipping supply and demand data.</w:t>
      </w:r>
    </w:p>
    <w:p>
      <w:pPr>
        <w:spacing w:after="0" w:line="16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addition, the Partnership used an annual operating expenses escalation factor equal to 1% based on its historical data and performance, as well as its expectations of future inflation and operating and dry-docking costs. Estimates for the remaining useful lives of the current fleet and residual and scrap values are the same as those used for the Partnership's depreciation policy.</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the Partnership's impairment assessment, the weighted average cost of capital used to discount future estimated cash flows to their present values was approximately 7.0% as of December 31, 2018. This was based on the calculated cost of equity and cost of debt components. All estimates used and assumptions made were in accordance with the Partnership's internal budgets and historical experience of the shipping industry.</w:t>
      </w:r>
    </w:p>
    <w:p>
      <w:pPr>
        <w:spacing w:after="0" w:line="16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value in use for the six vessels calculated as per above was higher than the carrying amount of these vessels and, consequently, no impairment loss was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year: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is effective for annual periods beginning on or after January 1, 2018 and was applied by the Partnership using the modified retrospective approach. The adoption of the standard did not have an impact on the Partnership's historical financial statements.</w:t>
      </w:r>
    </w:p>
    <w:p>
      <w:pPr>
        <w:spacing w:after="0" w:line="169" w:lineRule="exact"/>
        <w:rPr>
          <w:sz w:val="20"/>
          <w:szCs w:val="20"/>
          <w:color w:val="auto"/>
        </w:rPr>
      </w:pPr>
    </w:p>
    <w:p>
      <w:pPr>
        <w:ind w:right="360" w:firstLine="348"/>
        <w:spacing w:after="0" w:line="331" w:lineRule="auto"/>
        <w:rPr>
          <w:sz w:val="20"/>
          <w:szCs w:val="20"/>
          <w:color w:val="auto"/>
        </w:rPr>
      </w:pPr>
      <w:r>
        <w:rPr>
          <w:rFonts w:ascii="Arial" w:cs="Arial" w:eastAsia="Arial" w:hAnsi="Arial"/>
          <w:sz w:val="16"/>
          <w:szCs w:val="16"/>
          <w:color w:val="auto"/>
        </w:rPr>
        <w:t>The Partnership assessed that, under the time charter agreements, the hire rate per the charter agreement has two components: the lease component and the service component relating to the vessel's operating costs. The revenue in relation to the lease component of the agreements is accounted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under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revenue in relation to the service component relates to vessel operating expenses, which include expenses such as management fees, crew wages, provisions and stores, technical maintenance and insurance expenses that are paid by the vessel owner. These costs are essential to operating a charter and therefore, the charterers receive the benefit of these when the vessel is used during the contracted time and is accounted for in accordance with the requirements of IFRS 15 </w:t>
      </w:r>
      <w:r>
        <w:rPr>
          <w:rFonts w:ascii="Arial" w:cs="Arial" w:eastAsia="Arial" w:hAnsi="Arial"/>
          <w:sz w:val="18"/>
          <w:szCs w:val="18"/>
          <w:i w:val="1"/>
          <w:iCs w:val="1"/>
          <w:color w:val="auto"/>
        </w:rPr>
        <w:t>Revenue from Contracts with Customers.</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On that basis, it was concluded that positioning and repositioning fees and associated expenses should be recognized over the period of the contract, and not at a certain point in time.</w:t>
      </w:r>
    </w:p>
    <w:p>
      <w:pPr>
        <w:spacing w:after="0" w:line="197"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 xml:space="preserve">In July 2014, the IASB issued the complete version of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which is effective for annual periods beginning on or after January 1, 2018, did not have an impact on the Partnership's financial statements.</w:t>
      </w:r>
    </w:p>
    <w:p>
      <w:pPr>
        <w:spacing w:after="0" w:line="166"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 the date of authorization of these consolidated financial statements, the following standard relevant to the Partnership was in issue but not yet effective:</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related Interpretations. The standard is effective from January 1, 2019. For leases where the Partnership is the lessee, the Partnership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will result in an increase in total assets of $1,076, an increase in retained earnings of $153 and an increase in total liabilities of $923, which are not considered significant for the Partnership's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impact of all other IFRS standards and amendments issued but not yet adopted is not expected to be material on the Partnership's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in vessels is reported in the following table:</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Vessels</w:t>
            </w:r>
          </w:p>
        </w:tc>
      </w:tr>
      <w:tr>
        <w:trPr>
          <w:trHeight w:val="169"/>
        </w:trPr>
        <w:tc>
          <w:tcPr>
            <w:tcW w:w="70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
        </w:trPr>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2,621,435</w:t>
            </w:r>
          </w:p>
        </w:tc>
      </w:tr>
      <w:tr>
        <w:trPr>
          <w:trHeight w:val="216"/>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5,665</w:t>
            </w: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0"/>
        </w:trPr>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2,624,600</w:t>
            </w:r>
          </w:p>
        </w:tc>
      </w:tr>
      <w:tr>
        <w:trPr>
          <w:trHeight w:val="209"/>
        </w:trPr>
        <w:tc>
          <w:tcPr>
            <w:tcW w:w="70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33,745</w:t>
            </w:r>
          </w:p>
        </w:tc>
        <w:tc>
          <w:tcPr>
            <w:tcW w:w="160" w:type="dxa"/>
            <w:vAlign w:val="bottom"/>
          </w:tcPr>
          <w:p>
            <w:pPr>
              <w:spacing w:after="0"/>
              <w:rPr>
                <w:sz w:val="18"/>
                <w:szCs w:val="18"/>
                <w:color w:val="auto"/>
              </w:rPr>
            </w:pPr>
          </w:p>
        </w:tc>
      </w:tr>
      <w:tr>
        <w:trPr>
          <w:trHeight w:val="216"/>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r>
      <w:tr>
        <w:trPr>
          <w:trHeight w:val="210"/>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2,650,845</w:t>
            </w:r>
          </w:p>
        </w:tc>
        <w:tc>
          <w:tcPr>
            <w:tcW w:w="160" w:type="dxa"/>
            <w:vAlign w:val="bottom"/>
          </w:tcPr>
          <w:p>
            <w:pPr>
              <w:spacing w:after="0"/>
              <w:rPr>
                <w:sz w:val="18"/>
                <w:szCs w:val="18"/>
                <w:color w:val="auto"/>
              </w:rPr>
            </w:pPr>
          </w:p>
        </w:tc>
      </w:tr>
      <w:tr>
        <w:trPr>
          <w:trHeight w:val="189"/>
        </w:trPr>
        <w:tc>
          <w:tcPr>
            <w:tcW w:w="198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Accumulated depreciation</w:t>
            </w:r>
          </w:p>
        </w:tc>
        <w:tc>
          <w:tcPr>
            <w:tcW w:w="5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182,343</w:t>
            </w:r>
          </w:p>
        </w:tc>
      </w:tr>
      <w:tr>
        <w:trPr>
          <w:trHeight w:val="216"/>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81,089</w:t>
            </w: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0"/>
        </w:trPr>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260,932</w:t>
            </w:r>
          </w:p>
        </w:tc>
      </w:tr>
      <w:tr>
        <w:trPr>
          <w:trHeight w:val="209"/>
        </w:trPr>
        <w:tc>
          <w:tcPr>
            <w:tcW w:w="708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81,590</w:t>
            </w:r>
          </w:p>
        </w:tc>
        <w:tc>
          <w:tcPr>
            <w:tcW w:w="160" w:type="dxa"/>
            <w:vAlign w:val="bottom"/>
          </w:tcPr>
          <w:p>
            <w:pPr>
              <w:spacing w:after="0"/>
              <w:rPr>
                <w:sz w:val="18"/>
                <w:szCs w:val="18"/>
                <w:color w:val="auto"/>
              </w:rPr>
            </w:pPr>
          </w:p>
        </w:tc>
      </w:tr>
      <w:tr>
        <w:trPr>
          <w:trHeight w:val="216"/>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r>
      <w:tr>
        <w:trPr>
          <w:trHeight w:val="210"/>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335,022</w:t>
            </w:r>
          </w:p>
        </w:tc>
        <w:tc>
          <w:tcPr>
            <w:tcW w:w="160" w:type="dxa"/>
            <w:vAlign w:val="bottom"/>
          </w:tcPr>
          <w:p>
            <w:pPr>
              <w:spacing w:after="0"/>
              <w:rPr>
                <w:sz w:val="18"/>
                <w:szCs w:val="18"/>
                <w:color w:val="auto"/>
              </w:rPr>
            </w:pPr>
          </w:p>
        </w:tc>
      </w:tr>
      <w:tr>
        <w:trPr>
          <w:trHeight w:val="169"/>
        </w:trPr>
        <w:tc>
          <w:tcPr>
            <w:tcW w:w="70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Net book value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
        </w:trPr>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2,363,668</w:t>
            </w:r>
          </w:p>
        </w:tc>
      </w:tr>
      <w:tr>
        <w:trPr>
          <w:trHeight w:val="20"/>
        </w:trPr>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2,315,823</w:t>
            </w:r>
          </w:p>
        </w:tc>
      </w:tr>
      <w:tr>
        <w:trPr>
          <w:trHeight w:val="20"/>
        </w:trPr>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the vessels have been pledged as collateral under the terms of the Partnership's bank loan agreements (Note 6).</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May 3, 2017, the Partnership acquired from GasLog 100% of the ownership interests in GAS-eleven Ltd., the entity which owns the </w:t>
      </w:r>
      <w:r>
        <w:rPr>
          <w:rFonts w:ascii="Arial" w:cs="Arial" w:eastAsia="Arial" w:hAnsi="Arial"/>
          <w:sz w:val="16"/>
          <w:szCs w:val="16"/>
          <w:i w:val="1"/>
          <w:iCs w:val="1"/>
          <w:color w:val="auto"/>
        </w:rPr>
        <w:t>GasLog Greece</w:t>
      </w:r>
      <w:r>
        <w:rPr>
          <w:rFonts w:ascii="Arial" w:cs="Arial" w:eastAsia="Arial" w:hAnsi="Arial"/>
          <w:sz w:val="16"/>
          <w:szCs w:val="16"/>
          <w:color w:val="auto"/>
        </w:rPr>
        <w:t>, for an aggregate purchase price of $219,000. As consideration for this acquisition, the Partnership paid GasLog $66,643 representing the difference between the $219,000 aggregate purchase price and the $151,423 of outstanding indebtedness of the acquired entity assumed by the Partnership less an adjustment of $934 in order to maintain the agreed working capital position in the acquired entity of $1,000 at the time of acquisition.</w:t>
      </w:r>
    </w:p>
    <w:p>
      <w:pPr>
        <w:spacing w:after="0" w:line="16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On July 3, 2017, the Partnership acquired from GasLog 100% of the ownership interests in GAS-thirteen Ltd., the entity which owns the </w:t>
      </w:r>
      <w:r>
        <w:rPr>
          <w:rFonts w:ascii="Arial" w:cs="Arial" w:eastAsia="Arial" w:hAnsi="Arial"/>
          <w:sz w:val="18"/>
          <w:szCs w:val="18"/>
          <w:i w:val="1"/>
          <w:iCs w:val="1"/>
          <w:color w:val="auto"/>
        </w:rPr>
        <w:t>GasLog Geneva</w:t>
      </w:r>
      <w:r>
        <w:rPr>
          <w:rFonts w:ascii="Arial" w:cs="Arial" w:eastAsia="Arial" w:hAnsi="Arial"/>
          <w:sz w:val="18"/>
          <w:szCs w:val="18"/>
          <w:color w:val="auto"/>
        </w:rPr>
        <w:t>, for an aggregate purchase price of $211,000. As consideration for this acquisition, the Partnership paid GasLog $54,911 representing the difference between the $211,000 aggregate purchase price and the $155,005 of outstanding indebtedness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 (Continued)</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 the acquired entity assumed by the Partnership less an adjustment of $1,084 in order to maintain the agreed working capital position in the acquired entity of $1,000 at the time of acquisition.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On October 20, 2017, the Partnership acquired from GasLog 100% of the ownership interests in GAS-eight Ltd., the entity which owns the </w:t>
      </w:r>
      <w:r>
        <w:rPr>
          <w:rFonts w:ascii="Arial" w:cs="Arial" w:eastAsia="Arial" w:hAnsi="Arial"/>
          <w:sz w:val="16"/>
          <w:szCs w:val="16"/>
          <w:i w:val="1"/>
          <w:iCs w:val="1"/>
          <w:color w:val="auto"/>
        </w:rPr>
        <w:t>Solaris</w:t>
      </w:r>
      <w:r>
        <w:rPr>
          <w:rFonts w:ascii="Arial" w:cs="Arial" w:eastAsia="Arial" w:hAnsi="Arial"/>
          <w:sz w:val="16"/>
          <w:szCs w:val="16"/>
          <w:color w:val="auto"/>
        </w:rPr>
        <w:t>, for an aggregate purchase price of $185,900. As consideration for this acquisition, the Partnership paid GasLog $70,614 representing the difference between the $185,900 aggregate purchase price and the $116,518 of outstanding indebtedness of the acquired entity assumed by the Partnership plus an adjustment of $1,232 in order to maintain the agreed working capital position in the acquired entity of $1,000 at the time of acquisition.</w:t>
      </w:r>
    </w:p>
    <w:p>
      <w:pPr>
        <w:spacing w:after="0" w:line="16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 April 26, 2018, the Partnership acquired from GasLog 100% of the ownership interests in GAS-fourteen Ltd., the entity which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for an aggregate purchase price of $207,000. As consideration for this acquisition, the Partnership paid GasLog $19,085 representing the difference between the $207,000 aggregate purchase price, $143,622 of outstanding indebtedness of the acquired entity assumed by the Partnership and $45,000 of new privately placed common units issued to GasLog (1,858,975 common units at a price of $24.21 per unit) plus an adjustment of $707 in order to maintain the agreed working capital position in the acquired entity of $1,000 at the time of acquisition.</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November 14, 2018, the Partnership acquired from GasLog 100% of the ownership interests in GAS-twenty seven Ltd., the entity which owns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Becki Anne</w:t>
      </w:r>
      <w:r>
        <w:rPr>
          <w:rFonts w:ascii="Arial" w:cs="Arial" w:eastAsia="Arial" w:hAnsi="Arial"/>
          <w:sz w:val="16"/>
          <w:szCs w:val="16"/>
          <w:color w:val="auto"/>
        </w:rPr>
        <w:t>, for an aggregate purchase price of $207,400. As consideration for this acquisition, the Partnership paid GasLog $109,398 representing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$207,400 aggregate purchase price and the $93,896 of outstanding indebtedness of the acquired entity assumed by the Partnership less an adjustment of $4,106 in order to maintain the agreed working capital position in the acquired entity of $1,000 at the time of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consisted of the following:</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820" w:type="dxa"/>
            <w:vAlign w:val="bottom"/>
            <w:gridSpan w:val="4"/>
          </w:tcPr>
          <w:p>
            <w:pPr>
              <w:ind w:left="500"/>
              <w:spacing w:after="0"/>
              <w:rPr>
                <w:sz w:val="20"/>
                <w:szCs w:val="20"/>
                <w:color w:val="auto"/>
              </w:rPr>
            </w:pPr>
            <w:r>
              <w:rPr>
                <w:rFonts w:ascii="Arial" w:cs="Arial" w:eastAsia="Arial" w:hAnsi="Arial"/>
                <w:sz w:val="13"/>
                <w:szCs w:val="13"/>
                <w:b w:val="1"/>
                <w:bCs w:val="1"/>
                <w:color w:val="auto"/>
                <w:w w:val="92"/>
              </w:rPr>
              <w:t>As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620" w:type="dxa"/>
            <w:vAlign w:val="bottom"/>
          </w:tcPr>
          <w:p>
            <w:pPr>
              <w:spacing w:after="0"/>
              <w:rPr>
                <w:sz w:val="14"/>
                <w:szCs w:val="14"/>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6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Due from charterers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VAT receivable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Insurance claims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5,887</w:t>
            </w: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13,484</w:t>
            </w:r>
          </w:p>
        </w:tc>
        <w:tc>
          <w:tcPr>
            <w:tcW w:w="16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2018, no receivable balances were past due or impaired and therefore no allowance was necessary.</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January 1, 2016, the capital of each of the subsidiaries consisted of 12,000 authorized common shares with a par value of $1 per share, all of which have been issued and are outstanding, resulting in a total share capital of $72. Each share was entitled to one vote.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Capital contributions represent capital contributed by the owner of each subsidiary in excess of par value to fund working capital and shipyard installments and capital contributed through contributed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owners' capital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450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Contributed</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Cash flow</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Retained</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Owners'</w:t>
            </w:r>
          </w:p>
        </w:tc>
      </w:tr>
      <w:tr>
        <w:trPr>
          <w:trHeight w:val="161"/>
        </w:trPr>
        <w:tc>
          <w:tcPr>
            <w:tcW w:w="45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surplus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95"/>
              </w:rPr>
              <w:t>hedging reserve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earnings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191,329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10,280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199,154</w:t>
            </w:r>
          </w:p>
        </w:tc>
        <w:tc>
          <w:tcPr>
            <w:tcW w:w="160" w:type="dxa"/>
            <w:vAlign w:val="bottom"/>
            <w:shd w:val="clear" w:color="auto" w:fill="CCEEFF"/>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Capital contributions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120,097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120,097</w:t>
            </w: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22,439</w:t>
            </w:r>
          </w:p>
        </w:tc>
        <w:tc>
          <w:tcPr>
            <w:tcW w:w="160" w:type="dxa"/>
            <w:vAlign w:val="bottom"/>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Other comprehensive income attributable to GasLog's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5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9"/>
                <w:szCs w:val="19"/>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Total comprehensive income attributable to GasLog's</w:t>
            </w: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22,439</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24,966</w:t>
            </w:r>
          </w:p>
        </w:tc>
        <w:tc>
          <w:tcPr>
            <w:tcW w:w="1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(60,660)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(6,234)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(66,906)</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250,766</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26,485</w:t>
            </w: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277,311</w:t>
            </w:r>
          </w:p>
        </w:tc>
        <w:tc>
          <w:tcPr>
            <w:tcW w:w="160" w:type="dxa"/>
            <w:vAlign w:val="bottom"/>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Capital contributions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160" w:type="dxa"/>
            <w:vAlign w:val="bottom"/>
            <w:shd w:val="clear" w:color="auto" w:fill="CCEEFF"/>
          </w:tcPr>
          <w:p>
            <w:pPr>
              <w:spacing w:after="0"/>
              <w:rPr>
                <w:sz w:val="18"/>
                <w:szCs w:val="18"/>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Total comprehensive income attributable to GasLog's</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40,628</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40,628</w:t>
            </w:r>
          </w:p>
        </w:tc>
        <w:tc>
          <w:tcPr>
            <w:tcW w:w="16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(137,817)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(174,385)</w:t>
            </w: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124,949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30,581</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155,554</w:t>
            </w:r>
          </w:p>
        </w:tc>
        <w:tc>
          <w:tcPr>
            <w:tcW w:w="160" w:type="dxa"/>
            <w:vAlign w:val="bottom"/>
          </w:tcPr>
          <w:p>
            <w:pPr>
              <w:spacing w:after="0"/>
              <w:rPr>
                <w:sz w:val="18"/>
                <w:szCs w:val="18"/>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160" w:type="dxa"/>
            <w:vAlign w:val="bottom"/>
            <w:shd w:val="clear" w:color="auto" w:fill="CCEEFF"/>
          </w:tcPr>
          <w:p>
            <w:pPr>
              <w:spacing w:after="0"/>
              <w:rPr>
                <w:sz w:val="18"/>
                <w:szCs w:val="18"/>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Total comprehensive income attributable to GasLog's</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operations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12,916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12,916</w:t>
            </w:r>
          </w:p>
        </w:tc>
        <w:tc>
          <w:tcPr>
            <w:tcW w:w="16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(124,949)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(43,497)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(168,470)</w:t>
            </w: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August 5, 2016, GasLog Partners completed an equity offering of 2,750,000 common units at a public offering price of $19.50 per unit. The net proceeds from this offering after deducting underwriting discounts and other offering expenses, were $52,299. In connection with the offering, the Partnership issued 56,122 general partner units to its general partner in order for GasLog to retain its 2.0% general partner interest. The net proceeds from the issuance of the general partner units were $1,094.</w:t>
      </w:r>
    </w:p>
    <w:p>
      <w:pPr>
        <w:spacing w:after="0" w:line="197"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sold at the same price. The aggregate net proceeds from this offering, including the partial exercise by the underwriter of the option to purchase additional units, after deducting underwriting discounts and other offering expenses, were $78,197.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9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$138,804. The Series A Preference Units are listed on the New York Stock Exchange under the symbol "GLOP PR A".</w:t>
      </w:r>
    </w:p>
    <w:p>
      <w:pPr>
        <w:spacing w:after="0" w:line="201" w:lineRule="exact"/>
        <w:rPr>
          <w:sz w:val="20"/>
          <w:szCs w:val="20"/>
          <w:color w:val="auto"/>
        </w:rPr>
      </w:pPr>
    </w:p>
    <w:p>
      <w:pPr>
        <w:ind w:right="80" w:firstLine="351"/>
        <w:spacing w:after="0" w:line="317" w:lineRule="auto"/>
        <w:rPr>
          <w:sz w:val="20"/>
          <w:szCs w:val="20"/>
          <w:color w:val="auto"/>
        </w:rPr>
      </w:pPr>
      <w:r>
        <w:rPr>
          <w:rFonts w:ascii="Arial" w:cs="Arial" w:eastAsia="Arial" w:hAnsi="Arial"/>
          <w:sz w:val="15"/>
          <w:szCs w:val="15"/>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$144,040 and include UBS Securities LLC as a sales agent.</w:t>
      </w:r>
    </w:p>
    <w:p>
      <w:pPr>
        <w:spacing w:after="0" w:line="15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From establishment of the ATM Programme through December 31, 2017, GasLog Partners had issued and received payment for 2,737,405 common units at a weighted average price of $22.97 per common unit for total net proceeds, after deducting fees and other expenses, of $61,224. In connection with the issuance of common units under the ATM Programme during this period, the Partnership also issued 55,866 general partner units to its general partner in order for GasLog to retain its 2.0% general partner interest. The net proceeds from the issuance of the general partner units were $1,283.</w:t>
      </w:r>
    </w:p>
    <w:p>
      <w:pPr>
        <w:spacing w:after="0" w:line="166" w:lineRule="exact"/>
        <w:rPr>
          <w:sz w:val="20"/>
          <w:szCs w:val="20"/>
          <w:color w:val="auto"/>
        </w:rPr>
      </w:pPr>
    </w:p>
    <w:p>
      <w:pPr>
        <w:ind w:right="100" w:firstLine="341"/>
        <w:spacing w:after="0" w:line="331" w:lineRule="auto"/>
        <w:rPr>
          <w:sz w:val="20"/>
          <w:szCs w:val="20"/>
          <w:color w:val="auto"/>
        </w:rPr>
      </w:pPr>
      <w:r>
        <w:rPr>
          <w:rFonts w:ascii="Arial" w:cs="Arial" w:eastAsia="Arial" w:hAnsi="Arial"/>
          <w:sz w:val="16"/>
          <w:szCs w:val="16"/>
          <w:color w:val="auto"/>
        </w:rPr>
        <w:t>Additionally, 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4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$111,194. The Series B Preference Units are listed on the New York Stock Exchange under the symbol "GLOP PR B".</w:t>
      </w:r>
    </w:p>
    <w:p>
      <w:pPr>
        <w:spacing w:after="0" w:line="201" w:lineRule="exact"/>
        <w:rPr>
          <w:sz w:val="20"/>
          <w:szCs w:val="20"/>
          <w:color w:val="auto"/>
        </w:rPr>
      </w:pPr>
    </w:p>
    <w:p>
      <w:pPr>
        <w:ind w:right="260" w:firstLine="351"/>
        <w:spacing w:after="0" w:line="331" w:lineRule="auto"/>
        <w:rPr>
          <w:sz w:val="20"/>
          <w:szCs w:val="20"/>
          <w:color w:val="auto"/>
        </w:rPr>
      </w:pPr>
      <w:r>
        <w:rPr>
          <w:rFonts w:ascii="Arial" w:cs="Arial" w:eastAsia="Arial" w:hAnsi="Arial"/>
          <w:sz w:val="16"/>
          <w:szCs w:val="16"/>
          <w:color w:val="auto"/>
        </w:rPr>
        <w:t>On April 3, 2018, GasLog Partners issued 33,998 common units in connection with the vesting of 16,999 Restricted Common Units ("RCUs") and 16,999 Performance Common Units ("PCUs") under its 2015 Long-Term Incentive Plan (the "2015 Plan") at a price of $23.55 per unit. Subsequently, 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40"/>
          </w:cols>
          <w:pgMar w:left="160" w:top="51" w:right="2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In connection with these common equity issuances and in order for GasLog to retain its 2.0% general partner interest, GasLog Partners also issued 38,632 general partner units to GasLog, for net proceeds of $935. On November 15, 2018, GasLog Partners completed a public offering of 4,000,000 8.500% Series C Cumulative Redeemable Perpetual Fixed to Floating Rate Preference Units (the "Series C Preference Units, and together with the Series A Preference Units and Series B Preference Units, the "Preference Units"), liquidation preference $25.00 per unit, at a price to the public of $25.00 per preference unit. The net proceeds from the offering, after deducting underwriting discounts, commissions and other offering expenses, were $96,307. The Series C Preference Units are listed on the New York Stock Exchange under the symbol "GLOP PR C".</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Partnership's ATM Programme, in the year ended December 31, 2018, GasLog Partners issued and received payment for 2,553,899 common units at a weighted average price of $23.72 per common unit for total net proceeds, after deducting fees and other expenses, of $60,013. In connection with the issuance of common units under the ATM Programme during this year, the Partnership also issued 52,121 general partner units to its general partner in order for GasLog to retain its 2.0% general partner interest. The net proceeds from the issuance of the general partner units were $1,236.</w:t>
      </w:r>
    </w:p>
    <w:p>
      <w:pPr>
        <w:spacing w:after="0" w:line="166"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As of December 31, 2018, the Partnership's capital consisted of 45,448,993 outstanding common units, 927,532 outstanding general partner units and 14,350,000 Preference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7560" w:firstLine="8"/>
        <w:spacing w:after="0" w:line="504" w:lineRule="auto"/>
        <w:tabs>
          <w:tab w:leader="none" w:pos="175"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Owners' Capital/Partners' Equity (Continued) Cash distributions</w:t>
      </w: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Partnership's cash distributions for the years ended December 31, 2016, 2017 and 2018 are presented in the following table:</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0"/>
              </w:rPr>
              <w:t>Type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b w:val="1"/>
                <w:bCs w:val="1"/>
                <w:color w:val="auto"/>
                <w:w w:val="95"/>
              </w:rPr>
              <w:t>Distribution</w:t>
            </w:r>
          </w:p>
        </w:tc>
        <w:tc>
          <w:tcPr>
            <w:tcW w:w="1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5"/>
              </w:rPr>
              <w:t>Payment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3"/>
                <w:szCs w:val="13"/>
                <w:b w:val="1"/>
                <w:bCs w:val="1"/>
                <w:color w:val="auto"/>
              </w:rPr>
              <w:t>Declaration date</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9"/>
              </w:rPr>
              <w:t>units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3"/>
                <w:szCs w:val="13"/>
                <w:b w:val="1"/>
                <w:bCs w:val="1"/>
                <w:color w:val="auto"/>
              </w:rPr>
              <w:t>per unit</w:t>
            </w: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9"/>
              </w:rPr>
              <w:t>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2016</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12,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April 27, 2016</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0.478</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13,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27, 2016</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12,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October 26, 2016</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0.478</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11, 2016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3"/>
          </w:tcPr>
          <w:p>
            <w:pPr>
              <w:spacing w:after="0"/>
              <w:rPr>
                <w:sz w:val="20"/>
                <w:szCs w:val="20"/>
                <w:color w:val="auto"/>
              </w:rPr>
            </w:pPr>
            <w:r>
              <w:rPr>
                <w:rFonts w:ascii="Arial" w:cs="Arial" w:eastAsia="Arial" w:hAnsi="Arial"/>
                <w:sz w:val="18"/>
                <w:szCs w:val="18"/>
                <w:color w:val="auto"/>
              </w:rPr>
              <w:t>January 26, 2017</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February 10, 2017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26, 2017</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12,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11, 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26, 2017</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15,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October 25, 2017</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0.5175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10, 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16, 2017</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0.5390625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15, 2017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0.5235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14,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February 8,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15,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8,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0.33028</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April 26,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May 11,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11,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0.5390625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15,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May 11,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Preference (Series B)</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0.5125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June 15,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25,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10,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July 25,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17,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25,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17,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October 24,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9,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2018</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0.5390625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17,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November 15, 2018</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Preference (Series B)</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0.5125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17, 2018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118,094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8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the Partnership's ability to claim an exemption from U.S. federal income tax under Section 883 of the Code, if at any time any person or group owns beneficially more</w:t>
      </w:r>
    </w:p>
    <w:p>
      <w:pPr>
        <w:spacing w:after="0" w:line="1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220"/>
          </w:cols>
          <w:pgMar w:left="160" w:top="51" w:right="51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pacing w:after="0" w:line="17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four of the directors.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IDRs represent the right to receive an increasing percentage of quarterly distributions of available cash from operating surplus after the payment of preference unit distributions and after the minimum quarterly distribution and the target distribution levels have been achieved. Since completion of the IPO, GasLog has held 100% of the IDRs. The IDRs may be transferred separately from any other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Owners' Capital/Partners' Equity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the Partnership's common units (excluding common units held by the general partner and its affiliates), voting separately as a class, is generally required for a transfer of the IDRs to a third party prior to March 31, 2019. Any transfer by GasLog of the IDRs would not change the percentage allocations of quarterly distributions with respect to such right.</w:t>
      </w:r>
    </w:p>
    <w:p>
      <w:pPr>
        <w:spacing w:after="0" w:line="16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November 27, 2018, the Partnership Agreement was amended to allow for the substitution of the existing IDRs with a new class of IDRs (the "New IDRs", together with the Old IDRs, the "IDRs") with revised rights to distributions. Pursuant to this amendment, the 48.0% tier of distributions to the New IDRs holders was removed, while the definition of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the holder of the IDRs, sourced from available cash.</w:t>
      </w:r>
    </w:p>
    <w:p>
      <w:pPr>
        <w:spacing w:after="0" w:line="169"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1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3"/>
                <w:szCs w:val="13"/>
                <w:b w:val="1"/>
                <w:bCs w:val="1"/>
                <w:color w:val="auto"/>
              </w:rPr>
              <w:t>Marginal Percentage Interest in Distributions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Distribution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Holders of</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3"/>
                <w:szCs w:val="13"/>
                <w:b w:val="1"/>
                <w:bCs w:val="1"/>
                <w:color w:val="auto"/>
              </w:rPr>
              <w:t>Old IDRs</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Partner</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IDRs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Third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w w:val="96"/>
              </w:rPr>
              <w:t>$0.46875 up to $0.5625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$0.5625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60" w:firstLine="351"/>
        <w:spacing w:after="0" w:line="369" w:lineRule="auto"/>
        <w:rPr>
          <w:sz w:val="20"/>
          <w:szCs w:val="20"/>
          <w:color w:val="auto"/>
        </w:rPr>
      </w:pPr>
      <w:r>
        <w:rPr>
          <w:rFonts w:ascii="Arial" w:cs="Arial" w:eastAsia="Arial" w:hAnsi="Arial"/>
          <w:sz w:val="15"/>
          <w:szCs w:val="15"/>
          <w:color w:val="auto"/>
        </w:rPr>
        <w:t>Effective November 27, 2018, the percentage allocation of the additional available cash from operating surplus after the payment of preference unit distributions and excluding available cash from operating surplus derived from non-GasLog acquisitions, was amended, in respect to such rights,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3"/>
                <w:szCs w:val="13"/>
                <w:b w:val="1"/>
                <w:bCs w:val="1"/>
                <w:color w:val="auto"/>
              </w:rPr>
              <w:t>Marginal Percentage Interest in Distributions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Distribution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20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3"/>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3"/>
                <w:szCs w:val="13"/>
                <w:b w:val="1"/>
                <w:bCs w:val="1"/>
                <w:color w:val="auto"/>
              </w:rPr>
              <w:t>New IDRs</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Partner</w:t>
            </w:r>
          </w:p>
        </w:tc>
        <w:tc>
          <w:tcPr>
            <w:tcW w:w="20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rPr>
              <w:t>IDRs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6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jc w:val="right"/>
              <w:spacing w:after="0"/>
              <w:rPr>
                <w:sz w:val="20"/>
                <w:szCs w:val="20"/>
                <w:color w:val="auto"/>
              </w:rPr>
            </w:pPr>
            <w:r>
              <w:rPr>
                <w:rFonts w:ascii="Arial" w:cs="Arial" w:eastAsia="Arial" w:hAnsi="Arial"/>
                <w:sz w:val="18"/>
                <w:szCs w:val="18"/>
                <w:color w:val="auto"/>
              </w:rPr>
              <w:t>Above $0.46875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60" w:type="dxa"/>
            <w:vAlign w:val="bottom"/>
          </w:tcPr>
          <w:p>
            <w:pPr>
              <w:jc w:val="right"/>
              <w:ind w:right="1201"/>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7880" w:firstLine="8"/>
        <w:spacing w:after="0" w:line="504" w:lineRule="auto"/>
        <w:tabs>
          <w:tab w:leader="none" w:pos="175"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Owners' Capital/Partners' Equity (Continued) Subordinated Units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the IPO and until May 16, 2017, GasLog held all of the Partnership's subordinated units. The principal difference between the common units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units was that in any quarter during the subordination period the subordinated units were entitled to receive the minimum quarterly distribution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$0.375 per unit only after the common units had received the minimum quarterly distribution and arrearages in the payment of the minimum quarterly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prior quarters. Subordinated units did not accrue arrearages. In accordance with the terms of the Partnership Agreement, the subordination period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end if the Partnership had earned and paid at least $0.375 on each outstanding common and subordinated unit and the corresponding distribution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partner's 2.0% interest for any three consecutive four-quarter periods ending on or after March 31, 2017.</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a floating rate equal to the three-month LIBOR plus a spread of 6.31% per annum per $25.00 of liquidation preference per unit of Series A Preference Units.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From and including the original issue date to, but excluding, March 15, 2023, distributions on the Series B Preference Units will accrue at 8.200% per annum per $25.00 of liquidation preference per unit. From and including March 15, 2023, the distribution rate will be a floating rate equal to three-month LIBOR plus a spread of 5.839% per annum per $25.00 of liquidation preference per unit of Series A Preference Units.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From and including the original issue date to, but excluding, March 15, 2024, the distribution rate for the Series C Preference Units will accrue at 8.500% per annum per $25.00 of liquidation preference per unit. From and including March 15, 2024, the distribution rate will be a floating rate equal to the three-month LIBOR plus a spread of 5.317% per annum per $25.00 of liquidation preference per unit of Series C Preference Units. The initial distribution on the Series C Preference Units is payable on March 15, 2019.</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as of December 31, 2017 and 2018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Borrowings—current portion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121,197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429,437</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1,296,719</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2"/>
              </w:rPr>
              <w:t>817,119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Borrowings—non-current portion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1,278,931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2"/>
              </w:rPr>
              <w:t>805,560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1,400,128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1,234,997</w:t>
            </w: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Terminated Facilities: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82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b w:val="1"/>
                <w:bCs w:val="1"/>
                <w:color w:val="auto"/>
              </w:rPr>
              <w:t>(a)</w:t>
            </w:r>
          </w:p>
        </w:tc>
        <w:tc>
          <w:tcPr>
            <w:tcW w:w="7440" w:type="dxa"/>
            <w:vAlign w:val="bottom"/>
            <w:gridSpan w:val="2"/>
          </w:tcPr>
          <w:p>
            <w:pPr>
              <w:ind w:left="160"/>
              <w:spacing w:after="0"/>
              <w:rPr>
                <w:sz w:val="20"/>
                <w:szCs w:val="20"/>
                <w:color w:val="auto"/>
              </w:rPr>
            </w:pPr>
            <w:r>
              <w:rPr>
                <w:rFonts w:ascii="Arial" w:cs="Arial" w:eastAsia="Arial" w:hAnsi="Arial"/>
                <w:sz w:val="18"/>
                <w:szCs w:val="18"/>
                <w:b w:val="1"/>
                <w:bCs w:val="1"/>
                <w:color w:val="auto"/>
              </w:rPr>
              <w:t>Citibank N.A. London Branch facility</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Following the acquisition of GAS-nineteen Ltd., GAS-twenty Ltd. and GAS-twenty one Ltd., the Partnership assumed $325,500 of outstanding indebtedness of the acquired entities. The loan agreement was signed by GAS-nineteen Ltd., GAS-twenty Ltd. and GAS-twenty one Ltd., on May 12, 2014 with Citibank N.A. London Branch, acting as security agent and trustee for and on behalf of the other finance parties. The loan has a two-year maturity bearing interest at LIBOR plus a margin and $108,500 was drawn on each of June 3, 2014, on June 10, 2014 and on June 24, 2014 to partially finance the deliveries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respectively. Using the proceeds of the equity offering completed in June 2015, GasLog Partners prepaid $10,000 of the GAS-nineteen Ltd. tranche on September 4, 2015, $5,000 of the GAS-twenty Ltd. tranche on December 10, 2015 and $5,000 of the GAS-twenty one Ltd. tranche on December 29, 2015. On April 5, 2016, the outstanding amount of $305,500 under the facility was fully repaid.</w:t>
      </w:r>
    </w:p>
    <w:p>
      <w:pPr>
        <w:spacing w:after="0" w:line="193"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AG facility</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loan agreement provided for a single tranche that was drawn on December 4, 2013 for the financing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On July 25, 2016, the outstanding amount of $124,000 under the facility was fully repaid.</w:t>
      </w:r>
    </w:p>
    <w:p>
      <w:pPr>
        <w:spacing w:after="0" w:line="201" w:lineRule="exact"/>
        <w:rPr>
          <w:sz w:val="20"/>
          <w:szCs w:val="20"/>
          <w:color w:val="auto"/>
        </w:rPr>
      </w:pPr>
    </w:p>
    <w:p>
      <w:pPr>
        <w:ind w:left="540" w:right="420" w:hanging="532"/>
        <w:spacing w:after="0" w:line="275" w:lineRule="auto"/>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DnB Bank ASA, Commonwealth Bank of Australia, Danish Ship Finance A/S, ING Bank N.V. and Skandinaviska Enskilda Banken AB (publ) facility</w:t>
      </w:r>
    </w:p>
    <w:p>
      <w:pPr>
        <w:spacing w:after="0" w:line="18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December 23, 2011, GAS-eight Ltd. entered into a loan agreement for a senior secured credit facility of up to $143,000 with DnB Bank ASA, Commonwealth Bank of Australia, Danish Ship Finance A/S, ING Bank N.V. and Skandinaviska Enskilda Banken AB (publ), for the purpose of financing one of the newbuilding vessels. The loan agreement provided for a single tranche that was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drawn on June 24, 2014 for the financing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On July 25, 2016, the outstanding amount of $127,080 under the facility was fully repaid.</w:t>
      </w:r>
    </w:p>
    <w:p>
      <w:pPr>
        <w:spacing w:after="0" w:line="233" w:lineRule="exact"/>
        <w:rPr>
          <w:sz w:val="20"/>
          <w:szCs w:val="20"/>
          <w:color w:val="auto"/>
        </w:rPr>
      </w:pPr>
    </w:p>
    <w:p>
      <w:pPr>
        <w:ind w:left="540" w:right="900" w:hanging="532"/>
        <w:spacing w:after="0" w:line="275" w:lineRule="auto"/>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Commonwealth Bank of Australia, Credit Agricole Corporate and Investment Bank, Deutsche Bank AG Filiale Deutschlandgeschäft and DNB Bank ASA, London Branch and ING Bank N.V., London Branch facility</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March 25, 2015, GAS-twenty seven Ltd. entered into a senior secured term loan facility of up to $162,500 with ABN Amro Bank N.V., Commonwealth Bank of Australia, Credit Agricole Corporate and Investment Bank, Deutsche Bank AG Filiale Deutschlandgeschäft, DNB Bank ASA, London Branch and ING Bank N.V., London Branch, and a subordinated term loan facility of up to $67,500 with ABN Amro Bank N.V., Credit Agricole Corporate and Investment Bank, Deutsche Bank AG Filiale Deutschlandgeschäft and DNB Bank ASA, London Branch for the purpose of financing the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available amounts were fully drawn on March 31, 2015. Both facilities bore interest at LIBOR plus a margin.</w:t>
      </w:r>
    </w:p>
    <w:p>
      <w:pPr>
        <w:spacing w:after="0" w:line="16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April 5, 2016, pursuant to the Five Vessel Refinancing (please refer to (b) below), the outstanding balances of $162,500 under the senior secured term loan facility and $67,500 under the subordinated term loan facility were fully repaid.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52" w:lineRule="exact"/>
        <w:rPr>
          <w:sz w:val="20"/>
          <w:szCs w:val="20"/>
          <w:color w:val="auto"/>
        </w:rPr>
      </w:pPr>
    </w:p>
    <w:p>
      <w:pPr>
        <w:ind w:left="540" w:right="420" w:hanging="532"/>
        <w:spacing w:after="0" w:line="275" w:lineRule="auto"/>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Finland PLC London Branch, DVB Bank America N.V., ABN Amro Bank N.V., Skandinaviska Enskilda Banken AB and BNP Paribas facility</w:t>
      </w:r>
    </w:p>
    <w:p>
      <w:pPr>
        <w:spacing w:after="0" w:line="18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LP and GasLog Partners Holdings LLC entered into a loan agreement with Citibank N.A., London Branch, acting as security agent and trustee for and on behalf of the other finance parties mentioned above, for a credit facility for up to $450,000 (the "Partnership Facility") for the purpose of refinancing in full the existing debt facilities. The agreement provides for a single tranche that was drawn on November 18, 2014. The credit facility bears interest at LIBOR plus a margin. The balance outstanding as of December 31, 2018 is $360,000 and is repayable in four quarterly installments of $5,625 and a final balloon payment of $337,500 together with the last quarterly installment in November 2019. In February 2019, the Partnership signed a debt refinancing of up to $450,000 with certain financial institutions (Note 22), in order to refinance such indebtedness.</w:t>
      </w:r>
    </w:p>
    <w:p>
      <w:pPr>
        <w:spacing w:after="0" w:line="208"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Five Vessel Refinancing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On February 18, 2016, subsidiaries of the Partnership and GasLog entered into credit agreements (the "Five Vessel Refinancing") to refinance the debt maturities that were scheduled to become due in 2016 and 2017. The Five Vessel Refinancing is comprised of a five-year senior tranche facility of up to $396,500 and a two-year bullet junior tranche of up to $180,000. The vessels covered by the Five Vessel Refinancing are the Partnership-owned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w:t>
      </w:r>
      <w:r>
        <w:rPr>
          <w:rFonts w:ascii="Arial" w:cs="Arial" w:eastAsia="Arial" w:hAnsi="Arial"/>
          <w:sz w:val="18"/>
          <w:szCs w:val="18"/>
          <w:color w:val="auto"/>
        </w:rPr>
        <w:t>. ABN AMRO Bank N.V. and DNB</w:t>
      </w:r>
      <w:r>
        <w:rPr>
          <w:rFonts w:ascii="Arial" w:cs="Arial" w:eastAsia="Arial" w:hAnsi="Arial"/>
          <w:sz w:val="18"/>
          <w:szCs w:val="18"/>
          <w:i w:val="1"/>
          <w:iCs w:val="1"/>
          <w:color w:val="auto"/>
        </w:rPr>
        <w:t xml:space="preserve"> </w:t>
      </w:r>
      <w:r>
        <w:rPr>
          <w:rFonts w:ascii="Arial" w:cs="Arial" w:eastAsia="Arial" w:hAnsi="Arial"/>
          <w:sz w:val="18"/>
          <w:szCs w:val="18"/>
          <w:color w:val="auto"/>
        </w:rPr>
        <w:t>(UK) Ltd. were mandated lead arrangers to the transaction. The other banks in the syndicate are: DVB Bank America N.V., Commonwealth Bank of Australia, ING Bank N.V.,</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London Branch, Credit Agricole Corporate and Investment Bank and National Australia Bank Limited. Following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on November 14, 2018, the Partnership assumed $93,896 of outstanding indebtedness of the acquired entity.</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April 5, 2016, $323,162 and $149,792 under the senior and junior tranche, respectively, of the Five Vessel Refinancing were drawn to refinance $535,500 of the outstanding debt of GAS-nineteen Ltd., GAS-twenty Ltd., GAS-twenty one Ltd and GAS-twenty seven Ltd. The balance outstanding for the entities owned by the Partnership as of December 31, 2018 is $265,580 under the senior tranche that is repayable in 10 quarterly installments of $6,290 and a final balloon payment of $202,680 together with the last quarterly installment in April 2021. Amounts drawn bear interest at LIBOR plus a margin. The balance under the junior tranche was prepaid by the Partnership on April 5, 2017 and January 5, 2018, in amounts of $120,042 and $29,750, respectively, with the junior tranche subsequently cancelled.</w:t>
      </w:r>
    </w:p>
    <w:p>
      <w:pPr>
        <w:spacing w:after="0" w:line="205" w:lineRule="exact"/>
        <w:rPr>
          <w:sz w:val="20"/>
          <w:szCs w:val="20"/>
          <w:color w:val="auto"/>
        </w:rPr>
      </w:pPr>
    </w:p>
    <w:p>
      <w:pPr>
        <w:ind w:left="540" w:right="720" w:hanging="532"/>
        <w:spacing w:after="0" w:line="339" w:lineRule="auto"/>
        <w:tabs>
          <w:tab w:leader="none" w:pos="54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Skandinaviska Enskilda Banken AB (publ), HSBC Bank Plc, ING Bank N.V., London Branch, Danmarks Skibskredit A/S, Korea Development Bank and DVB Bank America N.V. facility</w:t>
      </w:r>
    </w:p>
    <w:p>
      <w:pPr>
        <w:spacing w:after="0" w:line="13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Chelsea</w:t>
      </w:r>
      <w:r>
        <w:rPr>
          <w:rFonts w:ascii="Arial" w:cs="Arial" w:eastAsia="Arial" w:hAnsi="Arial"/>
          <w:sz w:val="16"/>
          <w:szCs w:val="16"/>
          <w:color w:val="auto"/>
        </w:rPr>
        <w:t>. Citigroup Global Market Limited, Credit Suisse AG and Nordea Bank AB were mandated lead arrangers to the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other banks in the syndicate are: Skandinaviska Enskilda Banken AB (publ), HSBC Bank Plc, ING Bank N.V., London Branch, Danmarks Skibskredit A/S, Korea Development Bank and DVB Bank America N.V. Nordea Bank AB, London Branch is the agent and security agent for the transaction. The Legacy Facility Refinancing is comprised of a five-year term loan facility of up to $950,000 and a revolving credit facility of up to $100,000.</w:t>
      </w:r>
    </w:p>
    <w:p>
      <w:pPr>
        <w:spacing w:after="0" w:line="172"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Each aforementioned refinancing was considered an extinguishment of the existing debt facility. Consequently, the unamortized loan fees of $5,637 were written off to profit or loss for the year ended December 31, 2016. On November 13, 2018, $25,940 was drawn under the revolving credit facility, which was repaid on December 12, 2018. The balance outstanding for the entities owned by the Partnership as of December 31, 2018 is $216,169 under the term loan that is repayable in six semi-annual installments of $7,566 each and a balloon payment of $170,773 due together with the last installment in July 2021, while the balance outstanding under the revolving credit facility is nil and can be repaid and redrawn at any time until December 31, 2020. Amounts drawn bear interest at LIBOR plus a margin.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9"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GAS-eleven Ltd., GAS-thirteen Ltd. and GAS-fourteen facility</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Following the acquisitions of GAS-eleven Ltd. on May 3, 2017, GAS-thirteen Ltd. on July 3, 2017 and GAS-fourteen Ltd. on April 26, 2018, the Partnership assumed $151,423, $155,005 and $143,622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"October 2015 Facility").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loan agreement with GAS-eleven Ltd., with respect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provided for four tranches of $51,257, $25,615, $24,991 and $61,104, while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loan agreements with GAS-thirteen Ltd. and GAS-fourteen Ltd., with respect to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respectively, each provided for four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tranches of $50,544, $25,258, $24,643 and $60,252. Under the terms of the agreement, each drawing under the first three tranches would be repaid in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Gibraltar</w:t>
      </w:r>
      <w:r>
        <w:rPr>
          <w:rFonts w:ascii="Arial" w:cs="Arial" w:eastAsia="Arial" w:hAnsi="Arial"/>
          <w:sz w:val="16"/>
          <w:szCs w:val="16"/>
          <w:color w:val="auto"/>
        </w:rPr>
        <w:t>, respectively, according to a 12-year profile. Each drawing under the fourth tranche would be repaid in 20 consecutive semi-annual equal installments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commencing six months after the actual delivery of the relevant vessel according to a 20-year profile, with a balloon payment together with the final installment.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March 22, 2016, $162,967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while on September 26, 2016 and on October 25,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$160,697 was drawn down on each date to partially finance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respectively. The aggregate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for the entities owned by the Partnership as of December 31, 2018 is $409,970. Amounts drawn under each applicable tranche bear interest at LIBOR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plus a margin.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agreements are secured as follows:</w:t>
      </w:r>
    </w:p>
    <w:p>
      <w:pPr>
        <w:spacing w:after="0" w:line="252"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38"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in the case of the Partnership Facility, guarantees from the Partnership and the Partnership's subsidiary GasLog Partners Holdings LLC, in the case of the Five Vessel Refinancing, a guarantee from GasLog, guarantees from the Partnership and GasLog Partners Holdings LLC up to the value of the commitments relating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a guarantee from GasLog Carriers Ltd. for up to the value of the commitments on the remaining vessels, in the case of the Legacy Facility Refinancing, a guarantee from GasLog, guarantees from the Partnership and GasLog Partners Holdings LLC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a guarantee from GasLog Carriers Ltd. for up to the value of the commitments on the remaining vessels, and in the case of the October 2015 Facility, a guarantee from GasLog, guarantees from the Partnership and GasLog Partners Holdings LLC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and a guarantee from GasLog Carriers Ltd. for up to the value of the commitments on the remaining vessels;</w:t>
      </w:r>
    </w:p>
    <w:p>
      <w:pPr>
        <w:spacing w:after="0" w:line="262"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respective borrower; and</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spot market, and insurance related to the ships owned by the respective borrower.</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all of the Partnership's and GasLog's indebtedness in full.</w:t>
      </w:r>
    </w:p>
    <w:p>
      <w:pPr>
        <w:spacing w:after="0" w:line="1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(in the case of the October 2015 Facility, 115.0% for the first two years after each drawdown and 120.0% at any time thereafter) of the then outstanding amount under the applicable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7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 (e) enter into, terminate or amend any charter, (f) amend shipbuilding contracts, (g) change the manager of ships, or (h) acquire assets, make investments or enter into any joint venture arrangements outside of the ordinary course of business. In addition, under the Five Vessel Refinancing, the Legacy Facility Refinancing and the October 2015 Facility, the respective vessel-owning entities are also required to maintain at all times minimum liquidity of $1,500 per entity and are in compliance as of December 31, 2018.</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Partnership, as corporate guarantor for the Partnership Facility and the Five Vessel Refinancing is also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or $15,000;</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right="180" w:hanging="532"/>
        <w:spacing w:after="0" w:line="268"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Five Vessel Refinancing, the Legacy Facility Refinancing and the October 2015 Facility also impose specified financial covenants that apply to GasLog and its subsidiaries on a consolidated basis:</w:t>
      </w:r>
    </w:p>
    <w:p>
      <w:pPr>
        <w:spacing w:after="0" w:line="19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spacing w:after="0" w:line="199"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Partners and GasLog were in compliance with all financial covenants as of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From Related Parties: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the IPO on May 12, 2014, the Partnership entered into a $30,000 revolving credit facility (the "Old Sponsor Credit Facility") with GasLog to be used for general partnership purposes. The credit facility was unsecured and provided for an availability period of 36 months and bore interest at a rate of 5.0% per annum, with no commitment fee for the first year. After the first year, the interest increased to a rate of 6.0% per annum, with an annual 2.4% commitment fee on the undrawn balance. Each advance drawn was repayable within a period of 6 months after the respective drawdown date but was subject to unconditional right of immediate renewal if no repayment was made. As of December 31, 2015, the outstanding balance of the revolving credit facility was $15,000. Amounts of $10,000 and $5,000 were repaid into the revolving facility on March 31, 2016 and August 17, 2016, respectively, leaving a balance of zero. On November 18, 2016, the Partnership drew $10,000 which was repaid on December 30, 2016.</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(Continued)</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April 3, 2017, the Partnership signed a deed of termination with respect to the Old Sponsor Credit Facility with GasLog. On the same date, GasLog Partners entered into a new unsecured five-year term loan of $45,000 and a new five-year revolving credit facility of $30,000 with GasLog (together, the "New Sponsor Credit Facility"). On April 5, 2017, under the New Sponsor Credit Facility, an amount of $45,000 under the term loan facility and an amount of $15,000 under the revolving credit facility were drawn by the Partnership and were used on the same date to prepay $60,125 of the outstanding debt of GAS-nineteen Ltd., GAS-twenty Ltd. and GAS-twenty one Ltd. under the junior tranche of the Five Vessel Refinancing, which would have been originally due in April 2018. The Partnership repaid $15,000 under the revolving credit facility of the New Sponsor Credit Facility on May 22, 2017. The New Sponsor Credit Facility is unsecured and the revolving credit facility provides for an availability period of five years. Each borrowing under the New Sponsor Credit Facility accrues interest at a rate of 9.125% per annum with an annual 1.0% commitment fee on the undrawn balance.</w:t>
      </w:r>
    </w:p>
    <w:p>
      <w:pPr>
        <w:spacing w:after="0" w:line="178"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On March 23, 2018, the outstanding amount of $45,000 under the New Sponsor Credit Facility was prepaid. On the same date, the term loan facility was terminated and the respective unamortized loan fees of $900 were written-off to profit or loss. As of December 31, 2018, the outstanding balance of the New Sponsor Credit Facility is nil.</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New Sponsor Credit Facility contains customary events of default, including non-payment of principal or interest, breach of covenants or material inaccuracy of representations, default under other material indebtedness and bankruptcy. In addition, the New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Repayment Schedule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maturity table below reflects the principal repayments of the borrowings outstanding as of December 31, 2018 based on their repayment schedules:</w:t>
      </w:r>
    </w:p>
    <w:p>
      <w:pPr>
        <w:spacing w:after="0" w:line="243"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510,079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68,620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238,420</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1,251,719</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total interest rate for the abovementioned credit facilities as of December 31, 2018 is 4.8% (December 31, 2017: 3.9%).</w:t>
      </w:r>
    </w:p>
    <w:p>
      <w:pPr>
        <w:spacing w:after="0" w:line="248"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the bank facilities bear interest at variable interest rates, their aggregate fair value as of December 31, 2018 was equal to the amount outstanding of $1,251,719.</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920" w:type="dxa"/>
            <w:vAlign w:val="bottom"/>
            <w:gridSpan w:val="3"/>
          </w:tcPr>
          <w:p>
            <w:pPr>
              <w:ind w:left="580"/>
              <w:spacing w:after="0"/>
              <w:rPr>
                <w:sz w:val="20"/>
                <w:szCs w:val="20"/>
                <w:color w:val="auto"/>
              </w:rPr>
            </w:pPr>
            <w:r>
              <w:rPr>
                <w:rFonts w:ascii="Arial" w:cs="Arial" w:eastAsia="Arial" w:hAnsi="Arial"/>
                <w:sz w:val="13"/>
                <w:szCs w:val="13"/>
                <w:b w:val="1"/>
                <w:bCs w:val="1"/>
                <w:color w:val="auto"/>
                <w:w w:val="98"/>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48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4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24,080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off-hire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3,108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payable to charterers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purchases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10,336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14,332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cash distributions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64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2,232</w:t>
            </w:r>
          </w:p>
        </w:tc>
      </w:tr>
      <w:tr>
        <w:trPr>
          <w:trHeight w:val="20"/>
        </w:trPr>
        <w:tc>
          <w:tcPr>
            <w:tcW w:w="6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57,774</w:t>
            </w: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unearned revenue of $24,080 represents monthly charter hires received in advance as of December 31, 2018 relating to January 2019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$25,236).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recognized the following amounts relating to revenues: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800" w:type="dxa"/>
            <w:vAlign w:val="bottom"/>
            <w:gridSpan w:val="6"/>
          </w:tcPr>
          <w:p>
            <w:pPr>
              <w:jc w:val="center"/>
              <w:ind w:left="540"/>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time charters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317,489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371,146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341,066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Revenues from the Cool Pool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11,475</w:t>
            </w:r>
          </w:p>
        </w:tc>
      </w:tr>
      <w:tr>
        <w:trPr>
          <w:trHeight w:val="20"/>
        </w:trPr>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317,489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371,146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352,541</w:t>
            </w:r>
          </w:p>
        </w:tc>
      </w:tr>
      <w:tr>
        <w:trPr>
          <w:trHeight w:val="20"/>
        </w:trPr>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69" w:lineRule="auto"/>
        <w:rPr>
          <w:sz w:val="20"/>
          <w:szCs w:val="20"/>
          <w:color w:val="auto"/>
        </w:rPr>
      </w:pPr>
      <w:r>
        <w:rPr>
          <w:rFonts w:ascii="Arial" w:cs="Arial" w:eastAsia="Arial" w:hAnsi="Arial"/>
          <w:sz w:val="15"/>
          <w:szCs w:val="15"/>
          <w:color w:val="auto"/>
        </w:rPr>
        <w:t>Revenues from the Cool Pool relate only to the pool revenues received from a GasLog Partners vessel operating in the Cool Pool and do not include the Net pool allocation to GasLog Partners of a gain of $3,700 for the year ended December 31, 2018 (nil for the years ended December 31, 2017 and December 31, 2016).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Voyage Expenses and Commissions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voyage expenses and commissions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500" w:type="dxa"/>
            <w:vAlign w:val="bottom"/>
            <w:gridSpan w:val="6"/>
          </w:tcPr>
          <w:p>
            <w:pPr>
              <w:jc w:val="center"/>
              <w:ind w:left="320"/>
              <w:spacing w:after="0"/>
              <w:rPr>
                <w:sz w:val="20"/>
                <w:szCs w:val="20"/>
                <w:color w:val="auto"/>
              </w:rPr>
            </w:pPr>
            <w:r>
              <w:rPr>
                <w:rFonts w:ascii="Arial" w:cs="Arial" w:eastAsia="Arial" w:hAnsi="Arial"/>
                <w:sz w:val="13"/>
                <w:szCs w:val="13"/>
                <w:b w:val="1"/>
                <w:bCs w:val="1"/>
                <w:color w:val="auto"/>
                <w:w w:val="94"/>
              </w:rPr>
              <w:t>For the year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0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4,648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4,296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Bunkers' consumption and other voyage expenses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2,826</w:t>
            </w:r>
          </w:p>
        </w:tc>
      </w:tr>
      <w:tr>
        <w:trPr>
          <w:trHeight w:val="20"/>
        </w:trPr>
        <w:tc>
          <w:tcPr>
            <w:tcW w:w="6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4,333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4,650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7,122</w:t>
            </w:r>
          </w:p>
        </w:tc>
      </w:tr>
      <w:tr>
        <w:trPr>
          <w:trHeight w:val="20"/>
        </w:trPr>
        <w:tc>
          <w:tcPr>
            <w:tcW w:w="6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Bunkers' consumption represents mainly bunkers consumed during periods when a vessel is not employed under a charter or off-hire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80" w:type="dxa"/>
            <w:vAlign w:val="bottom"/>
            <w:gridSpan w:val="6"/>
          </w:tcPr>
          <w:p>
            <w:pPr>
              <w:jc w:val="center"/>
              <w:ind w:left="424"/>
              <w:spacing w:after="0"/>
              <w:rPr>
                <w:sz w:val="20"/>
                <w:szCs w:val="20"/>
                <w:color w:val="auto"/>
              </w:rPr>
            </w:pPr>
            <w:r>
              <w:rPr>
                <w:rFonts w:ascii="Arial" w:cs="Arial" w:eastAsia="Arial" w:hAnsi="Arial"/>
                <w:sz w:val="13"/>
                <w:szCs w:val="13"/>
                <w:b w:val="1"/>
                <w:bCs w:val="1"/>
                <w:color w:val="auto"/>
                <w:w w:val="94"/>
              </w:rPr>
              <w:t>For the 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2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 (Note 13)</w:t>
            </w:r>
          </w:p>
        </w:tc>
        <w:tc>
          <w:tcPr>
            <w:tcW w:w="3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4,802</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10,398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Commercial management fees (Note 13)</w:t>
            </w:r>
          </w:p>
        </w:tc>
        <w:tc>
          <w:tcPr>
            <w:tcW w:w="3040" w:type="dxa"/>
            <w:vAlign w:val="bottom"/>
            <w:gridSpan w:val="3"/>
          </w:tcPr>
          <w:p>
            <w:pPr>
              <w:jc w:val="right"/>
              <w:ind w:right="40"/>
              <w:spacing w:after="0"/>
              <w:rPr>
                <w:sz w:val="20"/>
                <w:szCs w:val="20"/>
                <w:color w:val="auto"/>
              </w:rPr>
            </w:pPr>
            <w:r>
              <w:rPr>
                <w:rFonts w:ascii="Arial" w:cs="Arial" w:eastAsia="Arial" w:hAnsi="Arial"/>
                <w:sz w:val="18"/>
                <w:szCs w:val="18"/>
                <w:color w:val="auto"/>
              </w:rPr>
              <w:t>4,535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5,040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(Note 20)</w:t>
            </w:r>
          </w:p>
        </w:tc>
        <w:tc>
          <w:tcPr>
            <w:tcW w:w="3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expenses</w:t>
            </w:r>
          </w:p>
        </w:tc>
        <w:tc>
          <w:tcPr>
            <w:tcW w:w="23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2,897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13,206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19,369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Vessel Operating Costs</w:t>
            </w:r>
          </w:p>
        </w:tc>
        <w:tc>
          <w:tcPr>
            <w:tcW w:w="2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0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gridSpan w:val="2"/>
          </w:tcPr>
          <w:p>
            <w:pPr>
              <w:ind w:left="340"/>
              <w:spacing w:after="0"/>
              <w:rPr>
                <w:sz w:val="20"/>
                <w:szCs w:val="20"/>
                <w:color w:val="auto"/>
              </w:rPr>
            </w:pPr>
            <w:r>
              <w:rPr>
                <w:rFonts w:ascii="Arial" w:cs="Arial" w:eastAsia="Arial" w:hAnsi="Arial"/>
                <w:sz w:val="18"/>
                <w:szCs w:val="18"/>
                <w:color w:val="auto"/>
              </w:rPr>
              <w:t>An analysis of vessel operating costs is as follows:</w:t>
            </w: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80" w:type="dxa"/>
            <w:vAlign w:val="bottom"/>
            <w:gridSpan w:val="6"/>
          </w:tcPr>
          <w:p>
            <w:pPr>
              <w:jc w:val="center"/>
              <w:ind w:left="424"/>
              <w:spacing w:after="0"/>
              <w:rPr>
                <w:sz w:val="20"/>
                <w:szCs w:val="20"/>
                <w:color w:val="auto"/>
              </w:rPr>
            </w:pPr>
            <w:r>
              <w:rPr>
                <w:rFonts w:ascii="Arial" w:cs="Arial" w:eastAsia="Arial" w:hAnsi="Arial"/>
                <w:sz w:val="13"/>
                <w:szCs w:val="13"/>
                <w:b w:val="1"/>
                <w:bCs w:val="1"/>
                <w:color w:val="auto"/>
                <w:w w:val="94"/>
              </w:rPr>
              <w:t>For the year ended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2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Crew costs</w:t>
            </w:r>
          </w:p>
        </w:tc>
        <w:tc>
          <w:tcPr>
            <w:tcW w:w="3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30,673</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36,617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35,764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3040" w:type="dxa"/>
            <w:vAlign w:val="bottom"/>
            <w:gridSpan w:val="3"/>
          </w:tcPr>
          <w:p>
            <w:pPr>
              <w:jc w:val="right"/>
              <w:ind w:right="40"/>
              <w:spacing w:after="0"/>
              <w:rPr>
                <w:sz w:val="20"/>
                <w:szCs w:val="20"/>
                <w:color w:val="auto"/>
              </w:rPr>
            </w:pPr>
            <w:r>
              <w:rPr>
                <w:rFonts w:ascii="Arial" w:cs="Arial" w:eastAsia="Arial" w:hAnsi="Arial"/>
                <w:sz w:val="18"/>
                <w:szCs w:val="18"/>
                <w:color w:val="auto"/>
              </w:rPr>
              <w:t>14,879</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14,985</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15,321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17,524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19,767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17,640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68,725</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40" w:type="dxa"/>
            <w:vAlign w:val="bottom"/>
            <w:gridSpan w:val="3"/>
          </w:tcPr>
          <w:p>
            <w:pPr>
              <w:jc w:val="right"/>
              <w:ind w:right="2180"/>
              <w:spacing w:after="0"/>
              <w:rPr>
                <w:sz w:val="20"/>
                <w:szCs w:val="20"/>
                <w:color w:val="auto"/>
              </w:rPr>
            </w:pPr>
            <w:r>
              <w:rPr>
                <w:rFonts w:ascii="Arial" w:cs="Arial" w:eastAsia="Arial" w:hAnsi="Arial"/>
                <w:sz w:val="18"/>
                <w:szCs w:val="18"/>
                <w:color w:val="auto"/>
              </w:rPr>
              <w:t>F-38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financial costs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680" w:type="dxa"/>
            <w:vAlign w:val="bottom"/>
            <w:gridSpan w:val="6"/>
          </w:tcPr>
          <w:p>
            <w:pPr>
              <w:jc w:val="center"/>
              <w:ind w:left="417"/>
              <w:spacing w:after="0"/>
              <w:rPr>
                <w:sz w:val="20"/>
                <w:szCs w:val="20"/>
                <w:color w:val="auto"/>
              </w:rPr>
            </w:pPr>
            <w:r>
              <w:rPr>
                <w:rFonts w:ascii="Arial" w:cs="Arial" w:eastAsia="Arial" w:hAnsi="Arial"/>
                <w:sz w:val="13"/>
                <w:szCs w:val="13"/>
                <w:b w:val="1"/>
                <w:bCs w:val="1"/>
                <w:color w:val="auto"/>
                <w:w w:val="94"/>
              </w:rPr>
              <w:t>For the 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20" w:type="dxa"/>
            <w:vAlign w:val="bottom"/>
          </w:tcPr>
          <w:p>
            <w:pPr>
              <w:jc w:val="right"/>
              <w:ind w:right="97"/>
              <w:spacing w:after="0" w:line="142"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740" w:type="dxa"/>
            <w:vAlign w:val="bottom"/>
            <w:gridSpan w:val="2"/>
          </w:tcPr>
          <w:p>
            <w:pPr>
              <w:jc w:val="center"/>
              <w:ind w:left="37"/>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Financial income</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209</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2,413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8,160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44,882</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55,974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58,548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Commitment fees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financial costs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60,247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65,122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66,287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During the year ended December 31, 2016, an amount of $5,637 representing the write-off of the unamortized deferred loan issuance costs in connection with the repayment of the loan agreement of GAS-seven Ltd. and GAS-eight Ltd. on July 25, 2016 (Note 6) is included in Amortization of deferred loan issuance costs. During the year ended December 31, 2018, an amount of $900 representing the write-off of the unamortized deferred loan issuance costs in connection with the termination of the term loan facility of the New Sponsor Credit Facility (Note 6) is included in Amortization of deferred loan issuance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the following balances with related parties which are included in the consolidated statements of financial position: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gridSpan w:val="4"/>
          </w:tcPr>
          <w:p>
            <w:pPr>
              <w:jc w:val="center"/>
              <w:ind w:right="1760"/>
              <w:spacing w:after="0"/>
              <w:rPr>
                <w:sz w:val="20"/>
                <w:szCs w:val="20"/>
                <w:color w:val="auto"/>
              </w:rPr>
            </w:pPr>
            <w:r>
              <w:rPr>
                <w:rFonts w:ascii="Arial" w:cs="Arial" w:eastAsia="Arial" w:hAnsi="Arial"/>
                <w:sz w:val="13"/>
                <w:szCs w:val="13"/>
                <w:b w:val="1"/>
                <w:bCs w:val="1"/>
                <w:color w:val="auto"/>
                <w:w w:val="86"/>
              </w:rPr>
              <w:t>As of</w:t>
            </w: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520" w:type="dxa"/>
            <w:vAlign w:val="bottom"/>
            <w:gridSpan w:val="5"/>
          </w:tcPr>
          <w:p>
            <w:pPr>
              <w:jc w:val="center"/>
              <w:ind w:right="1320"/>
              <w:spacing w:after="0"/>
              <w:rPr>
                <w:sz w:val="20"/>
                <w:szCs w:val="20"/>
                <w:color w:val="auto"/>
              </w:rPr>
            </w:pPr>
            <w:r>
              <w:rPr>
                <w:rFonts w:ascii="Arial" w:cs="Arial" w:eastAsia="Arial" w:hAnsi="Arial"/>
                <w:sz w:val="13"/>
                <w:szCs w:val="13"/>
                <w:b w:val="1"/>
                <w:bCs w:val="1"/>
                <w:color w:val="auto"/>
                <w:w w:val="94"/>
              </w:rPr>
              <w:t>December 31,</w:t>
            </w: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3"/>
                <w:szCs w:val="13"/>
                <w:b w:val="1"/>
                <w:bCs w:val="1"/>
                <w:color w:val="auto"/>
              </w:rPr>
              <w:t>2017</w:t>
            </w:r>
          </w:p>
        </w:tc>
        <w:tc>
          <w:tcPr>
            <w:tcW w:w="76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4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440" w:type="dxa"/>
            <w:vAlign w:val="bottom"/>
          </w:tcPr>
          <w:p>
            <w:pPr>
              <w:spacing w:after="0" w:line="256" w:lineRule="exact"/>
              <w:rPr>
                <w:sz w:val="20"/>
                <w:szCs w:val="20"/>
                <w:color w:val="auto"/>
              </w:rPr>
            </w:pPr>
            <w:r>
              <w:rPr>
                <w:rFonts w:ascii="Arial" w:cs="Arial" w:eastAsia="Arial" w:hAnsi="Arial"/>
                <w:sz w:val="18"/>
                <w:szCs w:val="18"/>
                <w:color w:val="auto"/>
              </w:rPr>
              <w:t>Due from the Cool Pool</w:t>
            </w:r>
            <w:r>
              <w:rPr>
                <w:rFonts w:ascii="Arial" w:cs="Arial" w:eastAsia="Arial" w:hAnsi="Arial"/>
                <w:sz w:val="29"/>
                <w:szCs w:val="29"/>
                <w:color w:val="auto"/>
                <w:vertAlign w:val="superscript"/>
              </w:rPr>
              <w:t>(a)</w:t>
            </w:r>
          </w:p>
        </w:tc>
        <w:tc>
          <w:tcPr>
            <w:tcW w:w="4440" w:type="dxa"/>
            <w:vAlign w:val="bottom"/>
          </w:tcPr>
          <w:p>
            <w:pPr>
              <w:spacing w:after="0"/>
              <w:rPr>
                <w:sz w:val="22"/>
                <w:szCs w:val="22"/>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2"/>
                <w:szCs w:val="22"/>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4"/>
              </w:rPr>
              <w:t>5,281</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84"/>
              </w:rPr>
              <w:t>5,281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gridSpan w:val="2"/>
          </w:tcPr>
          <w:p>
            <w:pPr>
              <w:jc w:val="right"/>
              <w:ind w:right="3442"/>
              <w:spacing w:after="0"/>
              <w:rPr>
                <w:sz w:val="20"/>
                <w:szCs w:val="20"/>
                <w:color w:val="auto"/>
              </w:rPr>
            </w:pPr>
            <w:r>
              <w:rPr>
                <w:rFonts w:ascii="Arial" w:cs="Arial" w:eastAsia="Arial" w:hAnsi="Arial"/>
                <w:sz w:val="18"/>
                <w:szCs w:val="18"/>
                <w:color w:val="auto"/>
              </w:rPr>
              <w:t>F-39</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3"/>
                <w:szCs w:val="13"/>
                <w:b w:val="1"/>
                <w:bCs w:val="1"/>
                <w:color w:val="auto"/>
                <w:w w:val="92"/>
              </w:rPr>
              <w:t>As of</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24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840" w:type="dxa"/>
            <w:vAlign w:val="bottom"/>
            <w:gridSpan w:val="2"/>
          </w:tcPr>
          <w:p>
            <w:pPr>
              <w:spacing w:after="0" w:line="256" w:lineRule="exact"/>
              <w:rPr>
                <w:sz w:val="20"/>
                <w:szCs w:val="20"/>
                <w:color w:val="auto"/>
              </w:rPr>
            </w:pPr>
            <w:r>
              <w:rPr>
                <w:rFonts w:ascii="Arial" w:cs="Arial" w:eastAsia="Arial" w:hAnsi="Arial"/>
                <w:sz w:val="18"/>
                <w:szCs w:val="18"/>
                <w:color w:val="auto"/>
              </w:rPr>
              <w:t>Due to GasLog LNG Services</w:t>
            </w:r>
            <w:r>
              <w:rPr>
                <w:rFonts w:ascii="Arial" w:cs="Arial" w:eastAsia="Arial" w:hAnsi="Arial"/>
                <w:sz w:val="29"/>
                <w:szCs w:val="29"/>
                <w:color w:val="auto"/>
                <w:vertAlign w:val="superscript"/>
              </w:rPr>
              <w:t>(b)</w:t>
            </w:r>
          </w:p>
        </w:tc>
        <w:tc>
          <w:tcPr>
            <w:tcW w:w="520" w:type="dxa"/>
            <w:vAlign w:val="bottom"/>
          </w:tcPr>
          <w:p>
            <w:pPr>
              <w:jc w:val="right"/>
              <w:spacing w:after="0"/>
              <w:rPr>
                <w:sz w:val="20"/>
                <w:szCs w:val="20"/>
                <w:color w:val="auto"/>
              </w:rPr>
            </w:pPr>
            <w:r>
              <w:rPr>
                <w:rFonts w:ascii="Arial" w:cs="Arial" w:eastAsia="Arial" w:hAnsi="Arial"/>
                <w:sz w:val="18"/>
                <w:szCs w:val="18"/>
                <w:color w:val="auto"/>
              </w:rPr>
              <w:t>4,916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1,368</w:t>
            </w:r>
          </w:p>
        </w:tc>
        <w:tc>
          <w:tcPr>
            <w:tcW w:w="160" w:type="dxa"/>
            <w:vAlign w:val="bottom"/>
          </w:tcPr>
          <w:p>
            <w:pPr>
              <w:spacing w:after="0"/>
              <w:rPr>
                <w:sz w:val="22"/>
                <w:szCs w:val="22"/>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Due to GasLog</w:t>
            </w:r>
            <w:r>
              <w:rPr>
                <w:rFonts w:ascii="Arial" w:cs="Arial" w:eastAsia="Arial" w:hAnsi="Arial"/>
                <w:sz w:val="29"/>
                <w:szCs w:val="29"/>
                <w:color w:val="auto"/>
                <w:vertAlign w:val="superscript"/>
              </w:rPr>
              <w:t>(c)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22"/>
                <w:szCs w:val="22"/>
                <w:color w:val="auto"/>
              </w:rPr>
            </w:pPr>
          </w:p>
        </w:tc>
      </w:tr>
      <w:tr>
        <w:trPr>
          <w:trHeight w:val="257"/>
        </w:trPr>
        <w:tc>
          <w:tcPr>
            <w:tcW w:w="7840" w:type="dxa"/>
            <w:vAlign w:val="bottom"/>
            <w:gridSpan w:val="2"/>
          </w:tcPr>
          <w:p>
            <w:pPr>
              <w:spacing w:after="0" w:line="256" w:lineRule="exact"/>
              <w:rPr>
                <w:sz w:val="20"/>
                <w:szCs w:val="20"/>
                <w:color w:val="auto"/>
              </w:rPr>
            </w:pPr>
            <w:r>
              <w:rPr>
                <w:rFonts w:ascii="Arial" w:cs="Arial" w:eastAsia="Arial" w:hAnsi="Arial"/>
                <w:sz w:val="18"/>
                <w:szCs w:val="18"/>
                <w:color w:val="auto"/>
              </w:rPr>
              <w:t>Due to GasLog Carriers Ltd. ("GasLog Carriers")</w:t>
            </w:r>
            <w:r>
              <w:rPr>
                <w:rFonts w:ascii="Arial" w:cs="Arial" w:eastAsia="Arial" w:hAnsi="Arial"/>
                <w:sz w:val="29"/>
                <w:szCs w:val="29"/>
                <w:color w:val="auto"/>
                <w:vertAlign w:val="superscript"/>
              </w:rPr>
              <w:t>(d)</w:t>
            </w:r>
          </w:p>
        </w:tc>
        <w:tc>
          <w:tcPr>
            <w:tcW w:w="520" w:type="dxa"/>
            <w:vAlign w:val="bottom"/>
          </w:tcPr>
          <w:p>
            <w:pPr>
              <w:jc w:val="right"/>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9,892</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2,022</w:t>
            </w:r>
          </w:p>
        </w:tc>
        <w:tc>
          <w:tcPr>
            <w:tcW w:w="160" w:type="dxa"/>
            <w:vAlign w:val="bottom"/>
            <w:shd w:val="clear" w:color="auto" w:fill="CCEEFF"/>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5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hanging="536"/>
        <w:spacing w:after="0"/>
        <w:tabs>
          <w:tab w:leader="none" w:pos="17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As of December 31, 2018, the balance due from the Cool Pool comprises outstanding pool distributions (Note 8).</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The balance as of December 31, 2017 represents mainly payments made by GasLog LNG Services on behalf of the Partnership.</w:t>
      </w:r>
    </w:p>
    <w:p>
      <w:pPr>
        <w:spacing w:after="0" w:line="134" w:lineRule="exact"/>
        <w:rPr>
          <w:rFonts w:ascii="Arial" w:cs="Arial" w:eastAsia="Arial" w:hAnsi="Arial"/>
          <w:sz w:val="11"/>
          <w:szCs w:val="11"/>
          <w:color w:val="auto"/>
        </w:rPr>
      </w:pPr>
    </w:p>
    <w:p>
      <w:pPr>
        <w:ind w:left="1700" w:hanging="536"/>
        <w:spacing w:after="0"/>
        <w:tabs>
          <w:tab w:leader="none" w:pos="17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The balances represent payments made by GasLog on behalf of the Partnership.</w:t>
      </w:r>
    </w:p>
    <w:p>
      <w:pPr>
        <w:spacing w:after="0" w:line="134" w:lineRule="exact"/>
        <w:rPr>
          <w:rFonts w:ascii="Arial" w:cs="Arial" w:eastAsia="Arial" w:hAnsi="Arial"/>
          <w:sz w:val="11"/>
          <w:szCs w:val="11"/>
          <w:color w:val="auto"/>
        </w:rPr>
      </w:pPr>
    </w:p>
    <w:p>
      <w:pPr>
        <w:ind w:left="1700" w:hanging="536"/>
        <w:spacing w:after="0" w:line="256" w:lineRule="auto"/>
        <w:tabs>
          <w:tab w:leader="none" w:pos="17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As of December 31, 2017, the balance due to GasLog Carriers, the parent company of GAS-fourteen Ltd. and GAS-twenty seven Ltd., prior to their acquisitions by the Partnership on April 26, 2018 and November 14, 2018, respectively, represented mainly amounts paid directly by GasLog Carriers on behalf of GAS-fourteen Ltd. and GAS-twenty seven Ltd., covering expenses during the construction period. As of December 31, 2018, the outstanding balance had been fully settled.</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7860" w:type="dxa"/>
            <w:vAlign w:val="bottom"/>
          </w:tcPr>
          <w:p>
            <w:pPr>
              <w:spacing w:after="0"/>
              <w:rPr>
                <w:sz w:val="13"/>
                <w:szCs w:val="13"/>
                <w:color w:val="auto"/>
              </w:rPr>
            </w:pPr>
          </w:p>
        </w:tc>
        <w:tc>
          <w:tcPr>
            <w:tcW w:w="780" w:type="dxa"/>
            <w:vAlign w:val="bottom"/>
            <w:gridSpan w:val="2"/>
          </w:tcPr>
          <w:p>
            <w:pPr>
              <w:jc w:val="center"/>
              <w:ind w:left="364"/>
              <w:spacing w:after="0"/>
              <w:rPr>
                <w:sz w:val="20"/>
                <w:szCs w:val="20"/>
                <w:color w:val="auto"/>
              </w:rPr>
            </w:pPr>
            <w:r>
              <w:rPr>
                <w:rFonts w:ascii="Arial" w:cs="Arial" w:eastAsia="Arial" w:hAnsi="Arial"/>
                <w:sz w:val="13"/>
                <w:szCs w:val="13"/>
                <w:b w:val="1"/>
                <w:bCs w:val="1"/>
                <w:color w:val="auto"/>
                <w:w w:val="92"/>
              </w:rPr>
              <w:t>As of</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786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78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due to related parties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New Sponsor Credit Facility with GasLog</w:t>
            </w:r>
          </w:p>
        </w:tc>
        <w:tc>
          <w:tcPr>
            <w:tcW w:w="620" w:type="dxa"/>
            <w:vAlign w:val="bottom"/>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r>
      <w:tr>
        <w:trPr>
          <w:trHeight w:val="20"/>
        </w:trPr>
        <w:tc>
          <w:tcPr>
            <w:tcW w:w="7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credit facility with GasLog are disclosed in Note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had the following transactions with related parties for the years ended December 31, 2016, 2017 and 2018:</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20" w:type="dxa"/>
            <w:vAlign w:val="bottom"/>
          </w:tcPr>
          <w:p>
            <w:pPr>
              <w:spacing w:after="0"/>
              <w:rPr>
                <w:sz w:val="14"/>
                <w:szCs w:val="14"/>
                <w:color w:val="auto"/>
              </w:rPr>
            </w:pPr>
          </w:p>
        </w:tc>
        <w:tc>
          <w:tcPr>
            <w:tcW w:w="3540" w:type="dxa"/>
            <w:vAlign w:val="bottom"/>
          </w:tcPr>
          <w:p>
            <w:pPr>
              <w:ind w:left="1560"/>
              <w:spacing w:after="0"/>
              <w:rPr>
                <w:sz w:val="20"/>
                <w:szCs w:val="20"/>
                <w:color w:val="auto"/>
              </w:rPr>
            </w:pPr>
            <w:r>
              <w:rPr>
                <w:rFonts w:ascii="Arial" w:cs="Arial" w:eastAsia="Arial" w:hAnsi="Arial"/>
                <w:sz w:val="13"/>
                <w:szCs w:val="13"/>
                <w:b w:val="1"/>
                <w:bCs w:val="1"/>
                <w:color w:val="auto"/>
              </w:rPr>
              <w:t>Details</w:t>
            </w:r>
          </w:p>
        </w:tc>
        <w:tc>
          <w:tcPr>
            <w:tcW w:w="16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3"/>
                <w:szCs w:val="13"/>
                <w:b w:val="1"/>
                <w:bCs w:val="1"/>
                <w:color w:val="auto"/>
              </w:rPr>
              <w:t>Account</w:t>
            </w:r>
          </w:p>
        </w:tc>
        <w:tc>
          <w:tcPr>
            <w:tcW w:w="700" w:type="dxa"/>
            <w:vAlign w:val="bottom"/>
            <w:gridSpan w:val="2"/>
          </w:tcPr>
          <w:p>
            <w:pPr>
              <w:jc w:val="right"/>
              <w:ind w:right="52"/>
              <w:spacing w:after="0"/>
              <w:rPr>
                <w:sz w:val="20"/>
                <w:szCs w:val="20"/>
                <w:color w:val="auto"/>
              </w:rPr>
            </w:pPr>
            <w:r>
              <w:rPr>
                <w:rFonts w:ascii="Arial" w:cs="Arial" w:eastAsia="Arial" w:hAnsi="Arial"/>
                <w:sz w:val="13"/>
                <w:szCs w:val="13"/>
                <w:b w:val="1"/>
                <w:bCs w:val="1"/>
                <w:color w:val="auto"/>
              </w:rPr>
              <w:t>2016</w:t>
            </w:r>
          </w:p>
        </w:tc>
        <w:tc>
          <w:tcPr>
            <w:tcW w:w="680" w:type="dxa"/>
            <w:vAlign w:val="bottom"/>
            <w:gridSpan w:val="2"/>
          </w:tcPr>
          <w:p>
            <w:pPr>
              <w:jc w:val="right"/>
              <w:ind w:right="52"/>
              <w:spacing w:after="0"/>
              <w:rPr>
                <w:sz w:val="20"/>
                <w:szCs w:val="20"/>
                <w:color w:val="auto"/>
              </w:rPr>
            </w:pPr>
            <w:r>
              <w:rPr>
                <w:rFonts w:ascii="Arial" w:cs="Arial" w:eastAsia="Arial" w:hAnsi="Arial"/>
                <w:sz w:val="13"/>
                <w:szCs w:val="13"/>
                <w:b w:val="1"/>
                <w:bCs w:val="1"/>
                <w:color w:val="auto"/>
              </w:rPr>
              <w:t>2017</w:t>
            </w:r>
          </w:p>
        </w:tc>
        <w:tc>
          <w:tcPr>
            <w:tcW w:w="780" w:type="dxa"/>
            <w:vAlign w:val="bottom"/>
            <w:gridSpan w:val="2"/>
          </w:tcPr>
          <w:p>
            <w:pPr>
              <w:jc w:val="right"/>
              <w:ind w:right="92"/>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5"/>
              </w:rPr>
              <w:t>Costs capitalized to</w:t>
            </w:r>
          </w:p>
        </w:tc>
        <w:tc>
          <w:tcPr>
            <w:tcW w:w="2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vessels' cost</w:t>
            </w:r>
          </w:p>
        </w:tc>
        <w:tc>
          <w:tcPr>
            <w:tcW w:w="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 LNG</w:t>
            </w:r>
          </w:p>
        </w:tc>
        <w:tc>
          <w:tcPr>
            <w:tcW w:w="35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Construction supervision fees</w:t>
            </w:r>
            <w:r>
              <w:rPr>
                <w:rFonts w:ascii="Arial" w:cs="Arial" w:eastAsia="Arial" w:hAnsi="Arial"/>
                <w:sz w:val="24"/>
                <w:szCs w:val="24"/>
                <w:color w:val="auto"/>
                <w:vertAlign w:val="superscript"/>
              </w:rPr>
              <w:t>(i)</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Vessels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expensed</w:t>
            </w:r>
          </w:p>
        </w:tc>
        <w:tc>
          <w:tcPr>
            <w:tcW w:w="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Commercial management fee</w:t>
            </w:r>
            <w:r>
              <w:rPr>
                <w:rFonts w:ascii="Arial" w:cs="Arial" w:eastAsia="Arial" w:hAnsi="Arial"/>
                <w:sz w:val="24"/>
                <w:szCs w:val="24"/>
                <w:color w:val="auto"/>
                <w:vertAlign w:val="superscript"/>
              </w:rPr>
              <w:t>(ii)</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General and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5"/>
                <w:szCs w:val="15"/>
                <w:color w:val="auto"/>
              </w:rPr>
              <w:t>Administrative services fee</w:t>
            </w:r>
            <w:r>
              <w:rPr>
                <w:rFonts w:ascii="Arial" w:cs="Arial" w:eastAsia="Arial" w:hAnsi="Arial"/>
                <w:sz w:val="24"/>
                <w:szCs w:val="24"/>
                <w:color w:val="auto"/>
                <w:vertAlign w:val="superscript"/>
              </w:rPr>
              <w:t>(iii)</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 LNG</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w w:val="89"/>
              </w:rPr>
              <w:t>Management fees and other vessel management</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90"/>
              </w:rPr>
              <w:t>Vessel operating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6,192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3560" w:type="dxa"/>
            <w:vAlign w:val="bottom"/>
            <w:gridSpan w:val="2"/>
          </w:tcPr>
          <w:p>
            <w:pPr>
              <w:ind w:left="20"/>
              <w:spacing w:after="0" w:line="265" w:lineRule="exact"/>
              <w:rPr>
                <w:sz w:val="20"/>
                <w:szCs w:val="20"/>
                <w:color w:val="auto"/>
              </w:rPr>
            </w:pPr>
            <w:r>
              <w:rPr>
                <w:rFonts w:ascii="Arial" w:cs="Arial" w:eastAsia="Arial" w:hAnsi="Arial"/>
                <w:sz w:val="18"/>
                <w:szCs w:val="18"/>
                <w:color w:val="auto"/>
              </w:rPr>
              <w:t>expenses</w:t>
            </w:r>
            <w:r>
              <w:rPr>
                <w:rFonts w:ascii="Arial" w:cs="Arial" w:eastAsia="Arial" w:hAnsi="Arial"/>
                <w:sz w:val="29"/>
                <w:szCs w:val="29"/>
                <w:color w:val="auto"/>
                <w:vertAlign w:val="superscript"/>
              </w:rPr>
              <w:t>(iv)</w:t>
            </w: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LNG</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vessel operating costs</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Vessel operating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Interest on revolving credit facility (Note 6)</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 fee on revolving credit facility</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financial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6)</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Interest on interest rate swaps (Note 17)</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(Loss)/gain 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loss on forward foreign exchange</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(Loss)/gain 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held for trading (Note 17)</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3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Compensation for lost hire</w:t>
            </w:r>
            <w:r>
              <w:rPr>
                <w:rFonts w:ascii="Arial" w:cs="Arial" w:eastAsia="Arial" w:hAnsi="Arial"/>
                <w:sz w:val="29"/>
                <w:szCs w:val="29"/>
                <w:color w:val="auto"/>
                <w:vertAlign w:val="superscript"/>
              </w:rPr>
              <w:t>(v)</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Cool Pool</w:t>
            </w: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 for net pool allocation</w:t>
            </w: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700" w:hanging="536"/>
        <w:spacing w:after="0"/>
        <w:tabs>
          <w:tab w:leader="none" w:pos="1700" w:val="left"/>
        </w:tabs>
        <w:numPr>
          <w:ilvl w:val="0"/>
          <w:numId w:val="155"/>
        </w:numPr>
        <w:rPr>
          <w:rFonts w:ascii="Arial" w:cs="Arial" w:eastAsia="Arial" w:hAnsi="Arial"/>
          <w:sz w:val="22"/>
          <w:szCs w:val="22"/>
          <w:color w:val="auto"/>
          <w:vertAlign w:val="superscript"/>
        </w:rPr>
      </w:pPr>
      <w:r>
        <w:rPr>
          <w:rFonts w:ascii="Arial" w:cs="Arial" w:eastAsia="Arial" w:hAnsi="Arial"/>
          <w:sz w:val="13"/>
          <w:szCs w:val="13"/>
          <w:b w:val="1"/>
          <w:bCs w:val="1"/>
          <w:i w:val="1"/>
          <w:iCs w:val="1"/>
          <w:color w:val="auto"/>
        </w:rPr>
        <w:t>Shipbuilding Supervision Agreements</w:t>
      </w:r>
    </w:p>
    <w:p>
      <w:pPr>
        <w:spacing w:after="0" w:line="219" w:lineRule="exact"/>
        <w:rPr>
          <w:rFonts w:ascii="Arial" w:cs="Arial" w:eastAsia="Arial" w:hAnsi="Arial"/>
          <w:sz w:val="22"/>
          <w:szCs w:val="22"/>
          <w:color w:val="auto"/>
          <w:vertAlign w:val="superscript"/>
        </w:rPr>
      </w:pPr>
    </w:p>
    <w:p>
      <w:pPr>
        <w:ind w:left="1700"/>
        <w:spacing w:after="0" w:line="273" w:lineRule="auto"/>
        <w:rPr>
          <w:rFonts w:ascii="Arial" w:cs="Arial" w:eastAsia="Arial" w:hAnsi="Arial"/>
          <w:sz w:val="22"/>
          <w:szCs w:val="22"/>
          <w:color w:val="auto"/>
          <w:vertAlign w:val="superscript"/>
        </w:rPr>
      </w:pPr>
      <w:r>
        <w:rPr>
          <w:rFonts w:ascii="Arial" w:cs="Arial" w:eastAsia="Arial" w:hAnsi="Arial"/>
          <w:sz w:val="12"/>
          <w:szCs w:val="12"/>
          <w:color w:val="auto"/>
        </w:rPr>
        <w:t>The Manager charged the vessel owning companies shipbuilding supervision fees pursuant to the shipbuilding supervision contracts that were signed on August 1, 2014 with respect to GAS-eleven Ltd., GAS-thirteen Ltd. and GAS-fourteen Ltd. In accordance with the shipbuilding supervision contracts, the Manager was appointed as the supervisor of the construction of the vessels under the relevant shipbuilding contracts and responsible for providing technical consultancy services and attending sea trials and factory acceptance tests until the successful delivery of each vessel. Monthly charge rates for the site inspection team varied from $12.5 to $18.5 according to the level of seniority of the inspectors. On November 4, 2015, all agreements were amended to delete the clauses regarding factory acceptance tests and technical consultancy fees.</w:t>
      </w:r>
    </w:p>
    <w:p>
      <w:pPr>
        <w:spacing w:after="0" w:line="146" w:lineRule="exact"/>
        <w:rPr>
          <w:rFonts w:ascii="Arial" w:cs="Arial" w:eastAsia="Arial" w:hAnsi="Arial"/>
          <w:sz w:val="22"/>
          <w:szCs w:val="22"/>
          <w:color w:val="auto"/>
          <w:vertAlign w:val="superscript"/>
        </w:rPr>
      </w:pPr>
    </w:p>
    <w:p>
      <w:pPr>
        <w:ind w:left="1700" w:hanging="536"/>
        <w:spacing w:after="0"/>
        <w:tabs>
          <w:tab w:leader="none" w:pos="1700" w:val="left"/>
        </w:tabs>
        <w:numPr>
          <w:ilvl w:val="0"/>
          <w:numId w:val="155"/>
        </w:numPr>
        <w:rPr>
          <w:rFonts w:ascii="Arial" w:cs="Arial" w:eastAsia="Arial" w:hAnsi="Arial"/>
          <w:sz w:val="22"/>
          <w:szCs w:val="22"/>
          <w:color w:val="auto"/>
          <w:vertAlign w:val="superscript"/>
        </w:rPr>
      </w:pPr>
      <w:r>
        <w:rPr>
          <w:rFonts w:ascii="Arial" w:cs="Arial" w:eastAsia="Arial" w:hAnsi="Arial"/>
          <w:sz w:val="13"/>
          <w:szCs w:val="13"/>
          <w:b w:val="1"/>
          <w:bCs w:val="1"/>
          <w:i w:val="1"/>
          <w:iCs w:val="1"/>
          <w:color w:val="auto"/>
        </w:rPr>
        <w:t>Commercial Management Agreements</w:t>
      </w:r>
    </w:p>
    <w:p>
      <w:pPr>
        <w:spacing w:after="0" w:line="219" w:lineRule="exact"/>
        <w:rPr>
          <w:rFonts w:ascii="Arial" w:cs="Arial" w:eastAsia="Arial" w:hAnsi="Arial"/>
          <w:sz w:val="22"/>
          <w:szCs w:val="22"/>
          <w:color w:val="auto"/>
          <w:vertAlign w:val="superscript"/>
        </w:rPr>
      </w:pPr>
    </w:p>
    <w:p>
      <w:pPr>
        <w:ind w:left="1700" w:right="60"/>
        <w:spacing w:after="0" w:line="270"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80"/>
          </w:cols>
          <w:pgMar w:left="160" w:top="5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29" w:lineRule="exact"/>
        <w:rPr>
          <w:sz w:val="20"/>
          <w:szCs w:val="20"/>
          <w:color w:val="auto"/>
        </w:rPr>
      </w:pPr>
    </w:p>
    <w:p>
      <w:pPr>
        <w:ind w:left="1700" w:right="100"/>
        <w:spacing w:after="0" w:line="245" w:lineRule="auto"/>
        <w:rPr>
          <w:sz w:val="20"/>
          <w:szCs w:val="20"/>
          <w:color w:val="auto"/>
        </w:rPr>
      </w:pPr>
      <w:r>
        <w:rPr>
          <w:rFonts w:ascii="Arial" w:cs="Arial" w:eastAsia="Arial" w:hAnsi="Arial"/>
          <w:sz w:val="13"/>
          <w:szCs w:val="13"/>
          <w:color w:val="auto"/>
        </w:rPr>
        <w:t xml:space="preserve">The same provisions are included in the commercial management agreements that GAS-eleven Ltd., GAS-thirteen Ltd., GAS-fourteen Ltd., GAS-sixteen Ltd., GAS-seventeen Ltd., GAS-nineteen Ltd., GAS-twenty Ltd., GAS-twenty one Ltd. and GAS-twenty seven Ltd. entered into with GasLog upon the deliveries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Becki Anne</w:t>
      </w:r>
      <w:r>
        <w:rPr>
          <w:rFonts w:ascii="Arial" w:cs="Arial" w:eastAsia="Arial" w:hAnsi="Arial"/>
          <w:sz w:val="13"/>
          <w:szCs w:val="13"/>
          <w:color w:val="auto"/>
        </w:rPr>
        <w:t>, respectively, into GasLog's fleet in March 2016, September 2016, October 2016, April 2014, June 2014 and March 2015 (together with the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 Management Agreements and the commercial management agreements entered into by GAS-seven Ltd. and GAS-eight Ltd. with GasLog, the "Commercial Management Agreements").</w:t>
      </w:r>
    </w:p>
    <w:p>
      <w:pPr>
        <w:spacing w:after="0" w:line="165" w:lineRule="exact"/>
        <w:rPr>
          <w:sz w:val="20"/>
          <w:szCs w:val="20"/>
          <w:color w:val="auto"/>
        </w:rPr>
      </w:pPr>
    </w:p>
    <w:p>
      <w:pPr>
        <w:ind w:left="1700" w:hanging="536"/>
        <w:spacing w:after="0"/>
        <w:tabs>
          <w:tab w:leader="none" w:pos="1700" w:val="left"/>
        </w:tabs>
        <w:numPr>
          <w:ilvl w:val="0"/>
          <w:numId w:val="156"/>
        </w:numPr>
        <w:rPr>
          <w:rFonts w:ascii="Arial" w:cs="Arial" w:eastAsia="Arial" w:hAnsi="Arial"/>
          <w:sz w:val="22"/>
          <w:szCs w:val="22"/>
          <w:color w:val="auto"/>
          <w:vertAlign w:val="superscript"/>
        </w:rPr>
      </w:pPr>
      <w:r>
        <w:rPr>
          <w:rFonts w:ascii="Arial" w:cs="Arial" w:eastAsia="Arial" w:hAnsi="Arial"/>
          <w:sz w:val="13"/>
          <w:szCs w:val="13"/>
          <w:b w:val="1"/>
          <w:bCs w:val="1"/>
          <w:i w:val="1"/>
          <w:iCs w:val="1"/>
          <w:color w:val="auto"/>
        </w:rPr>
        <w:t>Administrative Services Agreement</w:t>
      </w:r>
    </w:p>
    <w:p>
      <w:pPr>
        <w:spacing w:after="0" w:line="219" w:lineRule="exact"/>
        <w:rPr>
          <w:rFonts w:ascii="Arial" w:cs="Arial" w:eastAsia="Arial" w:hAnsi="Arial"/>
          <w:sz w:val="22"/>
          <w:szCs w:val="22"/>
          <w:color w:val="auto"/>
          <w:vertAlign w:val="superscript"/>
        </w:rPr>
      </w:pPr>
    </w:p>
    <w:p>
      <w:pPr>
        <w:ind w:left="1700"/>
        <w:spacing w:after="0" w:line="244" w:lineRule="auto"/>
        <w:rPr>
          <w:rFonts w:ascii="Arial" w:cs="Arial" w:eastAsia="Arial" w:hAnsi="Arial"/>
          <w:sz w:val="22"/>
          <w:szCs w:val="22"/>
          <w:color w:val="auto"/>
          <w:vertAlign w:val="superscript"/>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For the years ended December 31, 2017 and December 31, 2018, the annual service fee was $632 and $812 per vessel per year, respectively. With effect from January 1, 2019, the service fee was amended to $608 per vessel per year.</w:t>
      </w:r>
    </w:p>
    <w:p>
      <w:pPr>
        <w:spacing w:after="0" w:line="164" w:lineRule="exact"/>
        <w:rPr>
          <w:rFonts w:ascii="Arial" w:cs="Arial" w:eastAsia="Arial" w:hAnsi="Arial"/>
          <w:sz w:val="22"/>
          <w:szCs w:val="22"/>
          <w:color w:val="auto"/>
          <w:vertAlign w:val="superscript"/>
        </w:rPr>
      </w:pPr>
    </w:p>
    <w:p>
      <w:pPr>
        <w:ind w:left="1700" w:hanging="536"/>
        <w:spacing w:after="0"/>
        <w:tabs>
          <w:tab w:leader="none" w:pos="1700" w:val="left"/>
        </w:tabs>
        <w:numPr>
          <w:ilvl w:val="0"/>
          <w:numId w:val="156"/>
        </w:numPr>
        <w:rPr>
          <w:rFonts w:ascii="Arial" w:cs="Arial" w:eastAsia="Arial" w:hAnsi="Arial"/>
          <w:sz w:val="22"/>
          <w:szCs w:val="22"/>
          <w:color w:val="auto"/>
          <w:vertAlign w:val="superscript"/>
        </w:rPr>
      </w:pPr>
      <w:r>
        <w:rPr>
          <w:rFonts w:ascii="Arial" w:cs="Arial" w:eastAsia="Arial" w:hAnsi="Arial"/>
          <w:sz w:val="13"/>
          <w:szCs w:val="13"/>
          <w:b w:val="1"/>
          <w:bCs w:val="1"/>
          <w:i w:val="1"/>
          <w:iCs w:val="1"/>
          <w:color w:val="auto"/>
        </w:rPr>
        <w:t>Ship Management Agreements</w:t>
      </w:r>
    </w:p>
    <w:p>
      <w:pPr>
        <w:spacing w:after="0" w:line="219" w:lineRule="exact"/>
        <w:rPr>
          <w:rFonts w:ascii="Arial" w:cs="Arial" w:eastAsia="Arial" w:hAnsi="Arial"/>
          <w:sz w:val="22"/>
          <w:szCs w:val="22"/>
          <w:color w:val="auto"/>
          <w:vertAlign w:val="superscript"/>
        </w:rPr>
      </w:pPr>
    </w:p>
    <w:p>
      <w:pPr>
        <w:ind w:left="1700" w:right="20"/>
        <w:spacing w:after="0" w:line="262"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w:t>
      </w:r>
      <w:r>
        <w:rPr>
          <w:rFonts w:ascii="Arial" w:cs="Arial" w:eastAsia="Arial" w:hAnsi="Arial"/>
          <w:sz w:val="12"/>
          <w:szCs w:val="12"/>
          <w:color w:val="auto"/>
        </w:rPr>
        <w:t xml:space="preserve"> </w:t>
      </w:r>
      <w:r>
        <w:rPr>
          <w:rFonts w:ascii="Arial" w:cs="Arial" w:eastAsia="Arial" w:hAnsi="Arial"/>
          <w:sz w:val="12"/>
          <w:szCs w:val="12"/>
          <w:i w:val="1"/>
          <w:iCs w:val="1"/>
          <w:color w:val="auto"/>
        </w:rPr>
        <w:t>Victoria</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Shirley Elisabeth</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Heather Sally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Becki Anne</w:t>
      </w:r>
      <w:r>
        <w:rPr>
          <w:rFonts w:ascii="Arial" w:cs="Arial" w:eastAsia="Arial" w:hAnsi="Arial"/>
          <w:sz w:val="12"/>
          <w:szCs w:val="12"/>
          <w:color w:val="auto"/>
        </w:rPr>
        <w:t>, respectively, into GasLog's fleet in April 2014, June 2014 and March 2015 (together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GAS-thirteen Ltd. and GAS-fourteen Ltd. had entered into with GasLog upon the deliveries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in March 2016,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Geneva </w:t>
      </w:r>
      <w:r>
        <w:rPr>
          <w:rFonts w:ascii="Arial" w:cs="Arial" w:eastAsia="Arial" w:hAnsi="Arial"/>
          <w:sz w:val="12"/>
          <w:szCs w:val="12"/>
          <w:color w:val="auto"/>
        </w:rPr>
        <w:t>in September 2016 and the</w:t>
      </w:r>
      <w:r>
        <w:rPr>
          <w:rFonts w:ascii="Arial" w:cs="Arial" w:eastAsia="Arial" w:hAnsi="Arial"/>
          <w:sz w:val="12"/>
          <w:szCs w:val="12"/>
          <w:i w:val="1"/>
          <w:iCs w:val="1"/>
          <w:color w:val="auto"/>
        </w:rPr>
        <w:t xml:space="preserve"> GasLog Gibraltar </w:t>
      </w:r>
      <w:r>
        <w:rPr>
          <w:rFonts w:ascii="Arial" w:cs="Arial" w:eastAsia="Arial" w:hAnsi="Arial"/>
          <w:sz w:val="12"/>
          <w:szCs w:val="12"/>
          <w:color w:val="auto"/>
        </w:rPr>
        <w:t>in October 2016, respectively (with a fixed monthly charge of $46).</w:t>
      </w:r>
    </w:p>
    <w:p>
      <w:pPr>
        <w:spacing w:after="0" w:line="170" w:lineRule="exact"/>
        <w:rPr>
          <w:rFonts w:ascii="Arial" w:cs="Arial" w:eastAsia="Arial" w:hAnsi="Arial"/>
          <w:sz w:val="22"/>
          <w:szCs w:val="22"/>
          <w:color w:val="auto"/>
          <w:vertAlign w:val="superscript"/>
        </w:rPr>
      </w:pPr>
    </w:p>
    <w:p>
      <w:pPr>
        <w:jc w:val="both"/>
        <w:ind w:left="1700" w:right="20" w:hanging="536"/>
        <w:spacing w:after="0" w:line="256" w:lineRule="auto"/>
        <w:tabs>
          <w:tab w:leader="none" w:pos="1700" w:val="left"/>
        </w:tabs>
        <w:numPr>
          <w:ilvl w:val="0"/>
          <w:numId w:val="156"/>
        </w:numPr>
        <w:rPr>
          <w:rFonts w:ascii="Arial" w:cs="Arial" w:eastAsia="Arial" w:hAnsi="Arial"/>
          <w:sz w:val="11"/>
          <w:szCs w:val="11"/>
          <w:color w:val="auto"/>
        </w:rPr>
      </w:pPr>
      <w:r>
        <w:rPr>
          <w:rFonts w:ascii="Arial" w:cs="Arial" w:eastAsia="Arial" w:hAnsi="Arial"/>
          <w:sz w:val="13"/>
          <w:szCs w:val="13"/>
          <w:color w:val="auto"/>
        </w:rPr>
        <w:t xml:space="preserve">On January 16, 2019, the Partnership entered into an agreement with GasLog, whereby the latter agreed to compensate the Partnership for a delay in the scheduled commencement of the time charter of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in December 2018. The lost hire was calculated based on the estimated number of days of the delay multiplied by the daily hire rate of the time charter contract.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3" w:lineRule="exact"/>
        <w:rPr>
          <w:sz w:val="20"/>
          <w:szCs w:val="20"/>
          <w:color w:val="auto"/>
        </w:rPr>
      </w:pPr>
    </w:p>
    <w:p>
      <w:pPr>
        <w:ind w:left="1700" w:right="20"/>
        <w:spacing w:after="0" w:line="247" w:lineRule="auto"/>
        <w:rPr>
          <w:sz w:val="20"/>
          <w:szCs w:val="20"/>
          <w:color w:val="auto"/>
        </w:rPr>
      </w:pPr>
      <w:r>
        <w:rPr>
          <w:rFonts w:ascii="Arial" w:cs="Arial" w:eastAsia="Arial" w:hAnsi="Arial"/>
          <w:sz w:val="13"/>
          <w:szCs w:val="13"/>
          <w:color w:val="auto"/>
        </w:rPr>
        <w:t>Upon completion of the IPO on May 12, 2014, the Partnership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 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 On September 29, 2014, June 26, 2015, October 27, 2016, March 9, 2017, May 25, 2017 , August 30, 2017, March 3, 2018 and October 24, 2018, the Partnership exercised the option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29" w:lineRule="exact"/>
        <w:rPr>
          <w:sz w:val="20"/>
          <w:szCs w:val="20"/>
          <w:color w:val="auto"/>
        </w:rPr>
      </w:pPr>
    </w:p>
    <w:p>
      <w:pPr>
        <w:ind w:left="1700" w:right="280"/>
        <w:spacing w:after="0" w:line="317" w:lineRule="auto"/>
        <w:rPr>
          <w:sz w:val="20"/>
          <w:szCs w:val="20"/>
          <w:color w:val="auto"/>
        </w:rPr>
      </w:pPr>
      <w:r>
        <w:rPr>
          <w:rFonts w:ascii="Arial" w:cs="Arial" w:eastAsia="Arial" w:hAnsi="Arial"/>
          <w:sz w:val="12"/>
          <w:szCs w:val="12"/>
          <w:color w:val="auto"/>
        </w:rPr>
        <w:t xml:space="preserve">to acquire (i)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(ii)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(iii) the </w:t>
      </w:r>
      <w:r>
        <w:rPr>
          <w:rFonts w:ascii="Arial" w:cs="Arial" w:eastAsia="Arial" w:hAnsi="Arial"/>
          <w:sz w:val="12"/>
          <w:szCs w:val="12"/>
          <w:i w:val="1"/>
          <w:iCs w:val="1"/>
          <w:color w:val="auto"/>
        </w:rPr>
        <w:t xml:space="preserve">GasLog Seattle </w:t>
      </w:r>
      <w:r>
        <w:rPr>
          <w:rFonts w:ascii="Arial" w:cs="Arial" w:eastAsia="Arial" w:hAnsi="Arial"/>
          <w:sz w:val="12"/>
          <w:szCs w:val="12"/>
          <w:color w:val="auto"/>
        </w:rPr>
        <w:t>(iv) the</w:t>
      </w:r>
      <w:r>
        <w:rPr>
          <w:rFonts w:ascii="Arial" w:cs="Arial" w:eastAsia="Arial" w:hAnsi="Arial"/>
          <w:sz w:val="12"/>
          <w:szCs w:val="12"/>
          <w:i w:val="1"/>
          <w:iCs w:val="1"/>
          <w:color w:val="auto"/>
        </w:rPr>
        <w:t xml:space="preserve"> GasLog Greece</w:t>
      </w:r>
      <w:r>
        <w:rPr>
          <w:rFonts w:ascii="Arial" w:cs="Arial" w:eastAsia="Arial" w:hAnsi="Arial"/>
          <w:sz w:val="12"/>
          <w:szCs w:val="12"/>
          <w:color w:val="auto"/>
        </w:rPr>
        <w:t>, (v) the</w:t>
      </w:r>
      <w:r>
        <w:rPr>
          <w:rFonts w:ascii="Arial" w:cs="Arial" w:eastAsia="Arial" w:hAnsi="Arial"/>
          <w:sz w:val="12"/>
          <w:szCs w:val="12"/>
          <w:i w:val="1"/>
          <w:iCs w:val="1"/>
          <w:color w:val="auto"/>
        </w:rPr>
        <w:t xml:space="preserve"> GasLog Geneva</w:t>
      </w:r>
      <w:r>
        <w:rPr>
          <w:rFonts w:ascii="Arial" w:cs="Arial" w:eastAsia="Arial" w:hAnsi="Arial"/>
          <w:sz w:val="12"/>
          <w:szCs w:val="12"/>
          <w:color w:val="auto"/>
        </w:rPr>
        <w:t>, (vi) the</w:t>
      </w:r>
      <w:r>
        <w:rPr>
          <w:rFonts w:ascii="Arial" w:cs="Arial" w:eastAsia="Arial" w:hAnsi="Arial"/>
          <w:sz w:val="12"/>
          <w:szCs w:val="12"/>
          <w:i w:val="1"/>
          <w:iCs w:val="1"/>
          <w:color w:val="auto"/>
        </w:rPr>
        <w:t xml:space="preserve"> Solaris</w:t>
      </w:r>
      <w:r>
        <w:rPr>
          <w:rFonts w:ascii="Arial" w:cs="Arial" w:eastAsia="Arial" w:hAnsi="Arial"/>
          <w:sz w:val="12"/>
          <w:szCs w:val="12"/>
          <w:color w:val="auto"/>
        </w:rPr>
        <w:t>, (vii) the</w:t>
      </w:r>
      <w:r>
        <w:rPr>
          <w:rFonts w:ascii="Arial" w:cs="Arial" w:eastAsia="Arial" w:hAnsi="Arial"/>
          <w:sz w:val="12"/>
          <w:szCs w:val="12"/>
          <w:i w:val="1"/>
          <w:iCs w:val="1"/>
          <w:color w:val="auto"/>
        </w:rPr>
        <w:t xml:space="preserve"> GasLog Gibraltar </w:t>
      </w:r>
      <w:r>
        <w:rPr>
          <w:rFonts w:ascii="Arial" w:cs="Arial" w:eastAsia="Arial" w:hAnsi="Arial"/>
          <w:sz w:val="12"/>
          <w:szCs w:val="12"/>
          <w:color w:val="auto"/>
        </w:rPr>
        <w:t>and (viii) the</w:t>
      </w:r>
      <w:r>
        <w:rPr>
          <w:rFonts w:ascii="Arial" w:cs="Arial" w:eastAsia="Arial" w:hAnsi="Arial"/>
          <w:sz w:val="12"/>
          <w:szCs w:val="12"/>
          <w:i w:val="1"/>
          <w:iCs w:val="1"/>
          <w:color w:val="auto"/>
        </w:rPr>
        <w:t xml:space="preserve"> Methane Becki Anne</w:t>
      </w:r>
      <w:r>
        <w:rPr>
          <w:rFonts w:ascii="Arial" w:cs="Arial" w:eastAsia="Arial" w:hAnsi="Arial"/>
          <w:sz w:val="12"/>
          <w:szCs w:val="12"/>
          <w:color w:val="auto"/>
        </w:rPr>
        <w:t>,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Future gross minimum revenues receivable upon collection of hire under non-cancellable time charter agreements as of December 31, 2018,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960" w:type="dxa"/>
            <w:vAlign w:val="bottom"/>
          </w:tcPr>
          <w:p>
            <w:pPr>
              <w:spacing w:after="0"/>
              <w:rPr>
                <w:sz w:val="12"/>
                <w:szCs w:val="12"/>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Period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256,451</w:t>
            </w:r>
          </w:p>
        </w:tc>
        <w:tc>
          <w:tcPr>
            <w:tcW w:w="14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322,763</w:t>
            </w:r>
          </w:p>
        </w:tc>
        <w:tc>
          <w:tcPr>
            <w:tcW w:w="1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181,181</w:t>
            </w:r>
          </w:p>
        </w:tc>
        <w:tc>
          <w:tcPr>
            <w:tcW w:w="14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Later than five years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60,209</w:t>
            </w:r>
          </w:p>
        </w:tc>
        <w:tc>
          <w:tcPr>
            <w:tcW w:w="140" w:type="dxa"/>
            <w:vAlign w:val="bottom"/>
            <w:shd w:val="clear" w:color="auto" w:fill="CCEEFF"/>
          </w:tcPr>
          <w:p>
            <w:pPr>
              <w:spacing w:after="0"/>
              <w:rPr>
                <w:sz w:val="18"/>
                <w:szCs w:val="18"/>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820,604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are as follows:</w:t>
      </w:r>
    </w:p>
    <w:p>
      <w:pPr>
        <w:spacing w:after="0" w:line="135"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9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9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Period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1,520</w:t>
            </w:r>
          </w:p>
        </w:tc>
      </w:tr>
      <w:tr>
        <w:trPr>
          <w:trHeight w:val="20"/>
        </w:trPr>
        <w:tc>
          <w:tcPr>
            <w:tcW w:w="6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1,520</w:t>
            </w:r>
          </w:p>
        </w:tc>
      </w:tr>
      <w:tr>
        <w:trPr>
          <w:trHeight w:val="20"/>
        </w:trPr>
        <w:tc>
          <w:tcPr>
            <w:tcW w:w="6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(iii) the </w:t>
      </w:r>
      <w:r>
        <w:rPr>
          <w:rFonts w:ascii="Arial" w:cs="Arial" w:eastAsia="Arial" w:hAnsi="Arial"/>
          <w:sz w:val="18"/>
          <w:szCs w:val="18"/>
          <w:i w:val="1"/>
          <w:iCs w:val="1"/>
          <w:color w:val="auto"/>
        </w:rPr>
        <w:t>Methane Becki Anne</w:t>
      </w:r>
      <w:r>
        <w:rPr>
          <w:rFonts w:ascii="Arial" w:cs="Arial" w:eastAsia="Arial" w:hAnsi="Arial"/>
          <w:sz w:val="18"/>
          <w:szCs w:val="18"/>
          <w:color w:val="auto"/>
        </w:rPr>
        <w:t>, the Partnership, through its subsidiaries (i) GAS-sixteen Ltd. and GAS-seventeen Ltd., (ii) GAS-nineteen Ltd., GAS-twenty Ltd. and GAS-twenty one Ltd. and (iii) GAS-twenty seven Ltd., respectively, is counter guarantor for the acquisition from BG Group of 83.33% of depot spares with an aggregate value of $6,000, of which $660 have been purchased and paid as of December 31, 2018 by GasLog. These spares should be acquired before March 31, 2020.</w:t>
      </w:r>
    </w:p>
    <w:p>
      <w:pPr>
        <w:spacing w:after="0" w:line="20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Additionally, in September 2017 and July 2018, GasLog LNG Services Ltd. entered into maintenance agreements with Wartsila Greece S.A. ("Wartsila") in respect of six of the Partnership's LNG carriers. The agreements ensure dynamic maintenance planning, technical support, security of spare parts supply, specialist technical personnel and performance monitoring.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31"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b w:val="1"/>
          <w:bCs w:val="1"/>
          <w:i w:val="1"/>
          <w:iCs w:val="1"/>
          <w:color w:val="auto"/>
        </w:rPr>
        <w:t xml:space="preserve">Interest Rate Risk: </w:t>
      </w:r>
      <w:r>
        <w:rPr>
          <w:rFonts w:ascii="Arial" w:cs="Arial" w:eastAsia="Arial" w:hAnsi="Arial"/>
          <w:sz w:val="15"/>
          <w:szCs w:val="15"/>
          <w:color w:val="auto"/>
        </w:rPr>
        <w:t>The Partnership is subject to market risks relating to changes in interest rates because it has floating rate debt outstanding.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2018, the Partnership had economically hedged 43.9% of its floating interest rate exposure on its outstanding borrowings (excluding the New Sponsor Credit Facility) by swapping the variable rate for a fixed rate (December 31,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34.1%).</w:t>
      </w:r>
    </w:p>
    <w:p>
      <w:pPr>
        <w:spacing w:after="0" w:line="21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aggregate principal amount of the Partnership's outstanding floating rate debt which was not economically hedged as of December 31, 2018 was $701,719 (December 31, 2017: $908,569). As an indication of the extent of the Partnership's sensitivity to interest rate changes, an increase or decrease in LIBOR of 10 basis points would have decreased or increased, respectively, the profit during the year ended December 31, 2018 by $789, based upon its debt level during the period (December 31, 2017: $1,037 and December 31, 2016: $1,174).</w:t>
      </w:r>
    </w:p>
    <w:p>
      <w:pPr>
        <w:spacing w:after="0" w:line="197" w:lineRule="exact"/>
        <w:rPr>
          <w:sz w:val="20"/>
          <w:szCs w:val="20"/>
          <w:color w:val="auto"/>
        </w:rPr>
      </w:pPr>
    </w:p>
    <w:p>
      <w:pPr>
        <w:ind w:left="360"/>
        <w:spacing w:after="0"/>
        <w:tabs>
          <w:tab w:leader="none" w:pos="2940" w:val="left"/>
        </w:tabs>
        <w:rPr>
          <w:sz w:val="20"/>
          <w:szCs w:val="20"/>
          <w:color w:val="auto"/>
        </w:rPr>
      </w:pPr>
      <w:r>
        <w:rPr>
          <w:rFonts w:ascii="Arial" w:cs="Arial" w:eastAsia="Arial" w:hAnsi="Arial"/>
          <w:sz w:val="18"/>
          <w:szCs w:val="18"/>
          <w:b w:val="1"/>
          <w:bCs w:val="1"/>
          <w:i w:val="1"/>
          <w:iCs w:val="1"/>
          <w:color w:val="auto"/>
        </w:rPr>
        <w:t>Interest Rate Sensitivity Analysis:</w:t>
      </w:r>
      <w:r>
        <w:rPr>
          <w:sz w:val="20"/>
          <w:szCs w:val="20"/>
          <w:color w:val="auto"/>
        </w:rPr>
        <w:tab/>
      </w:r>
      <w:r>
        <w:rPr>
          <w:rFonts w:ascii="Arial" w:cs="Arial" w:eastAsia="Arial" w:hAnsi="Arial"/>
          <w:sz w:val="15"/>
          <w:szCs w:val="15"/>
          <w:color w:val="auto"/>
        </w:rPr>
        <w:t>The fair value of the interest rate swaps as of December 31, 2018 was estimated as a net asset of $5,513 (December 31,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2017: net asset of $6,346). For the three years ended December 31, 2018, the interest rate swaps were not designated as cash flow hedging instruments (Note 17).</w:t>
      </w:r>
    </w:p>
    <w:p>
      <w:pPr>
        <w:spacing w:after="0" w:line="253"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2018, if interest rates had increased or decreased by 10 basis points with all other variables held constant, the positive/(negative) impact, respectively, on the fair value of the interest rate swaps would have amounted to approximately $2,021 (December 31, 2017: $1,774 and December 31, 2016: $1,766) affecting loss/(gain) on swaps in the respective periods.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 (Continued)</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Specifically, for the year ended December 31, 2018, approximately $51,494 of the operating and administrative expenses were denominated in euros (December 31, 2017: $39,608 and December 31, 2016: $35,522). As of December 31, 2018, approximately $10,445 of the Partnership's outstanding trade payables and accruals were denominated in euros (December 31, 2017: $4,929).</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Partnership uses forward foreign exchange contracts to reduce its exposure to movements in exchange rates. As an indication of the extent of the Partnership's sensitivity to changes in exchange rate, a 10% increase in the average euro/dollar exchange rate would have decreased its profit and cash flows during the year ended December 31, 2018 by $5,149, based upon its expenses during the year (December 31, 2017: $3,961 and December 31, 2016: $3,552).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Partnership manages its liquidity risk by having secured credit lines, by receiving capital contributions to fund its commitments and by maintaining cash and cash equivalents.</w:t>
      </w:r>
    </w:p>
    <w:p>
      <w:pPr>
        <w:spacing w:after="0" w:line="186" w:lineRule="exact"/>
        <w:rPr>
          <w:sz w:val="20"/>
          <w:szCs w:val="20"/>
          <w:color w:val="auto"/>
        </w:rPr>
      </w:pPr>
    </w:p>
    <w:p>
      <w:pPr>
        <w:ind w:right="260" w:firstLine="348"/>
        <w:spacing w:after="0" w:line="331" w:lineRule="auto"/>
        <w:rPr>
          <w:sz w:val="20"/>
          <w:szCs w:val="20"/>
          <w:color w:val="auto"/>
        </w:rPr>
      </w:pPr>
      <w:r>
        <w:rPr>
          <w:rFonts w:ascii="Arial" w:cs="Arial" w:eastAsia="Arial" w:hAnsi="Arial"/>
          <w:sz w:val="16"/>
          <w:szCs w:val="16"/>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51"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 (Continued)</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principal cash flows. Variable future interest payments were determined based on an average LIBOR plus the margins applicable to the Partnership's loans at the end of each year presented.</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Weighted-average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effective</w:t>
            </w:r>
          </w:p>
        </w:tc>
        <w:tc>
          <w:tcPr>
            <w:tcW w:w="740" w:type="dxa"/>
            <w:vAlign w:val="bottom"/>
          </w:tcPr>
          <w:p>
            <w:pPr>
              <w:jc w:val="right"/>
              <w:ind w:right="15"/>
              <w:spacing w:after="0"/>
              <w:rPr>
                <w:sz w:val="20"/>
                <w:szCs w:val="20"/>
                <w:color w:val="auto"/>
              </w:rPr>
            </w:pPr>
            <w:r>
              <w:rPr>
                <w:rFonts w:ascii="Arial" w:cs="Arial" w:eastAsia="Arial" w:hAnsi="Arial"/>
                <w:sz w:val="13"/>
                <w:szCs w:val="13"/>
                <w:b w:val="1"/>
                <w:bCs w:val="1"/>
                <w:color w:val="auto"/>
              </w:rPr>
              <w:t>Less than</w:t>
            </w:r>
          </w:p>
        </w:tc>
        <w:tc>
          <w:tcPr>
            <w:tcW w:w="78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1 - 3</w:t>
            </w:r>
          </w:p>
        </w:tc>
        <w:tc>
          <w:tcPr>
            <w:tcW w:w="860" w:type="dxa"/>
            <w:vAlign w:val="bottom"/>
            <w:gridSpan w:val="2"/>
          </w:tcPr>
          <w:p>
            <w:pPr>
              <w:jc w:val="right"/>
              <w:ind w:right="115"/>
              <w:spacing w:after="0"/>
              <w:rPr>
                <w:sz w:val="20"/>
                <w:szCs w:val="20"/>
                <w:color w:val="auto"/>
              </w:rPr>
            </w:pPr>
            <w:r>
              <w:rPr>
                <w:rFonts w:ascii="Arial" w:cs="Arial" w:eastAsia="Arial" w:hAnsi="Arial"/>
                <w:sz w:val="13"/>
                <w:szCs w:val="13"/>
                <w:b w:val="1"/>
                <w:bCs w:val="1"/>
                <w:color w:val="auto"/>
              </w:rPr>
              <w:t>3 - 12</w:t>
            </w:r>
          </w:p>
        </w:tc>
        <w:tc>
          <w:tcPr>
            <w:tcW w:w="1000" w:type="dxa"/>
            <w:vAlign w:val="bottom"/>
            <w:gridSpan w:val="2"/>
          </w:tcPr>
          <w:p>
            <w:pPr>
              <w:jc w:val="right"/>
              <w:ind w:right="215"/>
              <w:spacing w:after="0"/>
              <w:rPr>
                <w:sz w:val="20"/>
                <w:szCs w:val="20"/>
                <w:color w:val="auto"/>
              </w:rPr>
            </w:pPr>
            <w:r>
              <w:rPr>
                <w:rFonts w:ascii="Arial" w:cs="Arial" w:eastAsia="Arial" w:hAnsi="Arial"/>
                <w:sz w:val="13"/>
                <w:szCs w:val="13"/>
                <w:b w:val="1"/>
                <w:bCs w:val="1"/>
                <w:color w:val="auto"/>
              </w:rPr>
              <w:t>1 - 5</w:t>
            </w:r>
          </w:p>
        </w:tc>
        <w:tc>
          <w:tcPr>
            <w:tcW w:w="86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interest rate</w:t>
            </w:r>
          </w:p>
        </w:tc>
        <w:tc>
          <w:tcPr>
            <w:tcW w:w="740" w:type="dxa"/>
            <w:vAlign w:val="bottom"/>
          </w:tcPr>
          <w:p>
            <w:pPr>
              <w:jc w:val="right"/>
              <w:ind w:right="55"/>
              <w:spacing w:after="0"/>
              <w:rPr>
                <w:sz w:val="20"/>
                <w:szCs w:val="20"/>
                <w:color w:val="auto"/>
              </w:rPr>
            </w:pPr>
            <w:r>
              <w:rPr>
                <w:rFonts w:ascii="Arial" w:cs="Arial" w:eastAsia="Arial" w:hAnsi="Arial"/>
                <w:sz w:val="13"/>
                <w:szCs w:val="13"/>
                <w:b w:val="1"/>
                <w:bCs w:val="1"/>
                <w:color w:val="auto"/>
              </w:rPr>
              <w:t>1 month</w:t>
            </w: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20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17,741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31,963</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4.76%</w:t>
            </w:r>
          </w:p>
        </w:tc>
        <w:tc>
          <w:tcPr>
            <w:tcW w:w="740" w:type="dxa"/>
            <w:vAlign w:val="bottom"/>
          </w:tcPr>
          <w:p>
            <w:pPr>
              <w:jc w:val="right"/>
              <w:spacing w:after="0"/>
              <w:rPr>
                <w:sz w:val="20"/>
                <w:szCs w:val="20"/>
                <w:color w:val="auto"/>
              </w:rPr>
            </w:pPr>
            <w:r>
              <w:rPr>
                <w:rFonts w:ascii="Arial" w:cs="Arial" w:eastAsia="Arial" w:hAnsi="Arial"/>
                <w:sz w:val="18"/>
                <w:szCs w:val="18"/>
                <w:color w:val="auto"/>
              </w:rPr>
              <w:t>14,558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22,087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442,224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670,072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266,960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1,415,901</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r>
      <w:tr>
        <w:trPr>
          <w:trHeight w:val="20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31,276</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41,957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447,652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671,350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266,960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1,459,195</w:t>
            </w:r>
          </w:p>
        </w:tc>
        <w:tc>
          <w:tcPr>
            <w:tcW w:w="160" w:type="dxa"/>
            <w:vAlign w:val="bottom"/>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21,655</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740" w:type="dxa"/>
            <w:vAlign w:val="bottom"/>
          </w:tcPr>
          <w:p>
            <w:pPr>
              <w:jc w:val="right"/>
              <w:spacing w:after="0"/>
              <w:rPr>
                <w:sz w:val="20"/>
                <w:szCs w:val="20"/>
                <w:color w:val="auto"/>
              </w:rPr>
            </w:pPr>
            <w:r>
              <w:rPr>
                <w:rFonts w:ascii="Arial" w:cs="Arial" w:eastAsia="Arial" w:hAnsi="Arial"/>
                <w:sz w:val="18"/>
                <w:szCs w:val="18"/>
                <w:color w:val="auto"/>
              </w:rPr>
              <w:t>44,729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21,152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100,420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1,096,246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308,678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1,571,225</w:t>
            </w:r>
          </w:p>
        </w:tc>
        <w:tc>
          <w:tcPr>
            <w:tcW w:w="1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63,737</w:t>
            </w:r>
          </w:p>
        </w:tc>
        <w:tc>
          <w:tcPr>
            <w:tcW w:w="160" w:type="dxa"/>
            <w:vAlign w:val="bottom"/>
            <w:shd w:val="clear" w:color="auto" w:fill="CCEEFF"/>
          </w:tcPr>
          <w:p>
            <w:pPr>
              <w:spacing w:after="0"/>
              <w:rPr>
                <w:sz w:val="18"/>
                <w:szCs w:val="18"/>
                <w:color w:val="auto"/>
              </w:rPr>
            </w:pPr>
          </w:p>
        </w:tc>
      </w:tr>
      <w:tr>
        <w:trPr>
          <w:trHeight w:val="209"/>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59,272</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106,215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1,155,822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308,678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1,671,884</w:t>
            </w:r>
          </w:p>
        </w:tc>
        <w:tc>
          <w:tcPr>
            <w:tcW w:w="160" w:type="dxa"/>
            <w:vAlign w:val="bottom"/>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6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700" w:hanging="536"/>
        <w:spacing w:after="0"/>
        <w:tabs>
          <w:tab w:leader="none" w:pos="1700" w:val="left"/>
        </w:tabs>
        <w:numPr>
          <w:ilvl w:val="0"/>
          <w:numId w:val="157"/>
        </w:numPr>
        <w:rPr>
          <w:rFonts w:ascii="Arial" w:cs="Arial" w:eastAsia="Arial" w:hAnsi="Arial"/>
          <w:sz w:val="13"/>
          <w:szCs w:val="13"/>
          <w:i w:val="1"/>
          <w:iCs w:val="1"/>
          <w:color w:val="auto"/>
        </w:rPr>
      </w:pPr>
      <w:r>
        <w:rPr>
          <w:rFonts w:ascii="Arial" w:cs="Arial" w:eastAsia="Arial" w:hAnsi="Arial"/>
          <w:sz w:val="13"/>
          <w:szCs w:val="13"/>
          <w:i w:val="1"/>
          <w:iCs w:val="1"/>
          <w:color w:val="auto"/>
        </w:rPr>
        <w:t>Non-financial liabilities are excluded.</w:t>
      </w:r>
    </w:p>
    <w:p>
      <w:pPr>
        <w:spacing w:after="0" w:line="134" w:lineRule="exact"/>
        <w:rPr>
          <w:sz w:val="20"/>
          <w:szCs w:val="20"/>
          <w:color w:val="auto"/>
        </w:rPr>
      </w:pPr>
    </w:p>
    <w:p>
      <w:pPr>
        <w:ind w:left="1700" w:right="40" w:hanging="536"/>
        <w:spacing w:after="0" w:line="274" w:lineRule="auto"/>
        <w:tabs>
          <w:tab w:leader="none" w:pos="1700" w:val="left"/>
        </w:tabs>
        <w:numPr>
          <w:ilvl w:val="0"/>
          <w:numId w:val="158"/>
        </w:numPr>
        <w:rPr>
          <w:rFonts w:ascii="Arial" w:cs="Arial" w:eastAsia="Arial" w:hAnsi="Arial"/>
          <w:sz w:val="13"/>
          <w:szCs w:val="13"/>
          <w:i w:val="1"/>
          <w:iCs w:val="1"/>
          <w:color w:val="auto"/>
        </w:rPr>
      </w:pPr>
      <w:r>
        <w:rPr>
          <w:rFonts w:ascii="Arial" w:cs="Arial" w:eastAsia="Arial" w:hAnsi="Arial"/>
          <w:sz w:val="13"/>
          <w:szCs w:val="13"/>
          <w:i w:val="1"/>
          <w:iCs w:val="1"/>
          <w:color w:val="auto"/>
        </w:rPr>
        <w:t>A commitment fee is charged at 2.4% on the available amount of the Old Sponsor Credit Facility and 0.9% on the available amounts of the revolving credit facility of GAS-seven Ltd. and GAS-eight Ltd., respectively.</w:t>
      </w:r>
    </w:p>
    <w:p>
      <w:pPr>
        <w:spacing w:after="0" w:line="17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tables detail the Partnership's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contractual cash flows are based on the contractual maturities of the interest rate swaps and forward foreign exchange contracts.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Less than</w:t>
            </w:r>
          </w:p>
        </w:tc>
        <w:tc>
          <w:tcPr>
            <w:tcW w:w="580" w:type="dxa"/>
            <w:vAlign w:val="bottom"/>
          </w:tcPr>
          <w:p>
            <w:pPr>
              <w:jc w:val="right"/>
              <w:ind w:right="98"/>
              <w:spacing w:after="0"/>
              <w:rPr>
                <w:sz w:val="20"/>
                <w:szCs w:val="20"/>
                <w:color w:val="auto"/>
              </w:rPr>
            </w:pPr>
            <w:r>
              <w:rPr>
                <w:rFonts w:ascii="Arial" w:cs="Arial" w:eastAsia="Arial" w:hAnsi="Arial"/>
                <w:sz w:val="13"/>
                <w:szCs w:val="13"/>
                <w:b w:val="1"/>
                <w:bCs w:val="1"/>
                <w:color w:val="auto"/>
              </w:rPr>
              <w:t>1 - 3</w:t>
            </w:r>
          </w:p>
        </w:tc>
        <w:tc>
          <w:tcPr>
            <w:tcW w:w="74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3 - 12</w:t>
            </w:r>
          </w:p>
        </w:tc>
        <w:tc>
          <w:tcPr>
            <w:tcW w:w="160" w:type="dxa"/>
            <w:vAlign w:val="bottom"/>
          </w:tcPr>
          <w:p>
            <w:pPr>
              <w:spacing w:after="0"/>
              <w:rPr>
                <w:sz w:val="13"/>
                <w:szCs w:val="13"/>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b w:val="1"/>
                <w:bCs w:val="1"/>
                <w:color w:val="auto"/>
              </w:rPr>
              <w:t>1 - 5</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6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1 month</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months</w:t>
            </w:r>
          </w:p>
        </w:tc>
        <w:tc>
          <w:tcPr>
            <w:tcW w:w="520" w:type="dxa"/>
            <w:vAlign w:val="bottom"/>
          </w:tcPr>
          <w:p>
            <w:pPr>
              <w:jc w:val="right"/>
              <w:ind w:right="18"/>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5+ years</w:t>
            </w: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center"/>
              <w:ind w:left="378"/>
              <w:spacing w:after="0"/>
              <w:rPr>
                <w:sz w:val="20"/>
                <w:szCs w:val="20"/>
                <w:color w:val="auto"/>
              </w:rPr>
            </w:pPr>
            <w:r>
              <w:rPr>
                <w:rFonts w:ascii="Arial" w:cs="Arial" w:eastAsia="Arial" w:hAnsi="Arial"/>
                <w:sz w:val="18"/>
                <w:szCs w:val="18"/>
                <w:color w:val="auto"/>
                <w:w w:val="86"/>
              </w:rPr>
              <w:t>773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3,194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520" w:type="dxa"/>
            <w:vAlign w:val="bottom"/>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shd w:val="clear" w:color="auto" w:fill="CCEEFF"/>
          </w:tcPr>
          <w:p>
            <w:pPr>
              <w:jc w:val="center"/>
              <w:ind w:left="378"/>
              <w:spacing w:after="0"/>
              <w:rPr>
                <w:sz w:val="20"/>
                <w:szCs w:val="20"/>
                <w:color w:val="auto"/>
              </w:rPr>
            </w:pPr>
            <w:r>
              <w:rPr>
                <w:rFonts w:ascii="Arial" w:cs="Arial" w:eastAsia="Arial" w:hAnsi="Arial"/>
                <w:sz w:val="18"/>
                <w:szCs w:val="18"/>
                <w:color w:val="auto"/>
                <w:w w:val="86"/>
              </w:rPr>
              <w:t>103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center"/>
              <w:ind w:left="378"/>
              <w:spacing w:after="0"/>
              <w:rPr>
                <w:sz w:val="20"/>
                <w:szCs w:val="20"/>
                <w:color w:val="auto"/>
              </w:rPr>
            </w:pPr>
            <w:r>
              <w:rPr>
                <w:rFonts w:ascii="Arial" w:cs="Arial" w:eastAsia="Arial" w:hAnsi="Arial"/>
                <w:sz w:val="18"/>
                <w:szCs w:val="18"/>
                <w:b w:val="1"/>
                <w:bCs w:val="1"/>
                <w:color w:val="auto"/>
                <w:w w:val="86"/>
              </w:rPr>
              <w:t>876</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3,450</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7,090</w:t>
            </w:r>
          </w:p>
        </w:tc>
        <w:tc>
          <w:tcPr>
            <w:tcW w:w="1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center"/>
              <w:ind w:left="198"/>
              <w:spacing w:after="0"/>
              <w:rPr>
                <w:sz w:val="20"/>
                <w:szCs w:val="20"/>
                <w:color w:val="auto"/>
              </w:rPr>
            </w:pPr>
            <w:r>
              <w:rPr>
                <w:rFonts w:ascii="Arial" w:cs="Arial" w:eastAsia="Arial" w:hAnsi="Arial"/>
                <w:sz w:val="18"/>
                <w:szCs w:val="18"/>
                <w:color w:val="auto"/>
                <w:w w:val="90"/>
              </w:rPr>
              <w:t>(292)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7,341</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center"/>
              <w:ind w:left="198"/>
              <w:spacing w:after="0"/>
              <w:rPr>
                <w:sz w:val="20"/>
                <w:szCs w:val="20"/>
                <w:color w:val="auto"/>
              </w:rPr>
            </w:pPr>
            <w:r>
              <w:rPr>
                <w:rFonts w:ascii="Arial" w:cs="Arial" w:eastAsia="Arial" w:hAnsi="Arial"/>
                <w:sz w:val="18"/>
                <w:szCs w:val="18"/>
                <w:b w:val="1"/>
                <w:bCs w:val="1"/>
                <w:color w:val="auto"/>
                <w:w w:val="90"/>
              </w:rPr>
              <w:t>(292)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7,048</w:t>
            </w:r>
          </w:p>
        </w:tc>
        <w:tc>
          <w:tcPr>
            <w:tcW w:w="1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currently deals exclusively with financial institutions and customers with high credit ratings.</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960" w:type="dxa"/>
            <w:vAlign w:val="bottom"/>
            <w:gridSpan w:val="3"/>
          </w:tcPr>
          <w:p>
            <w:pPr>
              <w:ind w:left="640"/>
              <w:spacing w:after="0"/>
              <w:rPr>
                <w:sz w:val="20"/>
                <w:szCs w:val="20"/>
                <w:color w:val="auto"/>
              </w:rPr>
            </w:pPr>
            <w:r>
              <w:rPr>
                <w:rFonts w:ascii="Arial" w:cs="Arial" w:eastAsia="Arial" w:hAnsi="Arial"/>
                <w:sz w:val="13"/>
                <w:szCs w:val="13"/>
                <w:b w:val="1"/>
                <w:bCs w:val="1"/>
                <w:color w:val="auto"/>
                <w:w w:val="92"/>
              </w:rPr>
              <w:t>As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36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129,125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13,484</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Derivative financial instruments, current and non-current portion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9,731</w:t>
            </w:r>
          </w:p>
        </w:tc>
      </w:tr>
    </w:tbl>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the years ended December 31, 2016, December 31, 2017 and December 31, 2018, 100%, 100% and 92%, respectively, of the Partnership's revenue was earned from subsidiaries of Royal Dutch Shell plc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2018.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Risk Management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Risk Management</w:t>
      </w:r>
    </w:p>
    <w:p>
      <w:pPr>
        <w:spacing w:after="0" w:line="231"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(Note 6), which is defined under certain of the Partnership's credit facilities as total debt and derivative financial instruments divided by total assets. The total indebtedness to total assets ratio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gridSpan w:val="3"/>
          </w:tcPr>
          <w:p>
            <w:pPr>
              <w:jc w:val="right"/>
              <w:ind w:right="162"/>
              <w:spacing w:after="0"/>
              <w:rPr>
                <w:sz w:val="20"/>
                <w:szCs w:val="20"/>
                <w:color w:val="auto"/>
              </w:rPr>
            </w:pPr>
            <w:r>
              <w:rPr>
                <w:rFonts w:ascii="Arial" w:cs="Arial" w:eastAsia="Arial" w:hAnsi="Arial"/>
                <w:sz w:val="13"/>
                <w:szCs w:val="13"/>
                <w:b w:val="1"/>
                <w:bCs w:val="1"/>
                <w:color w:val="auto"/>
                <w:w w:val="79"/>
              </w:rPr>
              <w:t>As of</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asset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(4,615)</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Derivative financial instruments—non-current asset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(5,116)</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liability</w:t>
            </w:r>
          </w:p>
        </w:tc>
        <w:tc>
          <w:tcPr>
            <w:tcW w:w="9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121,197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429,437</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Borrowings—non-current liability</w:t>
            </w:r>
          </w:p>
        </w:tc>
        <w:tc>
          <w:tcPr>
            <w:tcW w:w="940" w:type="dxa"/>
            <w:vAlign w:val="bottom"/>
            <w:gridSpan w:val="2"/>
          </w:tcPr>
          <w:p>
            <w:pPr>
              <w:jc w:val="right"/>
              <w:ind w:right="33"/>
              <w:spacing w:after="0"/>
              <w:rPr>
                <w:sz w:val="20"/>
                <w:szCs w:val="20"/>
                <w:color w:val="auto"/>
              </w:rPr>
            </w:pPr>
            <w:r>
              <w:rPr>
                <w:rFonts w:ascii="Arial" w:cs="Arial" w:eastAsia="Arial" w:hAnsi="Arial"/>
                <w:sz w:val="18"/>
                <w:szCs w:val="18"/>
                <w:color w:val="auto"/>
              </w:rPr>
              <w:t>1,278,931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805,560</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liability</w:t>
            </w:r>
          </w:p>
        </w:tc>
        <w:tc>
          <w:tcPr>
            <w:tcW w:w="9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Derivative financial instruments—non-current liability</w:t>
            </w:r>
          </w:p>
        </w:tc>
        <w:tc>
          <w:tcPr>
            <w:tcW w:w="94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3,543</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indebtedness</w:t>
            </w:r>
          </w:p>
        </w:tc>
        <w:tc>
          <w:tcPr>
            <w:tcW w:w="9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1,393,782</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1,230,062</w:t>
            </w: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4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2,528,263</w:t>
            </w:r>
          </w:p>
        </w:tc>
        <w:tc>
          <w:tcPr>
            <w:tcW w:w="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2,488,638</w:t>
            </w:r>
          </w:p>
        </w:tc>
        <w:tc>
          <w:tcPr>
            <w:tcW w:w="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indebtedness/total assets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2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17. Derivative Financial Instruments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6"/>
          </w:tcPr>
          <w:p>
            <w:pPr>
              <w:jc w:val="center"/>
              <w:ind w:right="216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center"/>
              <w:ind w:right="200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3"/>
                <w:szCs w:val="13"/>
                <w:b w:val="1"/>
                <w:bCs w:val="1"/>
                <w:color w:val="auto"/>
                <w:w w:val="96"/>
              </w:rPr>
              <w:t>2017</w:t>
            </w:r>
          </w:p>
        </w:tc>
        <w:tc>
          <w:tcPr>
            <w:tcW w:w="58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6,615</w:t>
            </w:r>
          </w:p>
        </w:tc>
        <w:tc>
          <w:tcPr>
            <w:tcW w:w="160" w:type="dxa"/>
            <w:vAlign w:val="bottom"/>
          </w:tcPr>
          <w:p>
            <w:pPr>
              <w:spacing w:after="0"/>
              <w:rPr>
                <w:sz w:val="18"/>
                <w:szCs w:val="18"/>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9,731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6,615</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9,731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asset</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577</w:t>
            </w:r>
          </w:p>
        </w:tc>
        <w:tc>
          <w:tcPr>
            <w:tcW w:w="16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79"/>
              </w:rPr>
              <w:t>4,615</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asset</w:t>
            </w: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6,038</w:t>
            </w:r>
          </w:p>
        </w:tc>
        <w:tc>
          <w:tcPr>
            <w:tcW w:w="8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5,116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6,615</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79"/>
              </w:rPr>
              <w:t>9,731</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80" w:type="dxa"/>
            <w:vAlign w:val="bottom"/>
            <w:vMerge w:val="restart"/>
          </w:tcPr>
          <w:p>
            <w:pPr>
              <w:ind w:left="3880"/>
              <w:spacing w:after="0"/>
              <w:rPr>
                <w:sz w:val="20"/>
                <w:szCs w:val="20"/>
                <w:color w:val="auto"/>
              </w:rPr>
            </w:pPr>
            <w:r>
              <w:rPr>
                <w:rFonts w:ascii="Arial" w:cs="Arial" w:eastAsia="Arial" w:hAnsi="Arial"/>
                <w:sz w:val="18"/>
                <w:szCs w:val="18"/>
                <w:color w:val="auto"/>
              </w:rPr>
              <w:t>F-48</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liabilities is as follows: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720" w:type="dxa"/>
            <w:vAlign w:val="bottom"/>
            <w:gridSpan w:val="3"/>
          </w:tcPr>
          <w:p>
            <w:pPr>
              <w:jc w:val="center"/>
              <w:ind w:left="339"/>
              <w:spacing w:after="0"/>
              <w:rPr>
                <w:sz w:val="20"/>
                <w:szCs w:val="20"/>
                <w:color w:val="auto"/>
              </w:rPr>
            </w:pPr>
            <w:r>
              <w:rPr>
                <w:rFonts w:ascii="Arial" w:cs="Arial" w:eastAsia="Arial" w:hAnsi="Arial"/>
                <w:sz w:val="13"/>
                <w:szCs w:val="13"/>
                <w:b w:val="1"/>
                <w:bCs w:val="1"/>
                <w:color w:val="auto"/>
                <w:w w:val="92"/>
              </w:rPr>
              <w:t>As of</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800" w:type="dxa"/>
            <w:vAlign w:val="bottom"/>
          </w:tcPr>
          <w:p>
            <w:pPr>
              <w:spacing w:after="0"/>
              <w:rPr>
                <w:sz w:val="14"/>
                <w:szCs w:val="1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8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rate swaps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4,218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578</w:t>
            </w:r>
          </w:p>
        </w:tc>
      </w:tr>
      <w:tr>
        <w:trPr>
          <w:trHeight w:val="209"/>
        </w:trPr>
        <w:tc>
          <w:tcPr>
            <w:tcW w:w="6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4,796</w:t>
            </w:r>
          </w:p>
        </w:tc>
        <w:tc>
          <w:tcPr>
            <w:tcW w:w="16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6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1,253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3,543</w:t>
            </w:r>
          </w:p>
        </w:tc>
      </w:tr>
      <w:tr>
        <w:trPr>
          <w:trHeight w:val="20"/>
        </w:trPr>
        <w:tc>
          <w:tcPr>
            <w:tcW w:w="6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4,796</w:t>
            </w:r>
          </w:p>
        </w:tc>
      </w:tr>
      <w:tr>
        <w:trPr>
          <w:trHeight w:val="20"/>
        </w:trPr>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Fixed</w:t>
            </w:r>
          </w:p>
        </w:tc>
        <w:tc>
          <w:tcPr>
            <w:tcW w:w="2240" w:type="dxa"/>
            <w:vAlign w:val="bottom"/>
            <w:gridSpan w:val="4"/>
          </w:tcPr>
          <w:p>
            <w:pPr>
              <w:ind w:left="54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Effective</w:t>
            </w:r>
          </w:p>
        </w:tc>
        <w:tc>
          <w:tcPr>
            <w:tcW w:w="1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rPr>
              <w:t>Termination</w:t>
            </w:r>
          </w:p>
        </w:tc>
        <w:tc>
          <w:tcPr>
            <w:tcW w:w="16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Interest</w:t>
            </w:r>
          </w:p>
        </w:tc>
        <w:tc>
          <w:tcPr>
            <w:tcW w:w="960" w:type="dxa"/>
            <w:vAlign w:val="bottom"/>
          </w:tcPr>
          <w:p>
            <w:pPr>
              <w:jc w:val="right"/>
              <w:ind w:right="18"/>
              <w:spacing w:after="0"/>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21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Counterparty</w:t>
            </w:r>
          </w:p>
        </w:tc>
        <w:tc>
          <w:tcPr>
            <w:tcW w:w="160" w:type="dxa"/>
            <w:vAlign w:val="bottom"/>
          </w:tcPr>
          <w:p>
            <w:pPr>
              <w:spacing w:after="0"/>
              <w:rPr>
                <w:sz w:val="14"/>
                <w:szCs w:val="14"/>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b w:val="1"/>
                <w:bCs w:val="1"/>
                <w:color w:val="auto"/>
              </w:rPr>
              <w:t>Trade Date</w:t>
            </w:r>
          </w:p>
        </w:tc>
        <w:tc>
          <w:tcPr>
            <w:tcW w:w="160" w:type="dxa"/>
            <w:vAlign w:val="bottom"/>
          </w:tcPr>
          <w:p>
            <w:pPr>
              <w:spacing w:after="0"/>
              <w:rPr>
                <w:sz w:val="14"/>
                <w:szCs w:val="14"/>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920" w:type="dxa"/>
            <w:vAlign w:val="bottom"/>
          </w:tcPr>
          <w:p>
            <w:pPr>
              <w:jc w:val="right"/>
              <w:ind w:right="257"/>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960" w:type="dxa"/>
            <w:vAlign w:val="bottom"/>
          </w:tcPr>
          <w:p>
            <w:pPr>
              <w:jc w:val="right"/>
              <w:ind w:right="258"/>
              <w:spacing w:after="0"/>
              <w:rPr>
                <w:sz w:val="20"/>
                <w:szCs w:val="20"/>
                <w:color w:val="auto"/>
              </w:rPr>
            </w:pPr>
            <w:r>
              <w:rPr>
                <w:rFonts w:ascii="Arial" w:cs="Arial" w:eastAsia="Arial" w:hAnsi="Arial"/>
                <w:sz w:val="13"/>
                <w:szCs w:val="13"/>
                <w:b w:val="1"/>
                <w:bCs w:val="1"/>
                <w:color w:val="auto"/>
              </w:rPr>
              <w:t>2017</w:t>
            </w:r>
          </w:p>
        </w:tc>
        <w:tc>
          <w:tcPr>
            <w:tcW w:w="112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1.63%</w:t>
            </w:r>
          </w:p>
        </w:tc>
        <w:tc>
          <w:tcPr>
            <w:tcW w:w="960" w:type="dxa"/>
            <w:vAlign w:val="bottom"/>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July 2017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July 2017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June 2022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960" w:type="dxa"/>
            <w:vAlign w:val="bottom"/>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2023</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Dec 2018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Jan 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Jan 2024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July 2016, the Partnership terminated the interest rate swap agreements of GAS-seven Ltd. and GAS-eight Ltd. associated with the Legacy Facility Refinancing (Note 6) paying their fair value on that date. The cumulative loss of $2,527, relating solely to the GAS-seven Ltd. swap agreements, from the period that hedging was effective was recycled to profit or loss during the year ended December 31, 2016.</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20"/>
          </w:cols>
          <w:pgMar w:left="160" w:top="51" w:right="31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Instruments (Continued)</w:t>
      </w:r>
    </w:p>
    <w:p>
      <w:pPr>
        <w:spacing w:after="0" w:line="23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change in the fair value of the contracts not designated as cash flow hedging instruments for the year ended December 31, 2018 amounted to a loss of $833 (December 31, 2017: $2,174 gain and December 31, 2016: $1,570 loss), which was recognized against earnings in the period incurred and is included in Loss/(gain) on interest rate swaps.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foreign exchange contracts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rPr>
              <w:t>Settlement</w:t>
            </w:r>
          </w:p>
        </w:tc>
        <w:tc>
          <w:tcPr>
            <w:tcW w:w="1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2"/>
              </w:rPr>
              <w:t>Exchange Rate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2"/>
          </w:tcPr>
          <w:p>
            <w:pPr>
              <w:ind w:left="360"/>
              <w:spacing w:after="0"/>
              <w:rPr>
                <w:sz w:val="20"/>
                <w:szCs w:val="20"/>
                <w:color w:val="auto"/>
              </w:rPr>
            </w:pPr>
            <w:r>
              <w:rPr>
                <w:rFonts w:ascii="Arial" w:cs="Arial" w:eastAsia="Arial" w:hAnsi="Arial"/>
                <w:sz w:val="13"/>
                <w:szCs w:val="13"/>
                <w:b w:val="1"/>
                <w:bCs w:val="1"/>
                <w:color w:val="auto"/>
              </w:rPr>
              <w:t>Notional</w:t>
            </w:r>
          </w:p>
        </w:tc>
        <w:tc>
          <w:tcPr>
            <w:tcW w:w="0" w:type="dxa"/>
            <w:vAlign w:val="bottom"/>
          </w:tcPr>
          <w:p>
            <w:pPr>
              <w:spacing w:after="0"/>
              <w:rPr>
                <w:sz w:val="1"/>
                <w:szCs w:val="1"/>
                <w:color w:val="auto"/>
              </w:rPr>
            </w:pPr>
          </w:p>
        </w:tc>
      </w:tr>
      <w:tr>
        <w:trPr>
          <w:trHeight w:val="161"/>
        </w:trPr>
        <w:tc>
          <w:tcPr>
            <w:tcW w:w="258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auto"/>
              </w:rPr>
              <w:t>Trade Date</w:t>
            </w:r>
          </w:p>
        </w:tc>
        <w:tc>
          <w:tcPr>
            <w:tcW w:w="16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(USD/EUR)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2"/>
          </w:tcPr>
          <w:p>
            <w:pPr>
              <w:ind w:left="3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1.199415</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Feb 2019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1.200865</w:t>
            </w:r>
          </w:p>
        </w:tc>
        <w:tc>
          <w:tcPr>
            <w:tcW w:w="1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1.202315</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June 2018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Apr 2019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1.19315</w:t>
            </w:r>
          </w:p>
        </w:tc>
        <w:tc>
          <w:tcPr>
            <w:tcW w:w="1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1.19645</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June 2018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June 2019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1.19965</w:t>
            </w:r>
          </w:p>
        </w:tc>
        <w:tc>
          <w:tcPr>
            <w:tcW w:w="1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August 2018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Aug 2019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1.1772</w:t>
            </w:r>
          </w:p>
        </w:tc>
        <w:tc>
          <w:tcPr>
            <w:tcW w:w="1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December 31, 2018. The change in the fair value of these contracts for the year ended December 31, 2018 amounted to a loss of $578 (December 31, 2017: nil and December 31, 2016: nil), which was recognized against earnings in the period incurred and is included in Loss/(gain) on interest rate swaps.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derivatives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580" w:type="dxa"/>
            <w:vAlign w:val="bottom"/>
            <w:gridSpan w:val="5"/>
          </w:tcPr>
          <w:p>
            <w:pPr>
              <w:jc w:val="center"/>
              <w:ind w:left="379"/>
              <w:spacing w:after="0"/>
              <w:rPr>
                <w:sz w:val="20"/>
                <w:szCs w:val="20"/>
                <w:color w:val="auto"/>
              </w:rPr>
            </w:pPr>
            <w:r>
              <w:rPr>
                <w:rFonts w:ascii="Arial" w:cs="Arial" w:eastAsia="Arial" w:hAnsi="Arial"/>
                <w:sz w:val="13"/>
                <w:szCs w:val="13"/>
                <w:b w:val="1"/>
                <w:bCs w:val="1"/>
                <w:color w:val="auto"/>
                <w:w w:val="92"/>
              </w:rPr>
              <w:t>For the year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7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4"/>
              </w:rPr>
              <w:t>December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Realized loss/(gain) on derivatives held for trading</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2,740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Unrealized loss/(gain) on derivatives held for trading</w:t>
            </w:r>
          </w:p>
        </w:tc>
        <w:tc>
          <w:tcPr>
            <w:tcW w:w="520" w:type="dxa"/>
            <w:vAlign w:val="bottom"/>
          </w:tcPr>
          <w:p>
            <w:pPr>
              <w:ind w:left="140"/>
              <w:spacing w:after="0"/>
              <w:rPr>
                <w:sz w:val="20"/>
                <w:szCs w:val="20"/>
                <w:color w:val="auto"/>
              </w:rPr>
            </w:pPr>
            <w:r>
              <w:rPr>
                <w:rFonts w:ascii="Arial" w:cs="Arial" w:eastAsia="Arial" w:hAnsi="Arial"/>
                <w:sz w:val="18"/>
                <w:szCs w:val="18"/>
                <w:color w:val="auto"/>
                <w:w w:val="79"/>
              </w:rPr>
              <w:t>1,570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1,411</w:t>
            </w:r>
          </w:p>
        </w:tc>
        <w:tc>
          <w:tcPr>
            <w:tcW w:w="16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2,527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7040" w:type="dxa"/>
            <w:vAlign w:val="bottom"/>
          </w:tcPr>
          <w:p>
            <w:pPr>
              <w:spacing w:after="0"/>
              <w:rPr>
                <w:sz w:val="20"/>
                <w:szCs w:val="20"/>
                <w:color w:val="auto"/>
              </w:rPr>
            </w:pPr>
            <w:r>
              <w:rPr>
                <w:rFonts w:ascii="Arial" w:cs="Arial" w:eastAsia="Arial" w:hAnsi="Arial"/>
                <w:sz w:val="18"/>
                <w:szCs w:val="18"/>
                <w:b w:val="1"/>
                <w:bCs w:val="1"/>
                <w:color w:val="auto"/>
              </w:rPr>
              <w:t>Total loss/(gain) on derivatives</w:t>
            </w: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6,837</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Partnership's financial assets and liabilities approximate to their carrying amounts at the reporting date.</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There were no financial instruments in Levels 1 or 3 and no transfers between Levels 1, 2 or 3 during the periods presented. The definitions of the levels, provided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based on the degree to which the fair value is observable:</w:t>
      </w:r>
    </w:p>
    <w:p>
      <w:pPr>
        <w:spacing w:after="0" w:line="214"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Cash Flow Reconciliations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reconciliations of the Partnership's non-cash investing and financing activities for the two years ended December 31, 2018 are presented in the following tables: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Deferred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4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Non-cash</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financing</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1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Opening balance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items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costs, assets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 as of January 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1,563,932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1,563,932</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Borrowings drawdowns (Note 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 (Note 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(218,370)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(218,370)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(1,594)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(1,594)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deferred loan issuance costs (Note 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60" w:type="dxa"/>
            <w:vAlign w:val="bottom"/>
            <w:shd w:val="clear" w:color="auto" w:fill="CCEEFF"/>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b w:val="1"/>
                <w:bCs w:val="1"/>
                <w:color w:val="auto"/>
                <w:w w:val="97"/>
              </w:rPr>
              <w:t>Borrowings outstanding as of December 31,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1,563,932</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(159,964)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1,400,128</w:t>
            </w:r>
          </w:p>
        </w:tc>
        <w:tc>
          <w:tcPr>
            <w:tcW w:w="16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 as of January 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1,400,128</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Borrowings drawdowns (Note 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25,940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25,940</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 (Note 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(197,790)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(197,790)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79"/>
              </w:rPr>
              <w:t>50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deferred loan issuance costs (Note 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w w:val="97"/>
              </w:rPr>
              <w:t>Borrowings outstanding as of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1,400,128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(172,003)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w w:val="79"/>
              </w:rPr>
              <w:t>50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1,234,997</w:t>
            </w:r>
          </w:p>
        </w:tc>
        <w:tc>
          <w:tcPr>
            <w:tcW w:w="16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derivative assets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Non-cash</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Opening balance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items</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assets as of January 1, 2017</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Unrealized gain on derivatives held for trading (Note 17)</w:t>
            </w:r>
          </w:p>
        </w:tc>
        <w:tc>
          <w:tcPr>
            <w:tcW w:w="20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derivative assets as of December 31, 2017</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5400" w:type="dxa"/>
            <w:vAlign w:val="bottom"/>
            <w:gridSpan w:val="2"/>
          </w:tcPr>
          <w:p>
            <w:pPr>
              <w:ind w:left="1160"/>
              <w:spacing w:after="0"/>
              <w:rPr>
                <w:sz w:val="20"/>
                <w:szCs w:val="20"/>
                <w:color w:val="auto"/>
              </w:rPr>
            </w:pPr>
            <w:r>
              <w:rPr>
                <w:rFonts w:ascii="Arial" w:cs="Arial" w:eastAsia="Arial" w:hAnsi="Arial"/>
                <w:sz w:val="18"/>
                <w:szCs w:val="18"/>
                <w:color w:val="auto"/>
              </w:rPr>
              <w:t>Net derivative assets as of January 1, 2018</w:t>
            </w:r>
          </w:p>
        </w:tc>
        <w:tc>
          <w:tcPr>
            <w:tcW w:w="20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loss on derivatives held for trading (Note 17)</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Net derivative assets as of December 31, 2018</w:t>
            </w:r>
          </w:p>
        </w:tc>
        <w:tc>
          <w:tcPr>
            <w:tcW w:w="20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0"/>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20" w:type="dxa"/>
            <w:vAlign w:val="bottom"/>
            <w:gridSpan w:val="2"/>
          </w:tcPr>
          <w:p>
            <w:pPr>
              <w:jc w:val="right"/>
              <w:ind w:right="2576"/>
              <w:spacing w:after="0"/>
              <w:rPr>
                <w:sz w:val="20"/>
                <w:szCs w:val="20"/>
                <w:color w:val="auto"/>
              </w:rPr>
            </w:pPr>
            <w:r>
              <w:rPr>
                <w:rFonts w:ascii="Arial" w:cs="Arial" w:eastAsia="Arial" w:hAnsi="Arial"/>
                <w:sz w:val="18"/>
                <w:szCs w:val="18"/>
                <w:color w:val="auto"/>
              </w:rPr>
              <w:t>F-52</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vessels arising from investing activities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1"/>
              </w:rPr>
              <w:t>Non-cash</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99"/>
              </w:rPr>
              <w:t>Opening balance</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99"/>
              </w:rPr>
              <w:t>items</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Vessels as of January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2,439,092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Additions (Note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(81,089)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(81,089)</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Vessels as of December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2,439,092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(80,555)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2,363,668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Vessels as of January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2,363,668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Additions (Note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24,177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(81,590)</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Vessels as of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2,363,668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24,177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(72,022)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2,315,823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w w:val="94"/>
              </w:rPr>
              <w:t>A reconciliation of equity offerings arising from financing activities is as follows:</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9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Cash flows</w:t>
            </w:r>
          </w:p>
        </w:tc>
        <w:tc>
          <w:tcPr>
            <w:tcW w:w="80" w:type="dxa"/>
            <w:vAlign w:val="bottom"/>
          </w:tcPr>
          <w:p>
            <w:pPr>
              <w:spacing w:after="0"/>
              <w:rPr>
                <w:sz w:val="14"/>
                <w:szCs w:val="14"/>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items</w:t>
            </w: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Proceeds from public offerings of common units and issuances of general partner units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underwriting discounts and commissions) (Note 5)</w:t>
            </w:r>
          </w:p>
        </w:tc>
        <w:tc>
          <w:tcPr>
            <w:tcW w:w="1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144,297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4"/>
              </w:rPr>
              <w:t>Proceeds from public offering of preference units (net of underwriting discounts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commissions) (Note 5)</w:t>
            </w:r>
          </w:p>
        </w:tc>
        <w:tc>
          <w:tcPr>
            <w:tcW w:w="1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139,222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(2,033)</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proceeds from equity offerings in the year ended December 31, 2017</w:t>
            </w:r>
          </w:p>
        </w:tc>
        <w:tc>
          <w:tcPr>
            <w:tcW w:w="280" w:type="dxa"/>
            <w:vAlign w:val="bottom"/>
            <w:gridSpan w:val="2"/>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281,486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0" w:type="dxa"/>
            <w:vAlign w:val="bottom"/>
          </w:tcPr>
          <w:p>
            <w:pPr>
              <w:spacing w:after="0"/>
              <w:rPr>
                <w:sz w:val="16"/>
                <w:szCs w:val="16"/>
                <w:color w:val="auto"/>
              </w:rPr>
            </w:pPr>
          </w:p>
        </w:tc>
        <w:tc>
          <w:tcPr>
            <w:tcW w:w="6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Proceeds from public offerings of common units and issuances of general partner units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underwriting discounts and commissions) (Note 5)</w:t>
            </w:r>
          </w:p>
        </w:tc>
        <w:tc>
          <w:tcPr>
            <w:tcW w:w="1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62,516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4"/>
              </w:rPr>
              <w:t>Proceeds from public offering of preference units (net of underwriting discounts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commissions) (Note 5)</w:t>
            </w:r>
          </w:p>
        </w:tc>
        <w:tc>
          <w:tcPr>
            <w:tcW w:w="1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208,394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208,394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(915)</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(703)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Payments for IDRs modification (including fees)</w:t>
            </w:r>
          </w:p>
        </w:tc>
        <w:tc>
          <w:tcPr>
            <w:tcW w:w="1160" w:type="dxa"/>
            <w:vAlign w:val="bottom"/>
          </w:tcPr>
          <w:p>
            <w:pPr>
              <w:spacing w:after="0"/>
              <w:rPr>
                <w:sz w:val="18"/>
                <w:szCs w:val="18"/>
                <w:color w:val="auto"/>
              </w:rPr>
            </w:pPr>
          </w:p>
        </w:tc>
        <w:tc>
          <w:tcPr>
            <w:tcW w:w="1160" w:type="dxa"/>
            <w:vAlign w:val="bottom"/>
            <w:gridSpan w:val="6"/>
          </w:tcPr>
          <w:p>
            <w:pPr>
              <w:jc w:val="right"/>
              <w:ind w:right="20"/>
              <w:spacing w:after="0"/>
              <w:rPr>
                <w:sz w:val="20"/>
                <w:szCs w:val="20"/>
                <w:color w:val="auto"/>
              </w:rPr>
            </w:pPr>
            <w:r>
              <w:rPr>
                <w:rFonts w:ascii="Arial" w:cs="Arial" w:eastAsia="Arial" w:hAnsi="Arial"/>
                <w:sz w:val="18"/>
                <w:szCs w:val="18"/>
                <w:color w:val="auto"/>
              </w:rPr>
              <w:t>(25,002)</w:t>
            </w:r>
          </w:p>
        </w:tc>
        <w:tc>
          <w:tcPr>
            <w:tcW w:w="8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(25,002)</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6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9"/>
              </w:rPr>
              <w:t>Net proceeds from equity offerings/modifications in the year ended December 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1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244,993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244,290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 as generally described in Note 5 above.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three years ended December 31, 2018, the Partnership completed equity offerings of common units and issued general partner units to its general partner in order for GasLog to retain its 2.0%, as presented in Note 5. Also, on May 16, 2017, the subordination period expired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consequently all 9,822,358 subordinated units held by GasLog converted into common units on a one-for-one basis (Note 5).</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Basic earnings per unit is determined by dividing profit for the year reported at the end of each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4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134,745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Partnership's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Paid and accrued preference unit distributions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86,368</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Common unitholders</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49,886</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76,347</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75,879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920" w:type="dxa"/>
            <w:vAlign w:val="bottom"/>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22,934,380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36,493,143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42,945,432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Earnings per unit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22,963,214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36,547,545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43,034,117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Earnings per unit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700" w:right="80" w:hanging="536"/>
        <w:spacing w:after="0" w:line="317" w:lineRule="auto"/>
        <w:tabs>
          <w:tab w:leader="none" w:pos="170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Includes profits of: (i) GAS-seven Ltd. for the period prior to its transfer to the Partnership on November 1, 2016, (ii) GAS-eleven Ltd. for the period prior to its transfer to the Partnership on May 3, 2017, (iii) GAS-thirteen Ltd. for the period prior to its transfer to the Partnership on July 3, 2017, (iv) GAS-eight Ltd. for the period prior to its transfer to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 (Continued)</w:t>
      </w:r>
    </w:p>
    <w:p>
      <w:pPr>
        <w:spacing w:after="0" w:line="229" w:lineRule="exact"/>
        <w:rPr>
          <w:sz w:val="20"/>
          <w:szCs w:val="20"/>
          <w:color w:val="auto"/>
        </w:rPr>
      </w:pPr>
    </w:p>
    <w:p>
      <w:pPr>
        <w:ind w:left="1700" w:right="40"/>
        <w:spacing w:after="0" w:line="250" w:lineRule="auto"/>
        <w:rPr>
          <w:sz w:val="20"/>
          <w:szCs w:val="20"/>
          <w:color w:val="auto"/>
        </w:rPr>
      </w:pPr>
      <w:r>
        <w:rPr>
          <w:rFonts w:ascii="Arial" w:cs="Arial" w:eastAsia="Arial" w:hAnsi="Arial"/>
          <w:sz w:val="13"/>
          <w:szCs w:val="13"/>
          <w:color w:val="auto"/>
        </w:rPr>
        <w:t>Partnership on October 20, 2017, (v) GAS-fourteen Ltd. for the period prior to its transfer to the Partnership on April 26, 2018 and (vi) GAS-twenty seven Ltd. for the period prior to its transfer to the Partnership on November 14, 2018.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74" w:lineRule="exact"/>
        <w:rPr>
          <w:sz w:val="20"/>
          <w:szCs w:val="20"/>
          <w:color w:val="auto"/>
        </w:rPr>
      </w:pPr>
    </w:p>
    <w:p>
      <w:pPr>
        <w:ind w:left="1700" w:right="20" w:hanging="536"/>
        <w:spacing w:after="0" w:line="250" w:lineRule="auto"/>
        <w:tabs>
          <w:tab w:leader="none" w:pos="170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On May 16, 2017, all 9,822,358 subordinated units converted into common units on a one-for-one basis. As of December 31, 2017, they participated pro rata with all other outstanding common units in distributions of available cash for the three months ended December 31,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106" w:lineRule="exact"/>
        <w:rPr>
          <w:rFonts w:ascii="Arial" w:cs="Arial" w:eastAsia="Arial" w:hAnsi="Arial"/>
          <w:sz w:val="13"/>
          <w:szCs w:val="13"/>
          <w:color w:val="auto"/>
        </w:rPr>
      </w:pPr>
    </w:p>
    <w:p>
      <w:pPr>
        <w:ind w:left="1700" w:hanging="536"/>
        <w:spacing w:after="0" w:line="250" w:lineRule="auto"/>
        <w:tabs>
          <w:tab w:leader="none" w:pos="1700" w:val="left"/>
        </w:tabs>
        <w:numPr>
          <w:ilvl w:val="1"/>
          <w:numId w:val="162"/>
        </w:numPr>
        <w:rPr>
          <w:rFonts w:ascii="Arial" w:cs="Arial" w:eastAsia="Arial" w:hAnsi="Arial"/>
          <w:sz w:val="13"/>
          <w:szCs w:val="13"/>
          <w:color w:val="auto"/>
        </w:rPr>
      </w:pPr>
      <w:r>
        <w:rPr>
          <w:rFonts w:ascii="Arial" w:cs="Arial" w:eastAsia="Arial" w:hAnsi="Arial"/>
          <w:sz w:val="13"/>
          <w:szCs w:val="13"/>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(please refer to Note 5). Based on the nature of such right, earnings attributable to IDRs cannot be allocated on a per unit basis.</w:t>
      </w:r>
    </w:p>
    <w:p>
      <w:pPr>
        <w:spacing w:after="0" w:line="183" w:lineRule="exact"/>
        <w:rPr>
          <w:rFonts w:ascii="Arial" w:cs="Arial" w:eastAsia="Arial" w:hAnsi="Arial"/>
          <w:sz w:val="13"/>
          <w:szCs w:val="13"/>
          <w:color w:val="auto"/>
        </w:rPr>
      </w:pPr>
    </w:p>
    <w:p>
      <w:pPr>
        <w:ind w:left="280" w:hanging="272"/>
        <w:spacing w:after="0"/>
        <w:tabs>
          <w:tab w:leader="none" w:pos="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April 1, 2015, April 1, 2016, April 3, 2017 and April 2, 2018, the Partnership granted to its executives Restricted Common Units ("RCUs") and Performance Common Units ("PCUs") in accordance with its 2015 Long-Term Incentive Plan (the "2015 Plan"). On April 3, 2018, 16,999 RCUs and 16,999 PCUs vested under the Partnership's 2015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Fair value at</w:t>
            </w: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Grant date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7"/>
              </w:rPr>
              <w:t>RCUs</w:t>
            </w:r>
          </w:p>
        </w:tc>
        <w:tc>
          <w:tcPr>
            <w:tcW w:w="48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April 1, 2015</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3, 2017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April 3, 2017</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2, 2018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April 2, 2018</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8"/>
        <w:spacing w:after="0" w:line="317" w:lineRule="auto"/>
        <w:rPr>
          <w:sz w:val="20"/>
          <w:szCs w:val="20"/>
          <w:color w:val="auto"/>
        </w:rPr>
      </w:pPr>
      <w:r>
        <w:rPr>
          <w:rFonts w:ascii="Arial" w:cs="Arial" w:eastAsia="Arial" w:hAnsi="Arial"/>
          <w:sz w:val="15"/>
          <w:szCs w:val="15"/>
          <w:color w:val="auto"/>
        </w:rPr>
        <w:t>The RCUs and PCUs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settled on vesting.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Share-based Compensation (Continued)</w:t>
      </w:r>
    </w:p>
    <w:p>
      <w:pPr>
        <w:spacing w:after="0" w:line="231" w:lineRule="exact"/>
        <w:rPr>
          <w:sz w:val="20"/>
          <w:szCs w:val="20"/>
          <w:color w:val="auto"/>
        </w:rPr>
      </w:pPr>
    </w:p>
    <w:p>
      <w:pPr>
        <w:ind w:right="420" w:firstLine="348"/>
        <w:spacing w:after="0" w:line="331" w:lineRule="auto"/>
        <w:rPr>
          <w:sz w:val="20"/>
          <w:szCs w:val="20"/>
          <w:color w:val="auto"/>
        </w:rPr>
      </w:pPr>
      <w:r>
        <w:rPr>
          <w:rFonts w:ascii="Arial" w:cs="Arial" w:eastAsia="Arial" w:hAnsi="Arial"/>
          <w:sz w:val="16"/>
          <w:szCs w:val="16"/>
          <w:color w:val="auto"/>
        </w:rPr>
        <w:t>The awards are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fair value per common unit of the RCUs and PCUs in accordance with the 2015 Plan was determined by using the grant date closing price of $24.12 for the 2015 grant, $16.45 for the 2016 grant, $23.85 for the 2017 grant and $23.40 for the 2018 grant and was not further adjusted since the holders are entitled to cash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year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61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Aggregate</w:t>
            </w:r>
          </w:p>
        </w:tc>
      </w:tr>
      <w:tr>
        <w:trPr>
          <w:trHeight w:val="161"/>
        </w:trPr>
        <w:tc>
          <w:tcPr>
            <w:tcW w:w="61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awards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contractual life</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 value</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0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shd w:val="clear" w:color="auto" w:fill="CCEEFF"/>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0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shd w:val="clear" w:color="auto" w:fill="CCEEFF"/>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331" w:lineRule="auto"/>
        <w:rPr>
          <w:sz w:val="20"/>
          <w:szCs w:val="20"/>
          <w:color w:val="auto"/>
        </w:rPr>
      </w:pPr>
      <w:r>
        <w:rPr>
          <w:rFonts w:ascii="Arial" w:cs="Arial" w:eastAsia="Arial" w:hAnsi="Arial"/>
          <w:sz w:val="16"/>
          <w:szCs w:val="16"/>
          <w:color w:val="auto"/>
        </w:rPr>
        <w:t>The total expense recognized in respect of share-based compensation for the year ended December 31, 2018 is $1,034 ($850 for the year ended December 31, 2017; $480 for the year ended December 31, 2016). The total accrued cash distribution as of December 31, 2018 is $542 (December 31, 2017: $428).</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Taxation</w:t>
      </w:r>
    </w:p>
    <w:p>
      <w:pPr>
        <w:spacing w:after="0" w:line="231" w:lineRule="exact"/>
        <w:rPr>
          <w:sz w:val="20"/>
          <w:szCs w:val="20"/>
          <w:color w:val="auto"/>
        </w:rPr>
      </w:pPr>
    </w:p>
    <w:p>
      <w:pPr>
        <w:ind w:right="300" w:firstLine="351"/>
        <w:spacing w:after="0" w:line="369" w:lineRule="auto"/>
        <w:rPr>
          <w:sz w:val="20"/>
          <w:szCs w:val="20"/>
          <w:color w:val="auto"/>
        </w:rPr>
      </w:pPr>
      <w:r>
        <w:rPr>
          <w:rFonts w:ascii="Arial" w:cs="Arial" w:eastAsia="Arial" w:hAnsi="Arial"/>
          <w:sz w:val="15"/>
          <w:szCs w:val="15"/>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1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Partnership did not qualify for this exemption for the three years ended December 31, 2018. During the year ended December 31, 2018, the estimated 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source gross transportation tax is $625 and is included under "Vessel Operating Costs" (December 31, 2017: $398 and December 31, 2016: $201).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31" w:lineRule="exact"/>
        <w:rPr>
          <w:sz w:val="20"/>
          <w:szCs w:val="20"/>
          <w:color w:val="auto"/>
        </w:rPr>
      </w:pPr>
    </w:p>
    <w:p>
      <w:pPr>
        <w:ind w:right="520" w:firstLine="351"/>
        <w:spacing w:after="0" w:line="306" w:lineRule="auto"/>
        <w:rPr>
          <w:sz w:val="20"/>
          <w:szCs w:val="20"/>
          <w:color w:val="auto"/>
        </w:rPr>
      </w:pPr>
      <w:r>
        <w:rPr>
          <w:rFonts w:ascii="Arial" w:cs="Arial" w:eastAsia="Arial" w:hAnsi="Arial"/>
          <w:sz w:val="16"/>
          <w:szCs w:val="16"/>
          <w:color w:val="auto"/>
        </w:rPr>
        <w:t>On January 29, 2019, the board of directors of GasLog Partners approved and declared a quarterly cash distribution, with respect to the quarter ended December 31, 2018, of $0.55 per unit. The cash distribution was paid on February 13, 2019, to all common unitholders of record as of February 8, 2019. The aggregate amount of the declared distribution was $26,929, based on the numbers of units issued and outstanding as of December 31, 2018.</w:t>
      </w:r>
    </w:p>
    <w:p>
      <w:pPr>
        <w:spacing w:after="0" w:line="1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On February 20, 2019, GasLog Partners entered into a credit agreement with Credit Suisse AG, Nordea Bank ABP, filial i Norge and Iyo Bank, Ltd., Singapore Branch, each an original lender, of up to $450,000 (the "2019 GasLog Partners Facility"), in order to refinance the existing indebtedness due in November 2019 on five of its vessels. Subsequently on the same date, the Development Bank of Japan, Inc. entered the facility as lender via transfer certificate. The agreement provides for an amortising revolving credit facility which can be repaid and redrawn at any time for a period of five years. The total available facility amount will be reduced on a quarterly basis, with a final balloon amount payable concurrently with the last quarterly instalment, if any, in February 2024.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The facility is subject to customary conditions precedent.</w:t>
      </w:r>
    </w:p>
    <w:p>
      <w:pPr>
        <w:spacing w:after="0" w:line="172"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On February 22, 2019, the board of directors of GasLog Partners approved and declared a distribution on the Series A Preference Units of $0.5390625 per preference unit, a distribution on the Series B Preference Units of $0.5125 per preference unit and a distribution on the Series C Preference Units of $0.7083 per preference unit. The cash distributions are payable on March 15, 2019 to all unitholders of record as of March 7,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spacing w:after="0"/>
        <w:rPr>
          <w:rFonts w:ascii="Arial" w:cs="Arial" w:eastAsia="Arial" w:hAnsi="Arial"/>
          <w:sz w:val="22"/>
          <w:szCs w:val="22"/>
          <w:color w:val="0000EE"/>
        </w:rPr>
      </w:pPr>
      <w:hyperlink w:anchor="page3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Private and Confidential</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FIVE ASTERISKS (*****).</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Dated 20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151765</wp:posOffset>
            </wp:positionV>
            <wp:extent cx="1920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ENTITIES LISTED IN 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CREDIT SUISSE AG</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NORDEA BANK ABP, FILIAL I NORGE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mandated lead arrangers</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(together as Arrangers)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with</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NORDEA BANK ABP, FILIAL I NORGE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Agent</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NORDEA BANK ABP, FILIAL I NORGE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Security Agent</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CREDIT SUISSE AG</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NORDEA BANK ABP, FILIAL I NORGE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Bookrunners</w:t>
      </w:r>
    </w:p>
    <w:p>
      <w:pPr>
        <w:spacing w:after="0" w:line="200" w:lineRule="exact"/>
        <w:rPr>
          <w:sz w:val="20"/>
          <w:szCs w:val="20"/>
          <w:color w:val="auto"/>
        </w:rPr>
      </w:pP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CREDIT SUISSE AG</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as Global Co-ordinator</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guaranteed by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GASLOG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HOLDINGS LLC</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FACILITY AGREEMENT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34187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34187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144145</wp:posOffset>
            </wp:positionV>
            <wp:extent cx="2837180" cy="316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2837180" cy="316865"/>
                    </a:xfrm>
                    <a:prstGeom prst="rect">
                      <a:avLst/>
                    </a:prstGeom>
                    <a:noFill/>
                  </pic:spPr>
                </pic:pic>
              </a:graphicData>
            </a:graphic>
          </wp:anchor>
        </w:drawing>
      </w:r>
    </w:p>
    <w:p>
      <w:pPr>
        <w:sectPr>
          <w:pgSz w:w="11900" w:h="16838" w:orient="portrait"/>
          <w:cols w:equalWidth="0" w:num="1">
            <w:col w:w="11520"/>
          </w:cols>
          <w:pgMar w:left="160" w:top="281" w:right="21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8340" w:type="dxa"/>
            <w:vAlign w:val="bottom"/>
          </w:tcPr>
          <w:p>
            <w:pPr>
              <w:ind w:left="3960"/>
              <w:spacing w:after="0"/>
              <w:rPr>
                <w:sz w:val="20"/>
                <w:szCs w:val="20"/>
                <w:color w:val="auto"/>
              </w:rPr>
            </w:pPr>
            <w:r>
              <w:rPr>
                <w:rFonts w:ascii="Arial" w:cs="Arial" w:eastAsia="Arial" w:hAnsi="Arial"/>
                <w:sz w:val="18"/>
                <w:szCs w:val="18"/>
                <w:b w:val="1"/>
                <w:bCs w:val="1"/>
                <w:color w:val="auto"/>
              </w:rPr>
              <w:t>Contents</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80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Clause</w:t>
            </w:r>
          </w:p>
        </w:tc>
        <w:tc>
          <w:tcPr>
            <w:tcW w:w="1760" w:type="dxa"/>
            <w:vAlign w:val="bottom"/>
            <w:gridSpan w:val="2"/>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8"/>
        </w:trPr>
        <w:tc>
          <w:tcPr>
            <w:tcW w:w="9800" w:type="dxa"/>
            <w:vAlign w:val="bottom"/>
            <w:gridSpan w:val="2"/>
            <w:vMerge w:val="continue"/>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w:t>
            </w:r>
          </w:p>
        </w:tc>
        <w:tc>
          <w:tcPr>
            <w:tcW w:w="834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w:t>
            </w:r>
          </w:p>
        </w:tc>
        <w:tc>
          <w:tcPr>
            <w:tcW w:w="8340" w:type="dxa"/>
            <w:vAlign w:val="bottom"/>
          </w:tcPr>
          <w:p>
            <w:pPr>
              <w:ind w:left="100"/>
              <w:spacing w:after="0"/>
              <w:rPr>
                <w:sz w:val="20"/>
                <w:szCs w:val="20"/>
                <w:color w:val="auto"/>
              </w:rPr>
            </w:pPr>
            <w:r>
              <w:rPr>
                <w:rFonts w:ascii="Arial" w:cs="Arial" w:eastAsia="Arial" w:hAnsi="Arial"/>
                <w:sz w:val="18"/>
                <w:szCs w:val="18"/>
                <w:color w:val="auto"/>
              </w:rPr>
              <w:t>The Facility</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w:t>
            </w:r>
          </w:p>
        </w:tc>
        <w:tc>
          <w:tcPr>
            <w:tcW w:w="8340" w:type="dxa"/>
            <w:vAlign w:val="bottom"/>
          </w:tcPr>
          <w:p>
            <w:pPr>
              <w:ind w:left="100"/>
              <w:spacing w:after="0"/>
              <w:rPr>
                <w:sz w:val="20"/>
                <w:szCs w:val="20"/>
                <w:color w:val="auto"/>
              </w:rPr>
            </w:pPr>
            <w:r>
              <w:rPr>
                <w:rFonts w:ascii="Arial" w:cs="Arial" w:eastAsia="Arial" w:hAnsi="Arial"/>
                <w:sz w:val="18"/>
                <w:szCs w:val="18"/>
                <w:color w:val="auto"/>
              </w:rPr>
              <w:t>Purpose</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w:t>
            </w:r>
          </w:p>
        </w:tc>
        <w:tc>
          <w:tcPr>
            <w:tcW w:w="8340" w:type="dxa"/>
            <w:vAlign w:val="bottom"/>
          </w:tcPr>
          <w:p>
            <w:pPr>
              <w:ind w:left="100"/>
              <w:spacing w:after="0"/>
              <w:rPr>
                <w:sz w:val="20"/>
                <w:szCs w:val="20"/>
                <w:color w:val="auto"/>
              </w:rPr>
            </w:pPr>
            <w:r>
              <w:rPr>
                <w:rFonts w:ascii="Arial" w:cs="Arial" w:eastAsia="Arial" w:hAnsi="Arial"/>
                <w:sz w:val="18"/>
                <w:szCs w:val="18"/>
                <w:color w:val="auto"/>
              </w:rPr>
              <w:t>Conditions of Utilisation</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5</w:t>
            </w:r>
          </w:p>
        </w:tc>
        <w:tc>
          <w:tcPr>
            <w:tcW w:w="8340" w:type="dxa"/>
            <w:vAlign w:val="bottom"/>
          </w:tcPr>
          <w:p>
            <w:pPr>
              <w:ind w:left="100"/>
              <w:spacing w:after="0"/>
              <w:rPr>
                <w:sz w:val="20"/>
                <w:szCs w:val="20"/>
                <w:color w:val="auto"/>
              </w:rPr>
            </w:pPr>
            <w:r>
              <w:rPr>
                <w:rFonts w:ascii="Arial" w:cs="Arial" w:eastAsia="Arial" w:hAnsi="Arial"/>
                <w:sz w:val="18"/>
                <w:szCs w:val="18"/>
                <w:color w:val="auto"/>
              </w:rPr>
              <w:t>Utilisation</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6</w:t>
            </w:r>
          </w:p>
        </w:tc>
        <w:tc>
          <w:tcPr>
            <w:tcW w:w="8340" w:type="dxa"/>
            <w:vAlign w:val="bottom"/>
          </w:tcPr>
          <w:p>
            <w:pPr>
              <w:ind w:left="100"/>
              <w:spacing w:after="0"/>
              <w:rPr>
                <w:sz w:val="20"/>
                <w:szCs w:val="20"/>
                <w:color w:val="auto"/>
              </w:rPr>
            </w:pPr>
            <w:r>
              <w:rPr>
                <w:rFonts w:ascii="Arial" w:cs="Arial" w:eastAsia="Arial" w:hAnsi="Arial"/>
                <w:sz w:val="18"/>
                <w:szCs w:val="18"/>
                <w:color w:val="auto"/>
              </w:rPr>
              <w:t>Repayment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7</w:t>
            </w:r>
          </w:p>
        </w:tc>
        <w:tc>
          <w:tcPr>
            <w:tcW w:w="8340" w:type="dxa"/>
            <w:vAlign w:val="bottom"/>
          </w:tcPr>
          <w:p>
            <w:pPr>
              <w:ind w:left="100"/>
              <w:spacing w:after="0"/>
              <w:rPr>
                <w:sz w:val="20"/>
                <w:szCs w:val="20"/>
                <w:color w:val="auto"/>
              </w:rPr>
            </w:pPr>
            <w:r>
              <w:rPr>
                <w:rFonts w:ascii="Arial" w:cs="Arial" w:eastAsia="Arial" w:hAnsi="Arial"/>
                <w:sz w:val="18"/>
                <w:szCs w:val="18"/>
                <w:color w:val="auto"/>
              </w:rPr>
              <w:t>Illegality, prepayment and cancellation</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8</w:t>
            </w:r>
          </w:p>
        </w:tc>
        <w:tc>
          <w:tcPr>
            <w:tcW w:w="83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9</w:t>
            </w:r>
          </w:p>
        </w:tc>
        <w:tc>
          <w:tcPr>
            <w:tcW w:w="8340" w:type="dxa"/>
            <w:vAlign w:val="bottom"/>
          </w:tcPr>
          <w:p>
            <w:pPr>
              <w:ind w:left="100"/>
              <w:spacing w:after="0"/>
              <w:rPr>
                <w:sz w:val="20"/>
                <w:szCs w:val="20"/>
                <w:color w:val="auto"/>
              </w:rPr>
            </w:pPr>
            <w:r>
              <w:rPr>
                <w:rFonts w:ascii="Arial" w:cs="Arial" w:eastAsia="Arial" w:hAnsi="Arial"/>
                <w:sz w:val="18"/>
                <w:szCs w:val="18"/>
                <w:color w:val="auto"/>
              </w:rPr>
              <w:t>Interest Periods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10</w:t>
            </w:r>
          </w:p>
        </w:tc>
        <w:tc>
          <w:tcPr>
            <w:tcW w:w="8340" w:type="dxa"/>
            <w:vAlign w:val="bottom"/>
          </w:tcPr>
          <w:p>
            <w:pPr>
              <w:ind w:left="100"/>
              <w:spacing w:after="0"/>
              <w:rPr>
                <w:sz w:val="20"/>
                <w:szCs w:val="20"/>
                <w:color w:val="auto"/>
              </w:rPr>
            </w:pPr>
            <w:r>
              <w:rPr>
                <w:rFonts w:ascii="Arial" w:cs="Arial" w:eastAsia="Arial" w:hAnsi="Arial"/>
                <w:sz w:val="18"/>
                <w:szCs w:val="18"/>
                <w:color w:val="auto"/>
              </w:rPr>
              <w:t>Changes to the calculation of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11</w:t>
            </w:r>
          </w:p>
        </w:tc>
        <w:tc>
          <w:tcPr>
            <w:tcW w:w="8340" w:type="dxa"/>
            <w:vAlign w:val="bottom"/>
          </w:tcPr>
          <w:p>
            <w:pPr>
              <w:ind w:left="100"/>
              <w:spacing w:after="0"/>
              <w:rPr>
                <w:sz w:val="20"/>
                <w:szCs w:val="20"/>
                <w:color w:val="auto"/>
              </w:rPr>
            </w:pPr>
            <w:r>
              <w:rPr>
                <w:rFonts w:ascii="Arial" w:cs="Arial" w:eastAsia="Arial" w:hAnsi="Arial"/>
                <w:sz w:val="18"/>
                <w:szCs w:val="18"/>
                <w:color w:val="auto"/>
              </w:rPr>
              <w:t>Fees</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12</w:t>
            </w:r>
          </w:p>
        </w:tc>
        <w:tc>
          <w:tcPr>
            <w:tcW w:w="8340" w:type="dxa"/>
            <w:vAlign w:val="bottom"/>
          </w:tcPr>
          <w:p>
            <w:pPr>
              <w:ind w:left="100"/>
              <w:spacing w:after="0"/>
              <w:rPr>
                <w:sz w:val="20"/>
                <w:szCs w:val="20"/>
                <w:color w:val="auto"/>
              </w:rPr>
            </w:pPr>
            <w:r>
              <w:rPr>
                <w:rFonts w:ascii="Arial" w:cs="Arial" w:eastAsia="Arial" w:hAnsi="Arial"/>
                <w:sz w:val="18"/>
                <w:szCs w:val="18"/>
                <w:color w:val="auto"/>
              </w:rPr>
              <w:t>Tax gross-up and indemnities</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13</w:t>
            </w:r>
          </w:p>
        </w:tc>
        <w:tc>
          <w:tcPr>
            <w:tcW w:w="8340" w:type="dxa"/>
            <w:vAlign w:val="bottom"/>
          </w:tcPr>
          <w:p>
            <w:pPr>
              <w:ind w:left="100"/>
              <w:spacing w:after="0"/>
              <w:rPr>
                <w:sz w:val="20"/>
                <w:szCs w:val="20"/>
                <w:color w:val="auto"/>
              </w:rPr>
            </w:pPr>
            <w:r>
              <w:rPr>
                <w:rFonts w:ascii="Arial" w:cs="Arial" w:eastAsia="Arial" w:hAnsi="Arial"/>
                <w:sz w:val="18"/>
                <w:szCs w:val="18"/>
                <w:color w:val="auto"/>
              </w:rPr>
              <w:t>Increased Costs</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14</w:t>
            </w:r>
          </w:p>
        </w:tc>
        <w:tc>
          <w:tcPr>
            <w:tcW w:w="8340" w:type="dxa"/>
            <w:vAlign w:val="bottom"/>
          </w:tcPr>
          <w:p>
            <w:pPr>
              <w:ind w:left="100"/>
              <w:spacing w:after="0"/>
              <w:rPr>
                <w:sz w:val="20"/>
                <w:szCs w:val="20"/>
                <w:color w:val="auto"/>
              </w:rPr>
            </w:pPr>
            <w:r>
              <w:rPr>
                <w:rFonts w:ascii="Arial" w:cs="Arial" w:eastAsia="Arial" w:hAnsi="Arial"/>
                <w:sz w:val="18"/>
                <w:szCs w:val="18"/>
                <w:color w:val="auto"/>
              </w:rPr>
              <w:t>Other indemnities</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15</w:t>
            </w:r>
          </w:p>
        </w:tc>
        <w:tc>
          <w:tcPr>
            <w:tcW w:w="8340" w:type="dxa"/>
            <w:vAlign w:val="bottom"/>
          </w:tcPr>
          <w:p>
            <w:pPr>
              <w:ind w:left="100"/>
              <w:spacing w:after="0"/>
              <w:rPr>
                <w:sz w:val="20"/>
                <w:szCs w:val="20"/>
                <w:color w:val="auto"/>
              </w:rPr>
            </w:pPr>
            <w:r>
              <w:rPr>
                <w:rFonts w:ascii="Arial" w:cs="Arial" w:eastAsia="Arial" w:hAnsi="Arial"/>
                <w:sz w:val="18"/>
                <w:szCs w:val="18"/>
                <w:color w:val="auto"/>
              </w:rPr>
              <w:t>Mitigation by the Lenders</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16</w:t>
            </w:r>
          </w:p>
        </w:tc>
        <w:tc>
          <w:tcPr>
            <w:tcW w:w="834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17</w:t>
            </w:r>
          </w:p>
        </w:tc>
        <w:tc>
          <w:tcPr>
            <w:tcW w:w="8340" w:type="dxa"/>
            <w:vAlign w:val="bottom"/>
          </w:tcPr>
          <w:p>
            <w:pPr>
              <w:ind w:left="100"/>
              <w:spacing w:after="0"/>
              <w:rPr>
                <w:sz w:val="20"/>
                <w:szCs w:val="20"/>
                <w:color w:val="auto"/>
              </w:rPr>
            </w:pPr>
            <w:r>
              <w:rPr>
                <w:rFonts w:ascii="Arial" w:cs="Arial" w:eastAsia="Arial" w:hAnsi="Arial"/>
                <w:sz w:val="18"/>
                <w:szCs w:val="18"/>
                <w:color w:val="auto"/>
              </w:rPr>
              <w:t>Guarantee and indemnity</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18</w:t>
            </w:r>
          </w:p>
        </w:tc>
        <w:tc>
          <w:tcPr>
            <w:tcW w:w="8340" w:type="dxa"/>
            <w:vAlign w:val="bottom"/>
          </w:tcPr>
          <w:p>
            <w:pPr>
              <w:ind w:left="100"/>
              <w:spacing w:after="0"/>
              <w:rPr>
                <w:sz w:val="20"/>
                <w:szCs w:val="20"/>
                <w:color w:val="auto"/>
              </w:rPr>
            </w:pPr>
            <w:r>
              <w:rPr>
                <w:rFonts w:ascii="Arial" w:cs="Arial" w:eastAsia="Arial" w:hAnsi="Arial"/>
                <w:sz w:val="18"/>
                <w:szCs w:val="18"/>
                <w:color w:val="auto"/>
              </w:rPr>
              <w:t>Representations</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19</w:t>
            </w:r>
          </w:p>
        </w:tc>
        <w:tc>
          <w:tcPr>
            <w:tcW w:w="8340" w:type="dxa"/>
            <w:vAlign w:val="bottom"/>
          </w:tcPr>
          <w:p>
            <w:pPr>
              <w:ind w:left="100"/>
              <w:spacing w:after="0"/>
              <w:rPr>
                <w:sz w:val="20"/>
                <w:szCs w:val="20"/>
                <w:color w:val="auto"/>
              </w:rPr>
            </w:pPr>
            <w:r>
              <w:rPr>
                <w:rFonts w:ascii="Arial" w:cs="Arial" w:eastAsia="Arial" w:hAnsi="Arial"/>
                <w:sz w:val="18"/>
                <w:szCs w:val="18"/>
                <w:color w:val="auto"/>
              </w:rPr>
              <w:t>Information undertakings</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20</w:t>
            </w:r>
          </w:p>
        </w:tc>
        <w:tc>
          <w:tcPr>
            <w:tcW w:w="834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21</w:t>
            </w:r>
          </w:p>
        </w:tc>
        <w:tc>
          <w:tcPr>
            <w:tcW w:w="8340" w:type="dxa"/>
            <w:vAlign w:val="bottom"/>
          </w:tcPr>
          <w:p>
            <w:pPr>
              <w:ind w:left="100"/>
              <w:spacing w:after="0"/>
              <w:rPr>
                <w:sz w:val="20"/>
                <w:szCs w:val="20"/>
                <w:color w:val="auto"/>
              </w:rPr>
            </w:pPr>
            <w:r>
              <w:rPr>
                <w:rFonts w:ascii="Arial" w:cs="Arial" w:eastAsia="Arial" w:hAnsi="Arial"/>
                <w:sz w:val="18"/>
                <w:szCs w:val="18"/>
                <w:color w:val="auto"/>
              </w:rPr>
              <w:t>General undertakings</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22</w:t>
            </w:r>
          </w:p>
        </w:tc>
        <w:tc>
          <w:tcPr>
            <w:tcW w:w="8340" w:type="dxa"/>
            <w:vAlign w:val="bottom"/>
          </w:tcPr>
          <w:p>
            <w:pPr>
              <w:ind w:left="100"/>
              <w:spacing w:after="0"/>
              <w:rPr>
                <w:sz w:val="20"/>
                <w:szCs w:val="20"/>
                <w:color w:val="auto"/>
              </w:rPr>
            </w:pPr>
            <w:r>
              <w:rPr>
                <w:rFonts w:ascii="Arial" w:cs="Arial" w:eastAsia="Arial" w:hAnsi="Arial"/>
                <w:sz w:val="18"/>
                <w:szCs w:val="18"/>
                <w:color w:val="auto"/>
              </w:rPr>
              <w:t>Dealings with Ship</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23</w:t>
            </w:r>
          </w:p>
        </w:tc>
        <w:tc>
          <w:tcPr>
            <w:tcW w:w="8340" w:type="dxa"/>
            <w:vAlign w:val="bottom"/>
          </w:tcPr>
          <w:p>
            <w:pPr>
              <w:ind w:left="100"/>
              <w:spacing w:after="0"/>
              <w:rPr>
                <w:sz w:val="20"/>
                <w:szCs w:val="20"/>
                <w:color w:val="auto"/>
              </w:rPr>
            </w:pPr>
            <w:r>
              <w:rPr>
                <w:rFonts w:ascii="Arial" w:cs="Arial" w:eastAsia="Arial" w:hAnsi="Arial"/>
                <w:sz w:val="18"/>
                <w:szCs w:val="18"/>
                <w:color w:val="auto"/>
              </w:rPr>
              <w:t>Condition and operation of Ship</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24</w:t>
            </w:r>
          </w:p>
        </w:tc>
        <w:tc>
          <w:tcPr>
            <w:tcW w:w="83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25</w:t>
            </w:r>
          </w:p>
        </w:tc>
        <w:tc>
          <w:tcPr>
            <w:tcW w:w="8340" w:type="dxa"/>
            <w:vAlign w:val="bottom"/>
          </w:tcPr>
          <w:p>
            <w:pPr>
              <w:ind w:left="100"/>
              <w:spacing w:after="0"/>
              <w:rPr>
                <w:sz w:val="20"/>
                <w:szCs w:val="20"/>
                <w:color w:val="auto"/>
              </w:rPr>
            </w:pPr>
            <w:r>
              <w:rPr>
                <w:rFonts w:ascii="Arial" w:cs="Arial" w:eastAsia="Arial" w:hAnsi="Arial"/>
                <w:sz w:val="18"/>
                <w:szCs w:val="18"/>
                <w:color w:val="auto"/>
              </w:rPr>
              <w:t>Minimum security value</w:t>
            </w: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26</w:t>
            </w:r>
          </w:p>
        </w:tc>
        <w:tc>
          <w:tcPr>
            <w:tcW w:w="8340" w:type="dxa"/>
            <w:vAlign w:val="bottom"/>
          </w:tcPr>
          <w:p>
            <w:pPr>
              <w:ind w:left="100"/>
              <w:spacing w:after="0"/>
              <w:rPr>
                <w:sz w:val="20"/>
                <w:szCs w:val="20"/>
                <w:color w:val="auto"/>
              </w:rPr>
            </w:pPr>
            <w:r>
              <w:rPr>
                <w:rFonts w:ascii="Arial" w:cs="Arial" w:eastAsia="Arial" w:hAnsi="Arial"/>
                <w:sz w:val="18"/>
                <w:szCs w:val="18"/>
                <w:color w:val="auto"/>
              </w:rPr>
              <w:t>Chartering undertakings</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27</w:t>
            </w:r>
          </w:p>
        </w:tc>
        <w:tc>
          <w:tcPr>
            <w:tcW w:w="8340" w:type="dxa"/>
            <w:vAlign w:val="bottom"/>
          </w:tcPr>
          <w:p>
            <w:pPr>
              <w:ind w:left="100"/>
              <w:spacing w:after="0"/>
              <w:rPr>
                <w:sz w:val="20"/>
                <w:szCs w:val="20"/>
                <w:color w:val="auto"/>
              </w:rPr>
            </w:pPr>
            <w:r>
              <w:rPr>
                <w:rFonts w:ascii="Arial" w:cs="Arial" w:eastAsia="Arial" w:hAnsi="Arial"/>
                <w:sz w:val="18"/>
                <w:szCs w:val="18"/>
                <w:color w:val="auto"/>
              </w:rPr>
              <w:t>Bank accounts</w:t>
            </w: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28</w:t>
            </w:r>
          </w:p>
        </w:tc>
        <w:tc>
          <w:tcPr>
            <w:tcW w:w="8340" w:type="dxa"/>
            <w:vAlign w:val="bottom"/>
          </w:tcPr>
          <w:p>
            <w:pPr>
              <w:ind w:left="100"/>
              <w:spacing w:after="0"/>
              <w:rPr>
                <w:sz w:val="20"/>
                <w:szCs w:val="20"/>
                <w:color w:val="auto"/>
              </w:rPr>
            </w:pPr>
            <w:r>
              <w:rPr>
                <w:rFonts w:ascii="Arial" w:cs="Arial" w:eastAsia="Arial" w:hAnsi="Arial"/>
                <w:sz w:val="18"/>
                <w:szCs w:val="18"/>
                <w:color w:val="auto"/>
              </w:rPr>
              <w:t>Business restrictions</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29</w:t>
            </w:r>
          </w:p>
        </w:tc>
        <w:tc>
          <w:tcPr>
            <w:tcW w:w="83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30</w:t>
            </w:r>
          </w:p>
        </w:tc>
        <w:tc>
          <w:tcPr>
            <w:tcW w:w="8340" w:type="dxa"/>
            <w:vAlign w:val="bottom"/>
          </w:tcPr>
          <w:p>
            <w:pPr>
              <w:ind w:left="100"/>
              <w:spacing w:after="0"/>
              <w:rPr>
                <w:sz w:val="20"/>
                <w:szCs w:val="20"/>
                <w:color w:val="auto"/>
              </w:rPr>
            </w:pPr>
            <w:r>
              <w:rPr>
                <w:rFonts w:ascii="Arial" w:cs="Arial" w:eastAsia="Arial" w:hAnsi="Arial"/>
                <w:sz w:val="18"/>
                <w:szCs w:val="18"/>
                <w:color w:val="auto"/>
              </w:rPr>
              <w:t>Changes to the Lenders</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31</w:t>
            </w:r>
          </w:p>
        </w:tc>
        <w:tc>
          <w:tcPr>
            <w:tcW w:w="8340" w:type="dxa"/>
            <w:vAlign w:val="bottom"/>
          </w:tcPr>
          <w:p>
            <w:pPr>
              <w:ind w:left="100"/>
              <w:spacing w:after="0"/>
              <w:rPr>
                <w:sz w:val="20"/>
                <w:szCs w:val="20"/>
                <w:color w:val="auto"/>
              </w:rPr>
            </w:pPr>
            <w:r>
              <w:rPr>
                <w:rFonts w:ascii="Arial" w:cs="Arial" w:eastAsia="Arial" w:hAnsi="Arial"/>
                <w:sz w:val="18"/>
                <w:szCs w:val="18"/>
                <w:color w:val="auto"/>
              </w:rPr>
              <w:t>Changes to the Obligors/Restriction on Debt Purchase Transactions</w:t>
            </w: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32</w:t>
            </w:r>
          </w:p>
        </w:tc>
        <w:tc>
          <w:tcPr>
            <w:tcW w:w="8340" w:type="dxa"/>
            <w:vAlign w:val="bottom"/>
          </w:tcPr>
          <w:p>
            <w:pPr>
              <w:ind w:left="100"/>
              <w:spacing w:after="0"/>
              <w:rPr>
                <w:sz w:val="20"/>
                <w:szCs w:val="20"/>
                <w:color w:val="auto"/>
              </w:rPr>
            </w:pPr>
            <w:r>
              <w:rPr>
                <w:rFonts w:ascii="Arial" w:cs="Arial" w:eastAsia="Arial" w:hAnsi="Arial"/>
                <w:sz w:val="18"/>
                <w:szCs w:val="18"/>
                <w:color w:val="auto"/>
              </w:rPr>
              <w:t>Roles of Agent, Security Agent and Arrangers</w:t>
            </w: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33</w:t>
            </w:r>
          </w:p>
        </w:tc>
        <w:tc>
          <w:tcPr>
            <w:tcW w:w="8340" w:type="dxa"/>
            <w:vAlign w:val="bottom"/>
          </w:tcPr>
          <w:p>
            <w:pPr>
              <w:ind w:left="100"/>
              <w:spacing w:after="0"/>
              <w:rPr>
                <w:sz w:val="20"/>
                <w:szCs w:val="20"/>
                <w:color w:val="auto"/>
              </w:rPr>
            </w:pPr>
            <w:r>
              <w:rPr>
                <w:rFonts w:ascii="Arial" w:cs="Arial" w:eastAsia="Arial" w:hAnsi="Arial"/>
                <w:sz w:val="18"/>
                <w:szCs w:val="18"/>
                <w:color w:val="auto"/>
              </w:rPr>
              <w:t>Conduct of business by the Finance Parties</w:t>
            </w: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460" w:type="dxa"/>
            <w:vAlign w:val="bottom"/>
            <w:tcBorders>
              <w:bottom w:val="single" w:sz="8" w:color="808080"/>
            </w:tcBorders>
          </w:tcPr>
          <w:p>
            <w:pPr>
              <w:spacing w:after="0"/>
              <w:rPr>
                <w:sz w:val="10"/>
                <w:szCs w:val="10"/>
                <w:color w:val="auto"/>
              </w:rPr>
            </w:pPr>
          </w:p>
        </w:tc>
        <w:tc>
          <w:tcPr>
            <w:tcW w:w="8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61" w:right="179" w:bottom="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3"/>
                <w:szCs w:val="13"/>
                <w:b w:val="1"/>
                <w:bCs w:val="1"/>
                <w:color w:val="auto"/>
              </w:rPr>
              <w:t>Page</w:t>
            </w:r>
          </w:p>
        </w:tc>
      </w:tr>
      <w:tr>
        <w:trPr>
          <w:trHeight w:val="450"/>
        </w:trPr>
        <w:tc>
          <w:tcPr>
            <w:tcW w:w="1460" w:type="dxa"/>
            <w:vAlign w:val="bottom"/>
          </w:tcPr>
          <w:p>
            <w:pPr>
              <w:ind w:left="1160"/>
              <w:spacing w:after="0"/>
              <w:rPr>
                <w:sz w:val="20"/>
                <w:szCs w:val="20"/>
                <w:color w:val="auto"/>
              </w:rPr>
            </w:pPr>
            <w:r>
              <w:rPr>
                <w:rFonts w:ascii="Arial" w:cs="Arial" w:eastAsia="Arial" w:hAnsi="Arial"/>
                <w:sz w:val="18"/>
                <w:szCs w:val="18"/>
                <w:color w:val="auto"/>
              </w:rPr>
              <w:t>34</w:t>
            </w:r>
          </w:p>
        </w:tc>
        <w:tc>
          <w:tcPr>
            <w:tcW w:w="8340" w:type="dxa"/>
            <w:vAlign w:val="bottom"/>
          </w:tcPr>
          <w:p>
            <w:pPr>
              <w:ind w:left="100"/>
              <w:spacing w:after="0"/>
              <w:rPr>
                <w:sz w:val="20"/>
                <w:szCs w:val="20"/>
                <w:color w:val="auto"/>
              </w:rPr>
            </w:pPr>
            <w:r>
              <w:rPr>
                <w:rFonts w:ascii="Arial" w:cs="Arial" w:eastAsia="Arial" w:hAnsi="Arial"/>
                <w:sz w:val="18"/>
                <w:szCs w:val="18"/>
                <w:color w:val="auto"/>
              </w:rPr>
              <w:t>Sharing among the Finance Parties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35</w:t>
            </w:r>
          </w:p>
        </w:tc>
        <w:tc>
          <w:tcPr>
            <w:tcW w:w="8340" w:type="dxa"/>
            <w:vAlign w:val="bottom"/>
          </w:tcPr>
          <w:p>
            <w:pPr>
              <w:ind w:left="100"/>
              <w:spacing w:after="0"/>
              <w:rPr>
                <w:sz w:val="20"/>
                <w:szCs w:val="20"/>
                <w:color w:val="auto"/>
              </w:rPr>
            </w:pPr>
            <w:r>
              <w:rPr>
                <w:rFonts w:ascii="Arial" w:cs="Arial" w:eastAsia="Arial" w:hAnsi="Arial"/>
                <w:sz w:val="18"/>
                <w:szCs w:val="18"/>
                <w:color w:val="auto"/>
              </w:rPr>
              <w:t>Payment mechanics</w:t>
            </w: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36</w:t>
            </w:r>
          </w:p>
        </w:tc>
        <w:tc>
          <w:tcPr>
            <w:tcW w:w="8340" w:type="dxa"/>
            <w:vAlign w:val="bottom"/>
          </w:tcPr>
          <w:p>
            <w:pPr>
              <w:ind w:left="100"/>
              <w:spacing w:after="0"/>
              <w:rPr>
                <w:sz w:val="20"/>
                <w:szCs w:val="20"/>
                <w:color w:val="auto"/>
              </w:rPr>
            </w:pPr>
            <w:r>
              <w:rPr>
                <w:rFonts w:ascii="Arial" w:cs="Arial" w:eastAsia="Arial" w:hAnsi="Arial"/>
                <w:sz w:val="18"/>
                <w:szCs w:val="18"/>
                <w:color w:val="auto"/>
              </w:rPr>
              <w:t>Set-off</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37</w:t>
            </w:r>
          </w:p>
        </w:tc>
        <w:tc>
          <w:tcPr>
            <w:tcW w:w="8340" w:type="dxa"/>
            <w:vAlign w:val="bottom"/>
          </w:tcPr>
          <w:p>
            <w:pPr>
              <w:ind w:left="100"/>
              <w:spacing w:after="0"/>
              <w:rPr>
                <w:sz w:val="20"/>
                <w:szCs w:val="20"/>
                <w:color w:val="auto"/>
              </w:rPr>
            </w:pPr>
            <w:r>
              <w:rPr>
                <w:rFonts w:ascii="Arial" w:cs="Arial" w:eastAsia="Arial" w:hAnsi="Arial"/>
                <w:sz w:val="18"/>
                <w:szCs w:val="18"/>
                <w:color w:val="auto"/>
              </w:rPr>
              <w:t>Notices</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38</w:t>
            </w:r>
          </w:p>
        </w:tc>
        <w:tc>
          <w:tcPr>
            <w:tcW w:w="8340" w:type="dxa"/>
            <w:vAlign w:val="bottom"/>
          </w:tcPr>
          <w:p>
            <w:pPr>
              <w:ind w:left="100"/>
              <w:spacing w:after="0"/>
              <w:rPr>
                <w:sz w:val="20"/>
                <w:szCs w:val="20"/>
                <w:color w:val="auto"/>
              </w:rPr>
            </w:pPr>
            <w:r>
              <w:rPr>
                <w:rFonts w:ascii="Arial" w:cs="Arial" w:eastAsia="Arial" w:hAnsi="Arial"/>
                <w:sz w:val="18"/>
                <w:szCs w:val="18"/>
                <w:color w:val="auto"/>
              </w:rPr>
              <w:t>Calculations and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39</w:t>
            </w:r>
          </w:p>
        </w:tc>
        <w:tc>
          <w:tcPr>
            <w:tcW w:w="8340" w:type="dxa"/>
            <w:vAlign w:val="bottom"/>
          </w:tcPr>
          <w:p>
            <w:pPr>
              <w:ind w:left="100"/>
              <w:spacing w:after="0"/>
              <w:rPr>
                <w:sz w:val="20"/>
                <w:szCs w:val="20"/>
                <w:color w:val="auto"/>
              </w:rPr>
            </w:pPr>
            <w:r>
              <w:rPr>
                <w:rFonts w:ascii="Arial" w:cs="Arial" w:eastAsia="Arial" w:hAnsi="Arial"/>
                <w:sz w:val="18"/>
                <w:szCs w:val="18"/>
                <w:color w:val="auto"/>
              </w:rPr>
              <w:t>Partial invalidity</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40</w:t>
            </w:r>
          </w:p>
        </w:tc>
        <w:tc>
          <w:tcPr>
            <w:tcW w:w="8340" w:type="dxa"/>
            <w:vAlign w:val="bottom"/>
          </w:tcPr>
          <w:p>
            <w:pPr>
              <w:ind w:left="100"/>
              <w:spacing w:after="0"/>
              <w:rPr>
                <w:sz w:val="20"/>
                <w:szCs w:val="20"/>
                <w:color w:val="auto"/>
              </w:rPr>
            </w:pPr>
            <w:r>
              <w:rPr>
                <w:rFonts w:ascii="Arial" w:cs="Arial" w:eastAsia="Arial" w:hAnsi="Arial"/>
                <w:sz w:val="18"/>
                <w:szCs w:val="18"/>
                <w:color w:val="auto"/>
              </w:rPr>
              <w:t>Remedies and waivers</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41</w:t>
            </w:r>
          </w:p>
        </w:tc>
        <w:tc>
          <w:tcPr>
            <w:tcW w:w="8340" w:type="dxa"/>
            <w:vAlign w:val="bottom"/>
          </w:tcPr>
          <w:p>
            <w:pPr>
              <w:ind w:left="100"/>
              <w:spacing w:after="0"/>
              <w:rPr>
                <w:sz w:val="20"/>
                <w:szCs w:val="20"/>
                <w:color w:val="auto"/>
              </w:rPr>
            </w:pPr>
            <w:r>
              <w:rPr>
                <w:rFonts w:ascii="Arial" w:cs="Arial" w:eastAsia="Arial" w:hAnsi="Arial"/>
                <w:sz w:val="18"/>
                <w:szCs w:val="18"/>
                <w:color w:val="auto"/>
              </w:rPr>
              <w:t>Amendments and grant of waivers</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42</w:t>
            </w:r>
          </w:p>
        </w:tc>
        <w:tc>
          <w:tcPr>
            <w:tcW w:w="83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43</w:t>
            </w:r>
          </w:p>
        </w:tc>
        <w:tc>
          <w:tcPr>
            <w:tcW w:w="83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44</w:t>
            </w:r>
          </w:p>
        </w:tc>
        <w:tc>
          <w:tcPr>
            <w:tcW w:w="83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c>
          <w:tcPr>
            <w:tcW w:w="1320" w:type="dxa"/>
            <w:vAlign w:val="bottom"/>
          </w:tcPr>
          <w:p>
            <w:pPr>
              <w:spacing w:after="0"/>
              <w:rPr>
                <w:sz w:val="24"/>
                <w:szCs w:val="24"/>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color w:val="auto"/>
              </w:rPr>
              <w:t>45</w:t>
            </w:r>
          </w:p>
        </w:tc>
        <w:tc>
          <w:tcPr>
            <w:tcW w:w="834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c>
          <w:tcPr>
            <w:tcW w:w="1320" w:type="dxa"/>
            <w:vAlign w:val="bottom"/>
          </w:tcPr>
          <w:p>
            <w:pPr>
              <w:spacing w:after="0"/>
              <w:rPr>
                <w:sz w:val="24"/>
                <w:szCs w:val="24"/>
                <w:color w:val="auto"/>
              </w:rPr>
            </w:pPr>
          </w:p>
        </w:tc>
      </w:tr>
      <w:tr>
        <w:trPr>
          <w:trHeight w:val="364"/>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1 The original parties</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2 Ship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3 Conditions precedent</w:t>
            </w: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4 Utilisation Request</w:t>
            </w:r>
          </w:p>
        </w:tc>
        <w:tc>
          <w:tcPr>
            <w:tcW w:w="440" w:type="dxa"/>
            <w:vAlign w:val="bottom"/>
          </w:tcPr>
          <w:p>
            <w:pPr>
              <w:jc w:val="right"/>
              <w:spacing w:after="0"/>
              <w:rPr>
                <w:sz w:val="20"/>
                <w:szCs w:val="20"/>
                <w:color w:val="auto"/>
              </w:rPr>
            </w:pPr>
            <w:r>
              <w:rPr>
                <w:rFonts w:ascii="Arial" w:cs="Arial" w:eastAsia="Arial" w:hAnsi="Arial"/>
                <w:sz w:val="18"/>
                <w:szCs w:val="18"/>
                <w:color w:val="auto"/>
              </w:rPr>
              <w:t>161</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5 Form of Compliance Certificate</w:t>
            </w: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6 Form of Transfer Certificate</w:t>
            </w:r>
          </w:p>
        </w:tc>
        <w:tc>
          <w:tcPr>
            <w:tcW w:w="440" w:type="dxa"/>
            <w:vAlign w:val="bottom"/>
          </w:tcPr>
          <w:p>
            <w:pPr>
              <w:jc w:val="right"/>
              <w:spacing w:after="0"/>
              <w:rPr>
                <w:sz w:val="20"/>
                <w:szCs w:val="20"/>
                <w:color w:val="auto"/>
              </w:rPr>
            </w:pPr>
            <w:r>
              <w:rPr>
                <w:rFonts w:ascii="Arial" w:cs="Arial" w:eastAsia="Arial" w:hAnsi="Arial"/>
                <w:sz w:val="18"/>
                <w:szCs w:val="18"/>
                <w:color w:val="auto"/>
              </w:rPr>
              <w:t>164</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7 Forms of Notifiable Debt Purchase Transaction Notice</w:t>
            </w:r>
          </w:p>
        </w:tc>
        <w:tc>
          <w:tcPr>
            <w:tcW w:w="440" w:type="dxa"/>
            <w:vAlign w:val="bottom"/>
          </w:tcPr>
          <w:p>
            <w:pPr>
              <w:jc w:val="right"/>
              <w:spacing w:after="0"/>
              <w:rPr>
                <w:sz w:val="20"/>
                <w:szCs w:val="20"/>
                <w:color w:val="auto"/>
              </w:rPr>
            </w:pPr>
            <w:r>
              <w:rPr>
                <w:rFonts w:ascii="Arial" w:cs="Arial" w:eastAsia="Arial" w:hAnsi="Arial"/>
                <w:sz w:val="18"/>
                <w:szCs w:val="18"/>
                <w:color w:val="auto"/>
              </w:rPr>
              <w:t>166</w:t>
            </w:r>
          </w:p>
        </w:tc>
        <w:tc>
          <w:tcPr>
            <w:tcW w:w="1320" w:type="dxa"/>
            <w:vAlign w:val="bottom"/>
          </w:tcPr>
          <w:p>
            <w:pPr>
              <w:spacing w:after="0"/>
              <w:rPr>
                <w:sz w:val="24"/>
                <w:szCs w:val="24"/>
                <w:color w:val="auto"/>
              </w:rPr>
            </w:pPr>
          </w:p>
        </w:tc>
      </w:tr>
      <w:tr>
        <w:trPr>
          <w:trHeight w:val="459"/>
        </w:trPr>
        <w:tc>
          <w:tcPr>
            <w:tcW w:w="9800" w:type="dxa"/>
            <w:vAlign w:val="bottom"/>
            <w:gridSpan w:val="2"/>
          </w:tcPr>
          <w:p>
            <w:pPr>
              <w:ind w:left="1160"/>
              <w:spacing w:after="0"/>
              <w:rPr>
                <w:sz w:val="20"/>
                <w:szCs w:val="20"/>
                <w:color w:val="auto"/>
              </w:rPr>
            </w:pPr>
            <w:r>
              <w:rPr>
                <w:rFonts w:ascii="Arial" w:cs="Arial" w:eastAsia="Arial" w:hAnsi="Arial"/>
                <w:sz w:val="18"/>
                <w:szCs w:val="18"/>
                <w:color w:val="auto"/>
              </w:rPr>
              <w:t>Schedule 8 Reduction Schedule</w:t>
            </w: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320" w:type="dxa"/>
            <w:vAlign w:val="bottom"/>
          </w:tcPr>
          <w:p>
            <w:pPr>
              <w:spacing w:after="0"/>
              <w:rPr>
                <w:sz w:val="24"/>
                <w:szCs w:val="24"/>
                <w:color w:val="auto"/>
              </w:rPr>
            </w:pPr>
          </w:p>
        </w:tc>
      </w:tr>
      <w:tr>
        <w:trPr>
          <w:trHeight w:val="120"/>
        </w:trPr>
        <w:tc>
          <w:tcPr>
            <w:tcW w:w="1460" w:type="dxa"/>
            <w:vAlign w:val="bottom"/>
            <w:tcBorders>
              <w:bottom w:val="single" w:sz="8" w:color="808080"/>
            </w:tcBorders>
          </w:tcPr>
          <w:p>
            <w:pPr>
              <w:spacing w:after="0"/>
              <w:rPr>
                <w:sz w:val="10"/>
                <w:szCs w:val="10"/>
                <w:color w:val="auto"/>
              </w:rPr>
            </w:pPr>
          </w:p>
        </w:tc>
        <w:tc>
          <w:tcPr>
            <w:tcW w:w="8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101" w:right="179" w:bottom="1440" w:gutter="0" w:footer="0" w:header="0"/>
        </w:sectPr>
      </w:pPr>
    </w:p>
    <w:bookmarkStart w:id="219" w:name="page220"/>
    <w:bookmarkEnd w:id="219"/>
    <w:p>
      <w:pPr>
        <w:spacing w:after="0"/>
        <w:tabs>
          <w:tab w:leader="none" w:pos="240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w:t>
      </w:r>
      <w:r>
        <w:rPr>
          <w:sz w:val="20"/>
          <w:szCs w:val="20"/>
          <w:color w:val="auto"/>
        </w:rPr>
        <w:tab/>
      </w:r>
      <w:r>
        <w:rPr>
          <w:rFonts w:ascii="Arial" w:cs="Arial" w:eastAsia="Arial" w:hAnsi="Arial"/>
          <w:sz w:val="15"/>
          <w:szCs w:val="15"/>
          <w:color w:val="auto"/>
        </w:rPr>
        <w:t>February 2019, and made between:</w:t>
      </w:r>
    </w:p>
    <w:p>
      <w:pPr>
        <w:spacing w:after="0" w:line="239" w:lineRule="exact"/>
        <w:rPr>
          <w:sz w:val="20"/>
          <w:szCs w:val="20"/>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LP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HOLDINGS LLC </w:t>
      </w:r>
      <w:r>
        <w:rPr>
          <w:rFonts w:ascii="Arial" w:cs="Arial" w:eastAsia="Arial" w:hAnsi="Arial"/>
          <w:sz w:val="18"/>
          <w:szCs w:val="18"/>
          <w:color w:val="auto"/>
        </w:rPr>
        <w:t>(</w:t>
      </w:r>
      <w:r>
        <w:rPr>
          <w:rFonts w:ascii="Arial" w:cs="Arial" w:eastAsia="Arial" w:hAnsi="Arial"/>
          <w:sz w:val="18"/>
          <w:szCs w:val="18"/>
          <w:b w:val="1"/>
          <w:bCs w:val="1"/>
          <w:color w:val="auto"/>
        </w:rPr>
        <w:t>GasLog Holdings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540" w:right="640" w:hanging="532"/>
        <w:spacing w:after="0" w:line="275"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CREDIT SUISSE AG </w:t>
      </w:r>
      <w:r>
        <w:rPr>
          <w:rFonts w:ascii="Arial" w:cs="Arial" w:eastAsia="Arial" w:hAnsi="Arial"/>
          <w:sz w:val="18"/>
          <w:szCs w:val="18"/>
          <w:color w:val="auto"/>
        </w:rPr>
        <w:t>and</w:t>
      </w:r>
      <w:r>
        <w:rPr>
          <w:rFonts w:ascii="Arial" w:cs="Arial" w:eastAsia="Arial" w:hAnsi="Arial"/>
          <w:sz w:val="18"/>
          <w:szCs w:val="18"/>
          <w:b w:val="1"/>
          <w:bCs w:val="1"/>
          <w:color w:val="auto"/>
        </w:rPr>
        <w:t xml:space="preserve"> NORDEA BANK ABP, FILIAL I NORGE </w:t>
      </w:r>
      <w:r>
        <w:rPr>
          <w:rFonts w:ascii="Arial" w:cs="Arial" w:eastAsia="Arial" w:hAnsi="Arial"/>
          <w:sz w:val="18"/>
          <w:szCs w:val="18"/>
          <w:color w:val="auto"/>
        </w:rPr>
        <w:t>as mandated lead arrangers (whether acting individually or together, the</w:t>
      </w:r>
      <w:r>
        <w:rPr>
          <w:rFonts w:ascii="Arial" w:cs="Arial" w:eastAsia="Arial" w:hAnsi="Arial"/>
          <w:sz w:val="18"/>
          <w:szCs w:val="18"/>
          <w:b w:val="1"/>
          <w:bCs w:val="1"/>
          <w:color w:val="auto"/>
        </w:rPr>
        <w:t xml:space="preserve"> Arrangers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CREDIT SUISSE AG </w:t>
      </w:r>
      <w:r>
        <w:rPr>
          <w:rFonts w:ascii="Arial" w:cs="Arial" w:eastAsia="Arial" w:hAnsi="Arial"/>
          <w:sz w:val="18"/>
          <w:szCs w:val="18"/>
          <w:color w:val="auto"/>
        </w:rPr>
        <w:t>as global co-ordinator of the Finance Parties (the</w:t>
      </w:r>
      <w:r>
        <w:rPr>
          <w:rFonts w:ascii="Arial" w:cs="Arial" w:eastAsia="Arial" w:hAnsi="Arial"/>
          <w:sz w:val="18"/>
          <w:szCs w:val="18"/>
          <w:b w:val="1"/>
          <w:bCs w:val="1"/>
          <w:color w:val="auto"/>
        </w:rPr>
        <w:t xml:space="preserve"> Global Co-ordinator</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CREDIT SUISSE AG </w:t>
      </w:r>
      <w:r>
        <w:rPr>
          <w:rFonts w:ascii="Arial" w:cs="Arial" w:eastAsia="Arial" w:hAnsi="Arial"/>
          <w:sz w:val="16"/>
          <w:szCs w:val="16"/>
          <w:color w:val="auto"/>
        </w:rPr>
        <w:t>and</w:t>
      </w:r>
      <w:r>
        <w:rPr>
          <w:rFonts w:ascii="Arial" w:cs="Arial" w:eastAsia="Arial" w:hAnsi="Arial"/>
          <w:sz w:val="16"/>
          <w:szCs w:val="16"/>
          <w:b w:val="1"/>
          <w:bCs w:val="1"/>
          <w:color w:val="auto"/>
        </w:rPr>
        <w:t xml:space="preserve"> NORDEA BANK ABP, FILIAL I NORGE </w:t>
      </w:r>
      <w:r>
        <w:rPr>
          <w:rFonts w:ascii="Arial" w:cs="Arial" w:eastAsia="Arial" w:hAnsi="Arial"/>
          <w:sz w:val="16"/>
          <w:szCs w:val="16"/>
          <w:color w:val="auto"/>
        </w:rPr>
        <w:t>as bookrunners (whether acting individually or together, the</w:t>
      </w:r>
      <w:r>
        <w:rPr>
          <w:rFonts w:ascii="Arial" w:cs="Arial" w:eastAsia="Arial" w:hAnsi="Arial"/>
          <w:sz w:val="16"/>
          <w:szCs w:val="16"/>
          <w:b w:val="1"/>
          <w:bCs w:val="1"/>
          <w:color w:val="auto"/>
        </w:rPr>
        <w:t xml:space="preserve"> Bookrunner</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NORDEA BANK ABP, FILIAL I NORGE </w:t>
      </w:r>
      <w:r>
        <w:rPr>
          <w:rFonts w:ascii="Arial" w:cs="Arial" w:eastAsia="Arial" w:hAnsi="Arial"/>
          <w:sz w:val="16"/>
          <w:szCs w:val="16"/>
          <w:color w:val="auto"/>
        </w:rPr>
        <w:t>as security agent and trustee for and on behalf of the other Finance Parties (the</w:t>
      </w:r>
      <w:r>
        <w:rPr>
          <w:rFonts w:ascii="Arial" w:cs="Arial" w:eastAsia="Arial" w:hAnsi="Arial"/>
          <w:sz w:val="16"/>
          <w:szCs w:val="16"/>
          <w:b w:val="1"/>
          <w:bCs w:val="1"/>
          <w:color w:val="auto"/>
        </w:rPr>
        <w:t xml:space="preserve"> Security Agent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right="8700" w:firstLine="8"/>
        <w:spacing w:after="0" w:line="512" w:lineRule="auto"/>
        <w:tabs>
          <w:tab w:leader="none" w:pos="483"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540" w:right="286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8" w:lineRule="exact"/>
        <w:rPr>
          <w:rFonts w:ascii="Arial" w:cs="Arial" w:eastAsia="Arial" w:hAnsi="Arial"/>
          <w:sz w:val="18"/>
          <w:szCs w:val="18"/>
          <w:b w:val="1"/>
          <w:bCs w:val="1"/>
          <w:color w:val="auto"/>
        </w:rPr>
      </w:pPr>
    </w:p>
    <w:p>
      <w:pPr>
        <w:ind w:left="1080" w:right="300" w:hanging="532"/>
        <w:spacing w:after="0" w:line="259" w:lineRule="auto"/>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non-credit enhanced debt obligations of "A–" or higher by Standard &amp; Poor's Rating Services or Fitch Ratings Ltd or "Baa1" or higher by Moody's Investor Services Limited or a comparable rating from another internationally recognised credit rating agency;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which is approved by the Borrowers.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Account </w:t>
      </w:r>
      <w:r>
        <w:rPr>
          <w:rFonts w:ascii="Arial" w:cs="Arial" w:eastAsia="Arial" w:hAnsi="Arial"/>
          <w:sz w:val="16"/>
          <w:szCs w:val="16"/>
          <w:color w:val="auto"/>
        </w:rPr>
        <w:t>means any bank account, deposit or certificate of deposit opened, made or established in accordance with clause 27 (</w:t>
      </w:r>
      <w:r>
        <w:rPr>
          <w:rFonts w:ascii="Arial" w:cs="Arial" w:eastAsia="Arial" w:hAnsi="Arial"/>
          <w:sz w:val="16"/>
          <w:szCs w:val="16"/>
          <w:i w:val="1"/>
          <w:iCs w:val="1"/>
          <w:color w:val="auto"/>
        </w:rPr>
        <w:t>Bank accounts</w:t>
      </w:r>
      <w:r>
        <w:rPr>
          <w:rFonts w:ascii="Arial" w:cs="Arial" w:eastAsia="Arial" w:hAnsi="Arial"/>
          <w:sz w:val="16"/>
          <w:szCs w:val="16"/>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and at the Borrowers' election:</w:t>
      </w:r>
    </w:p>
    <w:p>
      <w:pPr>
        <w:spacing w:after="0" w:line="245" w:lineRule="exact"/>
        <w:rPr>
          <w:sz w:val="20"/>
          <w:szCs w:val="20"/>
          <w:color w:val="auto"/>
        </w:rPr>
      </w:pPr>
    </w:p>
    <w:p>
      <w:pPr>
        <w:ind w:left="1080" w:right="24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until migration of the Accounts in accordance with clause 27.3(f) (Other provisions), Citibank, N.A. London Branch, acting through its office at CGC Centre, Canary Wharf, E14 5LB, London, United Kingdom (or any of its Affiliates);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Arranger (or any of its Affiliates) or another bank or financial institution approved by the Majority Lenders at the request of the Borrowers.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25" w:lineRule="exact"/>
        <w:rPr>
          <w:sz w:val="20"/>
          <w:szCs w:val="20"/>
          <w:color w:val="auto"/>
        </w:rPr>
      </w:pPr>
    </w:p>
    <w:p>
      <w:pPr>
        <w:ind w:left="540"/>
        <w:spacing w:after="0" w:line="275"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 of the Security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and/or any other Finance Parties in an agreed form conferring a Security Interest over that Account.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45" w:right="2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22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 that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74"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Securities AS, Braemar Seascope Limited, Fearnleys AS, Simpson, Spence &amp;</w:t>
      </w:r>
      <w:r>
        <w:rPr>
          <w:rFonts w:ascii="Arial" w:cs="Arial" w:eastAsia="Arial" w:hAnsi="Arial"/>
          <w:sz w:val="18"/>
          <w:szCs w:val="18"/>
          <w:b w:val="1"/>
          <w:bCs w:val="1"/>
          <w:color w:val="auto"/>
        </w:rPr>
        <w:t xml:space="preserve"> </w:t>
      </w:r>
      <w:r>
        <w:rPr>
          <w:rFonts w:ascii="Arial" w:cs="Arial" w:eastAsia="Arial" w:hAnsi="Arial"/>
          <w:sz w:val="18"/>
          <w:szCs w:val="18"/>
          <w:color w:val="auto"/>
        </w:rPr>
        <w:t>Young Ltd and Poten &amp; Partners (London) or any other independent firm of shipbrokers agreed in writing from time to time between the Borrowers and the Agent (acting on the instructions of the Majority Lenders), unless any such person is a or becomes a Prohibited Person or otherwise is in breach of Sanctions.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national stock exchange acceptable to the Majority Lenders.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Approved Flag State </w:t>
      </w:r>
      <w:r>
        <w:rPr>
          <w:rFonts w:ascii="Arial" w:cs="Arial" w:eastAsia="Arial" w:hAnsi="Arial"/>
          <w:sz w:val="16"/>
          <w:szCs w:val="16"/>
          <w:color w:val="auto"/>
        </w:rPr>
        <w:t>means each of Bermuda, Cayman Islands, Hellenic Republic, Hong Kong, Marshall Islands, Singapore and the United Kingdom.</w:t>
      </w:r>
    </w:p>
    <w:p>
      <w:pPr>
        <w:spacing w:after="0" w:line="24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Auditors </w:t>
      </w:r>
      <w:r>
        <w:rPr>
          <w:rFonts w:ascii="Arial" w:cs="Arial" w:eastAsia="Arial" w:hAnsi="Arial"/>
          <w:sz w:val="16"/>
          <w:szCs w:val="16"/>
          <w:color w:val="auto"/>
        </w:rPr>
        <w:t>means one of PricewaterhouseCoopers, Ernst &amp; Young, KPMG or Deloitte &amp; Touche or another firm proposed by the Borrowers and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5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(drawn and undrawn) which is available for borrowing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Commitments is not cancelled or reduced under this Agreement.</w:t>
      </w:r>
    </w:p>
    <w:p>
      <w:pPr>
        <w:spacing w:after="0" w:line="18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 published by the Basel</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Banking Supervision in June 2004 as updated prior to, and in the form existing on, the date of this Agreement, excluding any amendment thereto arising out of the Basel III Accord or Reformed Basel III.</w:t>
      </w:r>
    </w:p>
    <w:p>
      <w:pPr>
        <w:spacing w:after="0" w:line="18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 Approach (each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Basel II Regulations applicable to such Finance Party) adopted by that Finance Party (or any of its Affiliates) for the purposes of implementing or complying with the Basel II Accord.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45" w:lineRule="exact"/>
        <w:rPr>
          <w:sz w:val="20"/>
          <w:szCs w:val="20"/>
          <w:color w:val="auto"/>
        </w:rPr>
      </w:pPr>
    </w:p>
    <w:p>
      <w:pPr>
        <w:jc w:val="both"/>
        <w:ind w:left="540" w:right="20" w:hanging="532"/>
        <w:spacing w:after="0" w:line="259"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220" w:lineRule="exact"/>
        <w:rPr>
          <w:rFonts w:ascii="Arial" w:cs="Arial" w:eastAsia="Arial" w:hAnsi="Arial"/>
          <w:sz w:val="18"/>
          <w:szCs w:val="18"/>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980"/>
          </w:cols>
          <w:pgMar w:left="700" w:top="45" w:right="21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45" w:lineRule="exact"/>
        <w:rPr>
          <w:sz w:val="20"/>
          <w:szCs w:val="20"/>
          <w:color w:val="auto"/>
        </w:rPr>
      </w:pPr>
    </w:p>
    <w:p>
      <w:pPr>
        <w:ind w:left="540" w:hanging="532"/>
        <w:spacing w:after="0"/>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 for more</w:t>
      </w:r>
    </w:p>
    <w:p>
      <w:pPr>
        <w:spacing w:after="0" w:line="38" w:lineRule="exact"/>
        <w:rPr>
          <w:rFonts w:ascii="Arial" w:cs="Arial" w:eastAsia="Arial" w:hAnsi="Arial"/>
          <w:sz w:val="16"/>
          <w:szCs w:val="16"/>
          <w:color w:val="auto"/>
        </w:rPr>
      </w:pPr>
    </w:p>
    <w:p>
      <w:pPr>
        <w:jc w:val="both"/>
        <w:ind w:left="540" w:right="80"/>
        <w:spacing w:after="0" w:line="255" w:lineRule="auto"/>
        <w:rPr>
          <w:rFonts w:ascii="Arial" w:cs="Arial" w:eastAsia="Arial" w:hAnsi="Arial"/>
          <w:sz w:val="16"/>
          <w:szCs w:val="16"/>
          <w:color w:val="auto"/>
        </w:rPr>
      </w:pPr>
      <w:r>
        <w:rPr>
          <w:rFonts w:ascii="Arial" w:cs="Arial" w:eastAsia="Arial" w:hAnsi="Arial"/>
          <w:sz w:val="18"/>
          <w:szCs w:val="18"/>
          <w:color w:val="auto"/>
        </w:rPr>
        <w:t>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on or before the date of this Agreement;</w:t>
      </w:r>
    </w:p>
    <w:p>
      <w:pPr>
        <w:spacing w:after="0" w:line="224"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requirement—Rules text" published by the Basel Committee on Banking Supervision in November 2011, as amended, supplemented or restated on or before the date of this Agreement; and</w:t>
      </w:r>
    </w:p>
    <w:p>
      <w:pPr>
        <w:spacing w:after="0" w:line="207"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 on or before the date of this Agreement".</w:t>
      </w:r>
    </w:p>
    <w:p>
      <w:pPr>
        <w:spacing w:after="0" w:line="180" w:lineRule="exact"/>
        <w:rPr>
          <w:sz w:val="20"/>
          <w:szCs w:val="20"/>
          <w:color w:val="auto"/>
        </w:rPr>
      </w:pPr>
    </w:p>
    <w:p>
      <w:pPr>
        <w:ind w:right="780"/>
        <w:spacing w:after="0" w:line="339" w:lineRule="auto"/>
        <w:rPr>
          <w:sz w:val="20"/>
          <w:szCs w:val="20"/>
          <w:color w:val="auto"/>
        </w:rPr>
      </w:pPr>
      <w:r>
        <w:rPr>
          <w:rFonts w:ascii="Arial" w:cs="Arial" w:eastAsia="Arial" w:hAnsi="Arial"/>
          <w:sz w:val="16"/>
          <w:szCs w:val="16"/>
          <w:b w:val="1"/>
          <w:bCs w:val="1"/>
          <w:color w:val="auto"/>
        </w:rPr>
        <w:t xml:space="preserve">Basel III Increased Cost </w:t>
      </w:r>
      <w:r>
        <w:rPr>
          <w:rFonts w:ascii="Arial" w:cs="Arial" w:eastAsia="Arial" w:hAnsi="Arial"/>
          <w:sz w:val="16"/>
          <w:szCs w:val="16"/>
          <w:color w:val="auto"/>
        </w:rPr>
        <w:t>means an Increased Cost which is attributable to the implementation or application of or compliance with any Basel III</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(whether such implementation, application or compliance is by a government, regulator, Finance Party or any of its Affiliates).</w:t>
      </w:r>
    </w:p>
    <w:p>
      <w:pPr>
        <w:spacing w:after="0" w:line="128"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Basel III Regulation </w:t>
      </w:r>
      <w:r>
        <w:rPr>
          <w:rFonts w:ascii="Arial" w:cs="Arial" w:eastAsia="Arial" w:hAnsi="Arial"/>
          <w:sz w:val="16"/>
          <w:szCs w:val="16"/>
          <w:color w:val="auto"/>
        </w:rPr>
        <w:t>means any law or regulation implementing the Basel III Accord (including the relevant provisions of CRD IV and CRR) save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such law or regulation re-enacts a Basel II Regulation and excluding any such law or regulation which implements Reformed Basel III.</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45" w:lineRule="exact"/>
        <w:rPr>
          <w:sz w:val="20"/>
          <w:szCs w:val="20"/>
          <w:color w:val="auto"/>
        </w:rPr>
      </w:pPr>
    </w:p>
    <w:p>
      <w:pPr>
        <w:ind w:left="540" w:right="40" w:hanging="532"/>
        <w:spacing w:after="0" w:line="259"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 Revolving Loan or Unpaid Sum to the last day of the current Interest Period in respect of that Revolving Loan or Unpaid Sum, had the principal amount or Unpaid Sum received been paid on the last day of that Interest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252" w:lineRule="exact"/>
        <w:rPr>
          <w:sz w:val="20"/>
          <w:szCs w:val="20"/>
          <w:color w:val="auto"/>
        </w:rPr>
      </w:pPr>
    </w:p>
    <w:p>
      <w:pPr>
        <w:ind w:left="540" w:right="20" w:hanging="532"/>
        <w:spacing w:after="0" w:line="259"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8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Basel, London, Oslo, Singapore, Tokyo and</w:t>
      </w:r>
      <w:r>
        <w:rPr>
          <w:rFonts w:ascii="Arial" w:cs="Arial" w:eastAsia="Arial" w:hAnsi="Arial"/>
          <w:sz w:val="18"/>
          <w:szCs w:val="18"/>
          <w:b w:val="1"/>
          <w:bCs w:val="1"/>
          <w:color w:val="auto"/>
        </w:rPr>
        <w:t xml:space="preserve"> </w:t>
      </w:r>
      <w:r>
        <w:rPr>
          <w:rFonts w:ascii="Arial" w:cs="Arial" w:eastAsia="Arial" w:hAnsi="Arial"/>
          <w:sz w:val="18"/>
          <w:szCs w:val="18"/>
          <w:color w:val="auto"/>
        </w:rPr>
        <w:t>Zurich and (in relation to any date for payment or purchase of dollars) New York.</w:t>
      </w:r>
    </w:p>
    <w:p>
      <w:pPr>
        <w:spacing w:after="0" w:line="174"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Cash Collateral Account </w:t>
      </w:r>
      <w:r>
        <w:rPr>
          <w:rFonts w:ascii="Arial" w:cs="Arial" w:eastAsia="Arial" w:hAnsi="Arial"/>
          <w:sz w:val="15"/>
          <w:szCs w:val="15"/>
          <w:color w:val="auto"/>
        </w:rPr>
        <w:t>means, to the extent required pursuant to clause 29.21(a)(ii) (</w:t>
      </w:r>
      <w:r>
        <w:rPr>
          <w:rFonts w:ascii="Arial" w:cs="Arial" w:eastAsia="Arial" w:hAnsi="Arial"/>
          <w:sz w:val="15"/>
          <w:szCs w:val="15"/>
          <w:i w:val="1"/>
          <w:iCs w:val="1"/>
          <w:color w:val="auto"/>
        </w:rPr>
        <w:t>Charters</w:t>
      </w:r>
      <w:r>
        <w:rPr>
          <w:rFonts w:ascii="Arial" w:cs="Arial" w:eastAsia="Arial" w:hAnsi="Arial"/>
          <w:sz w:val="15"/>
          <w:szCs w:val="15"/>
          <w:color w:val="auto"/>
        </w:rPr>
        <w:t>), each of the interest bearing dollar accounts of a Borrower</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Account Bank designated as a Cash Collateral Account under clause 27 (</w:t>
      </w:r>
      <w:r>
        <w:rPr>
          <w:rFonts w:ascii="Arial" w:cs="Arial" w:eastAsia="Arial" w:hAnsi="Arial"/>
          <w:sz w:val="15"/>
          <w:szCs w:val="15"/>
          <w:i w:val="1"/>
          <w:iCs w:val="1"/>
          <w:color w:val="auto"/>
        </w:rPr>
        <w:t>Bank accounts</w:t>
      </w:r>
      <w:r>
        <w:rPr>
          <w:rFonts w:ascii="Arial" w:cs="Arial" w:eastAsia="Arial" w:hAnsi="Arial"/>
          <w:sz w:val="15"/>
          <w:szCs w:val="15"/>
          <w:color w:val="auto"/>
        </w:rPr>
        <w:t xml:space="preserve">), and </w:t>
      </w:r>
      <w:r>
        <w:rPr>
          <w:rFonts w:ascii="Arial" w:cs="Arial" w:eastAsia="Arial" w:hAnsi="Arial"/>
          <w:sz w:val="15"/>
          <w:szCs w:val="15"/>
          <w:b w:val="1"/>
          <w:bCs w:val="1"/>
          <w:color w:val="auto"/>
        </w:rPr>
        <w:t>Cash Collateral Accounts</w:t>
      </w:r>
      <w:r>
        <w:rPr>
          <w:rFonts w:ascii="Arial" w:cs="Arial" w:eastAsia="Arial" w:hAnsi="Arial"/>
          <w:sz w:val="15"/>
          <w:szCs w:val="15"/>
          <w:color w:val="auto"/>
        </w:rPr>
        <w:t xml:space="preserve"> means all of them.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45" w:lineRule="exact"/>
        <w:rPr>
          <w:sz w:val="20"/>
          <w:szCs w:val="20"/>
          <w:color w:val="auto"/>
        </w:rPr>
      </w:pPr>
    </w:p>
    <w:p>
      <w:pPr>
        <w:ind w:left="540" w:right="120" w:hanging="532"/>
        <w:spacing w:after="0" w:line="268"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any of the Borrowers or GasLog Holdings;</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GasLog ceases to control, directly or indirectly, the affairs or the composition of the board of directors (or equivalent) of any of the Parent, GasLog Holdings or GP LLC;</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00"/>
          </w:cols>
          <w:pgMar w:left="700" w:top="45" w:right="199" w:bottom="1440" w:gutter="0" w:footer="0" w:header="0"/>
        </w:sectPr>
      </w:pPr>
    </w:p>
    <w:bookmarkStart w:id="222" w:name="page223"/>
    <w:bookmarkEnd w:id="222"/>
    <w:p>
      <w:pPr>
        <w:ind w:left="540" w:right="460" w:hanging="532"/>
        <w:spacing w:after="0" w:line="268"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less than 50.1% of the issued and outstanding shares (including the voting shares) of any Borrower cease to be legally and beneficially owned, directly or indirectly, by GasLog Holdings;</w:t>
      </w:r>
    </w:p>
    <w:p>
      <w:pPr>
        <w:spacing w:after="0" w:line="21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less than 50.1% of the issued and outstanding shares (including the voting shares) of GasLog Holdings cease to be legally and beneficially owned, directly or indirectly, by the Parent;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of the issued and outstanding shares (including the voting shares) of GP LLC cease to be legally and beneficially owned by GasLog,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on the instructions of the Majority Lenders).</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74"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Charter </w:t>
      </w:r>
      <w:r>
        <w:rPr>
          <w:rFonts w:ascii="Arial" w:cs="Arial" w:eastAsia="Arial" w:hAnsi="Arial"/>
          <w:sz w:val="16"/>
          <w:szCs w:val="16"/>
          <w:color w:val="auto"/>
        </w:rPr>
        <w:t>means, in relation to a Ship, the charter commitment (if any) for that Ship details of which are provided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as it may</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time-to-time be amended or replaced in the circumstances and as permitted in accordance with clause 29.21(b) (</w:t>
      </w:r>
      <w:r>
        <w:rPr>
          <w:rFonts w:ascii="Arial" w:cs="Arial" w:eastAsia="Arial" w:hAnsi="Arial"/>
          <w:sz w:val="16"/>
          <w:szCs w:val="16"/>
          <w:i w:val="1"/>
          <w:iCs w:val="1"/>
          <w:color w:val="auto"/>
        </w:rPr>
        <w:t>Charters</w:t>
      </w:r>
      <w:r>
        <w:rPr>
          <w:rFonts w:ascii="Arial" w:cs="Arial" w:eastAsia="Arial" w:hAnsi="Arial"/>
          <w:sz w:val="16"/>
          <w:szCs w:val="16"/>
          <w:color w:val="auto"/>
        </w:rPr>
        <w:t>).</w:t>
      </w:r>
    </w:p>
    <w:p>
      <w:pPr>
        <w:spacing w:after="0" w:line="12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 such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 favour of the Security Agent in the agreed form.</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in relation to a Ship, the Charter (if any) of that Ship, any documents supplementing it and any guarantee or security given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to the relevant Owner for the relevant Charterer's obligations under it.</w:t>
      </w:r>
    </w:p>
    <w:p>
      <w:pPr>
        <w:spacing w:after="0" w:line="174"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 xml:space="preserve">Charterer </w:t>
      </w:r>
      <w:r>
        <w:rPr>
          <w:rFonts w:ascii="Arial" w:cs="Arial" w:eastAsia="Arial" w:hAnsi="Arial"/>
          <w:sz w:val="16"/>
          <w:szCs w:val="16"/>
          <w:color w:val="auto"/>
        </w:rPr>
        <w:t>means, in relation to a Ship, the charterer named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as charterer of that Ship, or such replacement charterer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any Charter entered into in the circumstances and as permitted in accordance with clause 29.21(b) (</w:t>
      </w:r>
      <w:r>
        <w:rPr>
          <w:rFonts w:ascii="Arial" w:cs="Arial" w:eastAsia="Arial" w:hAnsi="Arial"/>
          <w:sz w:val="16"/>
          <w:szCs w:val="16"/>
          <w:i w:val="1"/>
          <w:iCs w:val="1"/>
          <w:color w:val="auto"/>
        </w:rPr>
        <w:t>Charters</w:t>
      </w:r>
      <w:r>
        <w:rPr>
          <w:rFonts w:ascii="Arial" w:cs="Arial" w:eastAsia="Arial" w:hAnsi="Arial"/>
          <w:sz w:val="16"/>
          <w:szCs w:val="16"/>
          <w:color w:val="auto"/>
        </w:rPr>
        <w:t>).</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Classification Society or another classification approved by the Majority Lenders as its classification (such approval not to be unreasonably withheld), at the request of the relevant Owner.</w:t>
      </w:r>
    </w:p>
    <w:p>
      <w:pPr>
        <w:spacing w:after="0" w:line="18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Classification Society </w:t>
      </w:r>
      <w:r>
        <w:rPr>
          <w:rFonts w:ascii="Arial" w:cs="Arial" w:eastAsia="Arial" w:hAnsi="Arial"/>
          <w:sz w:val="16"/>
          <w:szCs w:val="16"/>
          <w:color w:val="auto"/>
        </w:rPr>
        <w:t>means, in relation to a Ship, the classification society specified in respect of such Ship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DNV GL,</w:t>
      </w:r>
      <w:r>
        <w:rPr>
          <w:rFonts w:ascii="Arial" w:cs="Arial" w:eastAsia="Arial" w:hAnsi="Arial"/>
          <w:sz w:val="16"/>
          <w:szCs w:val="16"/>
          <w:b w:val="1"/>
          <w:bCs w:val="1"/>
          <w:color w:val="auto"/>
        </w:rPr>
        <w:t xml:space="preserve"> </w:t>
      </w:r>
      <w:r>
        <w:rPr>
          <w:rFonts w:ascii="Arial" w:cs="Arial" w:eastAsia="Arial" w:hAnsi="Arial"/>
          <w:sz w:val="16"/>
          <w:szCs w:val="16"/>
          <w:color w:val="auto"/>
        </w:rPr>
        <w:t>American Bureau of Shipping and Lloyd's Register of Shipping or another classification society being a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relevant Owner.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GasLog or another manager appointed as the commercial manager of that Ship by the relevant Owner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45" w:lineRule="exact"/>
        <w:rPr>
          <w:sz w:val="20"/>
          <w:szCs w:val="20"/>
          <w:color w:val="auto"/>
        </w:rPr>
      </w:pPr>
    </w:p>
    <w:p>
      <w:pPr>
        <w:ind w:left="540" w:right="180" w:hanging="532"/>
        <w:spacing w:after="0" w:line="268"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under its name opposite the heading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Commitment transferred to it under this Agreement; and</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00"/>
          </w:cols>
          <w:pgMar w:left="700" w:top="65" w:right="199" w:bottom="1440" w:gutter="0" w:footer="0" w:header="0"/>
        </w:sectPr>
      </w:pPr>
    </w:p>
    <w:bookmarkStart w:id="223" w:name="page224"/>
    <w:bookmarkEnd w:id="223"/>
    <w:p>
      <w:pPr>
        <w:ind w:right="3260" w:firstLine="8"/>
        <w:spacing w:after="0" w:line="497"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 to the extent not cancelled, reduced or transferred by it under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Compliance Certificate </w:t>
      </w:r>
      <w:r>
        <w:rPr>
          <w:rFonts w:ascii="Arial" w:cs="Arial" w:eastAsia="Arial" w:hAnsi="Arial"/>
          <w:sz w:val="16"/>
          <w:szCs w:val="16"/>
          <w:color w:val="auto"/>
        </w:rPr>
        <w:t>means a certificate substantially in the form set out in Schedule 5 (</w:t>
      </w:r>
      <w:r>
        <w:rPr>
          <w:rFonts w:ascii="Arial" w:cs="Arial" w:eastAsia="Arial" w:hAnsi="Arial"/>
          <w:sz w:val="16"/>
          <w:szCs w:val="16"/>
          <w:i w:val="1"/>
          <w:iCs w:val="1"/>
          <w:color w:val="auto"/>
        </w:rPr>
        <w:t>Form of Compliance Certificate</w:t>
      </w:r>
      <w:r>
        <w:rPr>
          <w:rFonts w:ascii="Arial" w:cs="Arial" w:eastAsia="Arial" w:hAnsi="Arial"/>
          <w:sz w:val="16"/>
          <w:szCs w:val="16"/>
          <w:color w:val="auto"/>
        </w:rPr>
        <w:t>) or otherwise approved.</w:t>
      </w:r>
    </w:p>
    <w:p>
      <w:pPr>
        <w:spacing w:after="0" w:line="24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means all information relating to an Obligor, the Group, the Finance Documents, the Charter Documents or any other charter</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(to the extent such information relating to such other charter commitments is confidential as a matter of law or contract) for each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90"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another Finance Party, if the information was obtained by that Finance Party directly or indirectly from any Group Member or any of its advisers,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99"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is or becomes public information other than as a direct or indirect result of any breach by that Finance Party of clause 43 (</w:t>
      </w:r>
      <w:r>
        <w:rPr>
          <w:rFonts w:ascii="Arial" w:cs="Arial" w:eastAsia="Arial" w:hAnsi="Arial"/>
          <w:sz w:val="16"/>
          <w:szCs w:val="16"/>
          <w:i w:val="1"/>
          <w:iCs w:val="1"/>
          <w:color w:val="auto"/>
        </w:rPr>
        <w:t>Confidentiality</w:t>
      </w:r>
      <w:r>
        <w:rPr>
          <w:rFonts w:ascii="Arial" w:cs="Arial" w:eastAsia="Arial" w:hAnsi="Arial"/>
          <w:sz w:val="16"/>
          <w:szCs w:val="16"/>
          <w:color w:val="auto"/>
        </w:rPr>
        <w:t>);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238" w:lineRule="exact"/>
        <w:rPr>
          <w:rFonts w:ascii="Arial" w:cs="Arial" w:eastAsia="Arial" w:hAnsi="Arial"/>
          <w:sz w:val="18"/>
          <w:szCs w:val="18"/>
          <w:color w:val="auto"/>
        </w:rPr>
      </w:pPr>
    </w:p>
    <w:p>
      <w:pPr>
        <w:jc w:val="both"/>
        <w:ind w:left="1080" w:right="40" w:hanging="532"/>
        <w:spacing w:after="0" w:line="256"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or a Manager, such Obligor's or Manager's memorandum and articles of association, by-laws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constitutional documents including as referred to in any certificate relating to an Obligor or a Manager delivered pursuant to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Cool Pool Arrangements </w:t>
      </w:r>
      <w:r>
        <w:rPr>
          <w:rFonts w:ascii="Arial" w:cs="Arial" w:eastAsia="Arial" w:hAnsi="Arial"/>
          <w:sz w:val="18"/>
          <w:szCs w:val="18"/>
          <w:color w:val="auto"/>
        </w:rPr>
        <w:t>has the meaning given to such term in clause 22.9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22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 supervision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investment firms.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45" w:lineRule="exact"/>
        <w:rPr>
          <w:sz w:val="20"/>
          <w:szCs w:val="20"/>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225"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00"/>
          </w:cols>
          <w:pgMar w:left="700" w:top="65" w:right="19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219"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 xml:space="preserve">Deed of Covenant </w:t>
      </w:r>
      <w:r>
        <w:rPr>
          <w:rFonts w:ascii="Arial" w:cs="Arial" w:eastAsia="Arial" w:hAnsi="Arial"/>
          <w:sz w:val="16"/>
          <w:szCs w:val="16"/>
          <w:color w:val="auto"/>
        </w:rPr>
        <w:t>means, in relation to a Ship, a first deed of covenant (including a first assignment of its interest in the Ship's Insurances, Earnings and</w:t>
      </w:r>
      <w:r>
        <w:rPr>
          <w:rFonts w:ascii="Arial" w:cs="Arial" w:eastAsia="Arial" w:hAnsi="Arial"/>
          <w:sz w:val="16"/>
          <w:szCs w:val="16"/>
          <w:b w:val="1"/>
          <w:bCs w:val="1"/>
          <w:color w:val="auto"/>
        </w:rPr>
        <w:t xml:space="preserve"> </w:t>
      </w:r>
      <w:r>
        <w:rPr>
          <w:rFonts w:ascii="Arial" w:cs="Arial" w:eastAsia="Arial" w:hAnsi="Arial"/>
          <w:sz w:val="16"/>
          <w:szCs w:val="16"/>
          <w:color w:val="auto"/>
        </w:rPr>
        <w:t>Requisition Compensation) in respect of such Ship by the relevant Owner in favour of the Security Agent in the agreed form.</w:t>
      </w:r>
    </w:p>
    <w:p>
      <w:pPr>
        <w:spacing w:after="0" w:line="12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 the making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under the Finance Documents or any combination of them) be an Event of Default.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45" w:lineRule="exact"/>
        <w:rPr>
          <w:sz w:val="20"/>
          <w:szCs w:val="20"/>
          <w:color w:val="auto"/>
        </w:rPr>
      </w:pPr>
    </w:p>
    <w:p>
      <w:pPr>
        <w:ind w:left="540" w:right="720" w:hanging="532"/>
        <w:spacing w:after="0" w:line="331"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which has failed to make its participation in a Revolving Loan available or has notified the Agent that it will not make its participation in a Revolving Loan available by the Utilisation Date of that Revolving Loan in accordance with clause 5.4 (</w:t>
      </w:r>
      <w:r>
        <w:rPr>
          <w:rFonts w:ascii="Arial" w:cs="Arial" w:eastAsia="Arial" w:hAnsi="Arial"/>
          <w:sz w:val="16"/>
          <w:szCs w:val="16"/>
          <w:i w:val="1"/>
          <w:iCs w:val="1"/>
          <w:color w:val="auto"/>
        </w:rPr>
        <w:t>Lenders' participation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239"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52"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 terms of any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Disposal Reduction Date </w:t>
      </w:r>
      <w:r>
        <w:rPr>
          <w:rFonts w:ascii="Arial" w:cs="Arial" w:eastAsia="Arial" w:hAnsi="Arial"/>
          <w:sz w:val="18"/>
          <w:szCs w:val="18"/>
          <w:color w:val="auto"/>
        </w:rPr>
        <w:t>means, in relation to:</w:t>
      </w:r>
    </w:p>
    <w:p>
      <w:pPr>
        <w:spacing w:after="0" w:line="245" w:lineRule="exact"/>
        <w:rPr>
          <w:sz w:val="20"/>
          <w:szCs w:val="20"/>
          <w:color w:val="auto"/>
        </w:rPr>
      </w:pPr>
    </w:p>
    <w:p>
      <w:pPr>
        <w:ind w:left="540" w:hanging="532"/>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Reduction Date; or</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sale of a Mortgaged Ship by the relevant Owner, the date upon which such sale is completed by the transfer of title to the purchaser in exchange for payment of all or part of the relevant purchase price (and upon or immediately prior to such completion).</w:t>
      </w:r>
    </w:p>
    <w:p>
      <w:pPr>
        <w:spacing w:after="0" w:line="180"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 xml:space="preserve">Earnings </w:t>
      </w:r>
      <w:r>
        <w:rPr>
          <w:rFonts w:ascii="Arial" w:cs="Arial" w:eastAsia="Arial" w:hAnsi="Arial"/>
          <w:sz w:val="15"/>
          <w:szCs w:val="15"/>
          <w:color w:val="auto"/>
        </w:rPr>
        <w:t>means, in relation to a Ship and a person, all money at any time payable to that person for or in relation to the use or operation of such Ship</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4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clause 27 (Bank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and </w:t>
      </w:r>
      <w:r>
        <w:rPr>
          <w:rFonts w:ascii="Arial" w:cs="Arial" w:eastAsia="Arial" w:hAnsi="Arial"/>
          <w:sz w:val="18"/>
          <w:szCs w:val="18"/>
          <w:b w:val="1"/>
          <w:bCs w:val="1"/>
          <w:color w:val="auto"/>
        </w:rPr>
        <w:t>Earnings Accounts</w:t>
      </w:r>
      <w:r>
        <w:rPr>
          <w:rFonts w:ascii="Arial" w:cs="Arial" w:eastAsia="Arial" w:hAnsi="Arial"/>
          <w:sz w:val="18"/>
          <w:szCs w:val="18"/>
          <w:color w:val="auto"/>
        </w:rPr>
        <w:t xml:space="preserve"> means all of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58" w:lineRule="exact"/>
        <w:rPr>
          <w:sz w:val="20"/>
          <w:szCs w:val="20"/>
          <w:color w:val="auto"/>
        </w:rPr>
      </w:pPr>
    </w:p>
    <w:p>
      <w:pPr>
        <w:ind w:left="540" w:right="320" w:hanging="532"/>
        <w:spacing w:after="0" w:line="268"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020"/>
          </w:cols>
          <w:pgMar w:left="700" w:top="51" w:right="179" w:bottom="1440" w:gutter="0" w:footer="0" w:header="0"/>
        </w:sectPr>
      </w:pPr>
    </w:p>
    <w:bookmarkStart w:id="225" w:name="page226"/>
    <w:bookmarkEnd w:id="225"/>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58" w:lineRule="exact"/>
        <w:rPr>
          <w:sz w:val="20"/>
          <w:szCs w:val="20"/>
          <w:color w:val="auto"/>
        </w:rPr>
      </w:pPr>
    </w:p>
    <w:p>
      <w:pPr>
        <w:ind w:left="540" w:right="60" w:hanging="532"/>
        <w:spacing w:after="0" w:line="268"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all laws, regulations and conventions concerning pollution or protection of human health or the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Existing Indebtedness </w:t>
      </w:r>
      <w:r>
        <w:rPr>
          <w:rFonts w:ascii="Arial" w:cs="Arial" w:eastAsia="Arial" w:hAnsi="Arial"/>
          <w:sz w:val="16"/>
          <w:szCs w:val="16"/>
          <w:color w:val="auto"/>
        </w:rPr>
        <w:t>means, at any relevant time, the aggregate principal amounts owing by the Borrowers or any of them and secured on the Ships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them by way of first priority ship mortgage or mortgages, under a credit facility as disclosed by or on behalf of the Borrowers to the Lenders prior to the date of this Agreement, together with interest thereon and any other amounts owing thereunder or in connection therewith.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Existing Indebtedness Lender </w:t>
      </w:r>
      <w:r>
        <w:rPr>
          <w:rFonts w:ascii="Arial" w:cs="Arial" w:eastAsia="Arial" w:hAnsi="Arial"/>
          <w:sz w:val="18"/>
          <w:szCs w:val="18"/>
          <w:color w:val="auto"/>
        </w:rPr>
        <w:t>means any bank, financial institution or other person, who is a lender of Existing Indebtedness.</w:t>
      </w:r>
    </w:p>
    <w:p>
      <w:pPr>
        <w:spacing w:after="0" w:line="225"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revolving credit facility made available by the Lenders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 in five</w:t>
      </w:r>
      <w:r>
        <w:rPr>
          <w:rFonts w:ascii="Arial" w:cs="Arial" w:eastAsia="Arial" w:hAnsi="Arial"/>
          <w:sz w:val="18"/>
          <w:szCs w:val="18"/>
          <w:b w:val="1"/>
          <w:bCs w:val="1"/>
          <w:color w:val="auto"/>
        </w:rPr>
        <w:t xml:space="preserve"> </w:t>
      </w:r>
      <w:r>
        <w:rPr>
          <w:rFonts w:ascii="Arial" w:cs="Arial" w:eastAsia="Arial" w:hAnsi="Arial"/>
          <w:sz w:val="18"/>
          <w:szCs w:val="18"/>
          <w:color w:val="auto"/>
        </w:rPr>
        <w:t>(5) Revolving Loan Ship Tranches, one in respect of each 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45" w:lineRule="exact"/>
        <w:rPr>
          <w:sz w:val="20"/>
          <w:szCs w:val="20"/>
          <w:color w:val="auto"/>
        </w:rPr>
      </w:pPr>
    </w:p>
    <w:p>
      <w:pPr>
        <w:jc w:val="both"/>
        <w:ind w:left="540" w:right="180" w:hanging="532"/>
        <w:spacing w:after="0" w:line="259"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220"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219"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Facility Period </w:t>
      </w:r>
      <w:r>
        <w:rPr>
          <w:rFonts w:ascii="Arial" w:cs="Arial" w:eastAsia="Arial" w:hAnsi="Arial"/>
          <w:sz w:val="16"/>
          <w:szCs w:val="16"/>
          <w:color w:val="auto"/>
        </w:rPr>
        <w:t>means the period from and including the date of this Agreement to and including the date on which the Total Commitments have reduced to</w:t>
      </w:r>
      <w:r>
        <w:rPr>
          <w:rFonts w:ascii="Arial" w:cs="Arial" w:eastAsia="Arial" w:hAnsi="Arial"/>
          <w:sz w:val="16"/>
          <w:szCs w:val="16"/>
          <w:b w:val="1"/>
          <w:bCs w:val="1"/>
          <w:color w:val="auto"/>
        </w:rPr>
        <w:t xml:space="preserve"> </w:t>
      </w:r>
      <w:r>
        <w:rPr>
          <w:rFonts w:ascii="Arial" w:cs="Arial" w:eastAsia="Arial" w:hAnsi="Arial"/>
          <w:sz w:val="16"/>
          <w:szCs w:val="16"/>
          <w:color w:val="auto"/>
        </w:rPr>
        <w:t>zero and all indebtedness of the Obligors under the Finance Documents has been irrevocably and unconditionally paid and discharged in full.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38" w:lineRule="exact"/>
        <w:rPr>
          <w:rFonts w:ascii="Arial" w:cs="Arial" w:eastAsia="Arial" w:hAnsi="Arial"/>
          <w:sz w:val="18"/>
          <w:szCs w:val="18"/>
          <w:color w:val="auto"/>
        </w:rPr>
      </w:pPr>
    </w:p>
    <w:p>
      <w:pPr>
        <w:ind w:left="540" w:right="260" w:hanging="532"/>
        <w:spacing w:after="0" w:line="331"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167" w:lineRule="exact"/>
        <w:rPr>
          <w:rFonts w:ascii="Arial" w:cs="Arial" w:eastAsia="Arial" w:hAnsi="Arial"/>
          <w:sz w:val="16"/>
          <w:szCs w:val="16"/>
          <w:color w:val="auto"/>
        </w:rPr>
      </w:pPr>
    </w:p>
    <w:p>
      <w:pPr>
        <w:ind w:left="540" w:right="580" w:hanging="532"/>
        <w:spacing w:after="0" w:line="331"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4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980"/>
          </w:cols>
          <w:pgMar w:left="700" w:top="65" w:right="2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45" w:lineRule="exact"/>
        <w:rPr>
          <w:sz w:val="20"/>
          <w:szCs w:val="20"/>
          <w:color w:val="auto"/>
        </w:rPr>
      </w:pPr>
    </w:p>
    <w:p>
      <w:pPr>
        <w:ind w:left="540" w:right="480" w:hanging="532"/>
        <w:spacing w:after="0" w:line="268"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relation to a "passthru payment" described in section 1471(d)(7) of the Code not falling within paragraphs (a) or (b) above, 1 January 2019,</w:t>
      </w: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2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 relation to any fees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7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Final Reduction Date </w:t>
      </w:r>
      <w:r>
        <w:rPr>
          <w:rFonts w:ascii="Arial" w:cs="Arial" w:eastAsia="Arial" w:hAnsi="Arial"/>
          <w:sz w:val="18"/>
          <w:szCs w:val="18"/>
          <w:color w:val="auto"/>
        </w:rPr>
        <w:t>means,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date falling 60 months after the date of this Agreement which date shall fall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31 March 2019.</w:t>
      </w:r>
    </w:p>
    <w:p>
      <w:pPr>
        <w:spacing w:after="0" w:line="17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any Quiet Enjoyment Agreement in relation to any Ship, the Security Documents, any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and any other document designated as such by the Agent and the Borrowers.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Global Co-ordinator, the Bookrunners, any Arranger or a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45" w:lineRule="exact"/>
        <w:rPr>
          <w:sz w:val="20"/>
          <w:szCs w:val="20"/>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26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38" w:lineRule="exact"/>
        <w:rPr>
          <w:rFonts w:ascii="Arial" w:cs="Arial" w:eastAsia="Arial" w:hAnsi="Arial"/>
          <w:sz w:val="18"/>
          <w:szCs w:val="18"/>
          <w:color w:val="auto"/>
        </w:rPr>
      </w:pPr>
    </w:p>
    <w:p>
      <w:pPr>
        <w:ind w:left="540" w:right="60" w:hanging="532"/>
        <w:spacing w:after="0" w:line="331"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20"/>
          </w:cols>
          <w:pgMar w:left="700" w:top="45" w:right="179" w:bottom="1440" w:gutter="0" w:footer="0" w:header="0"/>
        </w:sectPr>
      </w:pPr>
    </w:p>
    <w:bookmarkStart w:id="227" w:name="page228"/>
    <w:bookmarkEnd w:id="227"/>
    <w:p>
      <w:pPr>
        <w:ind w:left="540" w:right="8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212" w:lineRule="exact"/>
        <w:rPr>
          <w:rFonts w:ascii="Arial" w:cs="Arial" w:eastAsia="Arial" w:hAnsi="Arial"/>
          <w:sz w:val="18"/>
          <w:szCs w:val="18"/>
          <w:color w:val="auto"/>
        </w:rPr>
      </w:pPr>
    </w:p>
    <w:p>
      <w:pPr>
        <w:jc w:val="both"/>
        <w:ind w:left="540" w:right="20" w:hanging="532"/>
        <w:spacing w:after="0" w:line="369" w:lineRule="auto"/>
        <w:tabs>
          <w:tab w:leader="none" w:pos="5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31" w:lineRule="exact"/>
        <w:rPr>
          <w:rFonts w:ascii="Arial" w:cs="Arial" w:eastAsia="Arial" w:hAnsi="Arial"/>
          <w:sz w:val="15"/>
          <w:szCs w:val="15"/>
          <w:color w:val="auto"/>
        </w:rPr>
      </w:pPr>
    </w:p>
    <w:p>
      <w:pPr>
        <w:ind w:left="540" w:right="12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21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Flag State </w:t>
      </w:r>
      <w:r>
        <w:rPr>
          <w:rFonts w:ascii="Arial" w:cs="Arial" w:eastAsia="Arial" w:hAnsi="Arial"/>
          <w:sz w:val="16"/>
          <w:szCs w:val="16"/>
          <w:color w:val="auto"/>
        </w:rPr>
        <w:t>means, in relation to a Ship, the country specified in respect of such Ship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or another Approved Flag State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provisions of clause 22.1(b) (</w:t>
      </w:r>
      <w:r>
        <w:rPr>
          <w:rFonts w:ascii="Arial" w:cs="Arial" w:eastAsia="Arial" w:hAnsi="Arial"/>
          <w:sz w:val="16"/>
          <w:szCs w:val="16"/>
          <w:i w:val="1"/>
          <w:iCs w:val="1"/>
          <w:color w:val="auto"/>
        </w:rPr>
        <w:t>Ship's name and registration</w:t>
      </w:r>
      <w:r>
        <w:rPr>
          <w:rFonts w:ascii="Arial" w:cs="Arial" w:eastAsia="Arial" w:hAnsi="Arial"/>
          <w:sz w:val="16"/>
          <w:szCs w:val="16"/>
          <w:color w:val="auto"/>
        </w:rPr>
        <w:t xml:space="preserve">) are complied with) or such other state or territory as may be approved by all the Lenders (acting reasonably), at the request of the relevant Owner, as being the </w:t>
      </w:r>
      <w:r>
        <w:rPr>
          <w:rFonts w:ascii="Arial" w:cs="Arial" w:eastAsia="Arial" w:hAnsi="Arial"/>
          <w:sz w:val="16"/>
          <w:szCs w:val="16"/>
          <w:b w:val="1"/>
          <w:bCs w:val="1"/>
          <w:color w:val="auto"/>
        </w:rPr>
        <w:t>Flag State</w:t>
      </w:r>
      <w:r>
        <w:rPr>
          <w:rFonts w:ascii="Arial" w:cs="Arial" w:eastAsia="Arial" w:hAnsi="Arial"/>
          <w:sz w:val="16"/>
          <w:szCs w:val="16"/>
          <w:color w:val="auto"/>
        </w:rPr>
        <w:t xml:space="preserve"> of such Ship for the purposes of the Finance Documents.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Funding Rate </w:t>
      </w:r>
      <w:r>
        <w:rPr>
          <w:rFonts w:ascii="Arial" w:cs="Arial" w:eastAsia="Arial" w:hAnsi="Arial"/>
          <w:sz w:val="16"/>
          <w:szCs w:val="16"/>
          <w:color w:val="auto"/>
        </w:rPr>
        <w:t>means any individual rate notified by the Lender to the Borrower pursuant to paragraph (a)(ii) of clause 10.3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(Cost of funds)</w:t>
      </w:r>
      <w:r>
        <w:rPr>
          <w:rFonts w:ascii="Arial" w:cs="Arial" w:eastAsia="Arial" w:hAnsi="Arial"/>
          <w:sz w:val="16"/>
          <w:szCs w:val="16"/>
          <w:b w:val="1"/>
          <w:bCs w:val="1"/>
          <w:color w:val="auto"/>
        </w:rPr>
        <w:t>.</w:t>
      </w:r>
    </w:p>
    <w:p>
      <w:pPr>
        <w:spacing w:after="0" w:line="248" w:lineRule="exact"/>
        <w:rPr>
          <w:sz w:val="20"/>
          <w:szCs w:val="20"/>
          <w:color w:val="auto"/>
        </w:rPr>
      </w:pPr>
    </w:p>
    <w:p>
      <w:pPr>
        <w:ind w:right="400"/>
        <w:spacing w:after="0" w:line="378" w:lineRule="auto"/>
        <w:rPr>
          <w:sz w:val="20"/>
          <w:szCs w:val="20"/>
          <w:color w:val="auto"/>
        </w:rPr>
      </w:pPr>
      <w:r>
        <w:rPr>
          <w:rFonts w:ascii="Arial" w:cs="Arial" w:eastAsia="Arial" w:hAnsi="Arial"/>
          <w:sz w:val="15"/>
          <w:szCs w:val="15"/>
          <w:b w:val="1"/>
          <w:bCs w:val="1"/>
          <w:color w:val="auto"/>
        </w:rPr>
        <w:t xml:space="preserve">GAAP </w:t>
      </w:r>
      <w:r>
        <w:rPr>
          <w:rFonts w:ascii="Arial" w:cs="Arial" w:eastAsia="Arial" w:hAnsi="Arial"/>
          <w:sz w:val="15"/>
          <w:szCs w:val="15"/>
          <w:color w:val="auto"/>
        </w:rPr>
        <w:t>means International Accounting Standards, International Financial Reporting Standards and related interpretations as amended, supplemented,</w:t>
      </w:r>
      <w:r>
        <w:rPr>
          <w:rFonts w:ascii="Arial" w:cs="Arial" w:eastAsia="Arial" w:hAnsi="Arial"/>
          <w:sz w:val="15"/>
          <w:szCs w:val="15"/>
          <w:b w:val="1"/>
          <w:bCs w:val="1"/>
          <w:color w:val="auto"/>
        </w:rPr>
        <w:t xml:space="preserve"> </w:t>
      </w:r>
      <w:r>
        <w:rPr>
          <w:rFonts w:ascii="Arial" w:cs="Arial" w:eastAsia="Arial" w:hAnsi="Arial"/>
          <w:sz w:val="15"/>
          <w:szCs w:val="15"/>
          <w:color w:val="auto"/>
        </w:rPr>
        <w:t>issued or adopted from time to time by the International Accounting Standards Board to the extent applicable to the relevant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GasLog </w:t>
      </w:r>
      <w:r>
        <w:rPr>
          <w:rFonts w:ascii="Arial" w:cs="Arial" w:eastAsia="Arial" w:hAnsi="Arial"/>
          <w:sz w:val="18"/>
          <w:szCs w:val="18"/>
          <w:color w:val="auto"/>
        </w:rPr>
        <w:t>means GasLog Ltd. of Clarendon House, 2 Church Street, Hamilton HM 11, 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GasLog Holdings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 of its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Ship's Insurances, Earnings and Requisition Compensation by the relevant Owner in favour of the Security Agent and/or any of the other Finance Parties in the agreed form.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GP LLC </w:t>
      </w:r>
      <w:r>
        <w:rPr>
          <w:rFonts w:ascii="Arial" w:cs="Arial" w:eastAsia="Arial" w:hAnsi="Arial"/>
          <w:sz w:val="16"/>
          <w:szCs w:val="16"/>
          <w:color w:val="auto"/>
        </w:rPr>
        <w:t>means GasLog Partners GP LLC of Trust Company Complex, Ajeltake Road, Ajeltake Island, Majuro, Marshall Islands MH96960.</w:t>
      </w:r>
    </w:p>
    <w:p>
      <w:pPr>
        <w:spacing w:after="0" w:line="248"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Group </w:t>
      </w:r>
      <w:r>
        <w:rPr>
          <w:rFonts w:ascii="Arial" w:cs="Arial" w:eastAsia="Arial" w:hAnsi="Arial"/>
          <w:sz w:val="15"/>
          <w:szCs w:val="15"/>
          <w:color w:val="auto"/>
        </w:rPr>
        <w:t>means the Parent and its Subsidiaries for the time being and, for the purposes of clause 19.1 (</w:t>
      </w:r>
      <w:r>
        <w:rPr>
          <w:rFonts w:ascii="Arial" w:cs="Arial" w:eastAsia="Arial" w:hAnsi="Arial"/>
          <w:sz w:val="15"/>
          <w:szCs w:val="15"/>
          <w:i w:val="1"/>
          <w:iCs w:val="1"/>
          <w:color w:val="auto"/>
        </w:rPr>
        <w:t>Financial statements</w:t>
      </w:r>
      <w:r>
        <w:rPr>
          <w:rFonts w:ascii="Arial" w:cs="Arial" w:eastAsia="Arial" w:hAnsi="Arial"/>
          <w:sz w:val="15"/>
          <w:szCs w:val="15"/>
          <w:color w:val="auto"/>
        </w:rPr>
        <w:t>) and clause 20 (</w:t>
      </w:r>
      <w:r>
        <w:rPr>
          <w:rFonts w:ascii="Arial" w:cs="Arial" w:eastAsia="Arial" w:hAnsi="Arial"/>
          <w:sz w:val="15"/>
          <w:szCs w:val="15"/>
          <w:i w:val="1"/>
          <w:iCs w:val="1"/>
          <w:color w:val="auto"/>
        </w:rPr>
        <w:t>Financial</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covenants</w:t>
      </w:r>
      <w:r>
        <w:rPr>
          <w:rFonts w:ascii="Arial" w:cs="Arial" w:eastAsia="Arial" w:hAnsi="Arial"/>
          <w:sz w:val="15"/>
          <w:szCs w:val="15"/>
          <w:color w:val="auto"/>
        </w:rPr>
        <w:t>), any other entity required to be treated as a subsidiary in the Parent's consolidated accounts in accordance with GAAP and/or any applicable law.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guarantee, undertakings and indemnity given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the Parent and GasLog Holdings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either of them.</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 in respect of which it</w:t>
      </w:r>
      <w:r>
        <w:rPr>
          <w:rFonts w:ascii="Arial" w:cs="Arial" w:eastAsia="Arial" w:hAnsi="Arial"/>
          <w:sz w:val="18"/>
          <w:szCs w:val="18"/>
          <w:b w:val="1"/>
          <w:bCs w:val="1"/>
          <w:color w:val="auto"/>
        </w:rPr>
        <w:t xml:space="preserve"> </w:t>
      </w:r>
      <w:r>
        <w:rPr>
          <w:rFonts w:ascii="Arial" w:cs="Arial" w:eastAsia="Arial" w:hAnsi="Arial"/>
          <w:sz w:val="18"/>
          <w:szCs w:val="18"/>
          <w:color w:val="auto"/>
        </w:rPr>
        <w:t>is a Subsidiary.</w:t>
      </w:r>
    </w:p>
    <w:p>
      <w:pPr>
        <w:spacing w:after="0" w:line="18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60"/>
          </w:cols>
          <w:pgMar w:left="700" w:top="65"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45" w:lineRule="exact"/>
        <w:rPr>
          <w:sz w:val="20"/>
          <w:szCs w:val="20"/>
          <w:color w:val="auto"/>
        </w:rPr>
      </w:pPr>
    </w:p>
    <w:p>
      <w:pPr>
        <w:ind w:left="540" w:right="2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in the case of paragraph (a) above:</w:t>
      </w:r>
    </w:p>
    <w:p>
      <w:pPr>
        <w:spacing w:after="0" w:line="252"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39" w:lineRule="exact"/>
        <w:rPr>
          <w:sz w:val="20"/>
          <w:szCs w:val="20"/>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has the meaning given to it in clause 13.1(b)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Finance Party, each Receiver, any Delegate and any other attorney, agent or other person appointed by them under the Finance Documents;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 Finance Party means that the Finance Party:</w:t>
      </w:r>
    </w:p>
    <w:p>
      <w:pPr>
        <w:spacing w:after="0" w:line="245" w:lineRule="exact"/>
        <w:rPr>
          <w:sz w:val="20"/>
          <w:szCs w:val="20"/>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52"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9"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80"/>
          </w:cols>
          <w:pgMar w:left="700" w:top="45" w:right="219" w:bottom="1440" w:gutter="0" w:footer="0" w:header="0"/>
        </w:sectPr>
      </w:pPr>
    </w:p>
    <w:bookmarkStart w:id="229" w:name="page230"/>
    <w:bookmarkEnd w:id="229"/>
    <w:p>
      <w:pPr>
        <w:ind w:left="540"/>
        <w:spacing w:after="0"/>
        <w:rPr>
          <w:sz w:val="20"/>
          <w:szCs w:val="20"/>
          <w:color w:val="auto"/>
        </w:rPr>
      </w:pPr>
      <w:r>
        <w:rPr>
          <w:rFonts w:ascii="Arial" w:cs="Arial" w:eastAsia="Arial" w:hAnsi="Arial"/>
          <w:sz w:val="18"/>
          <w:szCs w:val="18"/>
          <w:color w:val="auto"/>
        </w:rPr>
        <w:t>or petition is instituted or presented by a person or entity not described in paragraph (d) above and:</w:t>
      </w:r>
    </w:p>
    <w:p>
      <w:pPr>
        <w:spacing w:after="0" w:line="239" w:lineRule="exact"/>
        <w:rPr>
          <w:sz w:val="20"/>
          <w:szCs w:val="20"/>
          <w:color w:val="auto"/>
        </w:rPr>
      </w:pPr>
    </w:p>
    <w:p>
      <w:pPr>
        <w:ind w:left="1080" w:right="720" w:hanging="532"/>
        <w:spacing w:after="0" w:line="268" w:lineRule="auto"/>
        <w:tabs>
          <w:tab w:leader="none" w:pos="10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has a resolution passed for its winding-up, official management or liquidation (other than pursuant to a consolidation, amalgamation or merger);</w:t>
      </w:r>
    </w:p>
    <w:p>
      <w:pPr>
        <w:spacing w:after="0" w:line="275"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99"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207"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 Deed of Covenant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approved form.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45" w:lineRule="exact"/>
        <w:rPr>
          <w:sz w:val="20"/>
          <w:szCs w:val="20"/>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25" w:lineRule="exact"/>
        <w:rPr>
          <w:sz w:val="20"/>
          <w:szCs w:val="20"/>
          <w:color w:val="auto"/>
        </w:rPr>
      </w:pPr>
    </w:p>
    <w:p>
      <w:pPr>
        <w:ind w:right="340"/>
        <w:spacing w:after="0" w:line="331" w:lineRule="auto"/>
        <w:rPr>
          <w:sz w:val="20"/>
          <w:szCs w:val="20"/>
          <w:color w:val="auto"/>
        </w:rPr>
      </w:pPr>
      <w:r>
        <w:rPr>
          <w:rFonts w:ascii="Arial" w:cs="Arial" w:eastAsia="Arial" w:hAnsi="Arial"/>
          <w:sz w:val="16"/>
          <w:szCs w:val="16"/>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 Revolving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w:t>
      </w:r>
      <w:r>
        <w:rPr>
          <w:rFonts w:ascii="Arial" w:cs="Arial" w:eastAsia="Arial" w:hAnsi="Arial"/>
          <w:sz w:val="18"/>
          <w:szCs w:val="18"/>
          <w:b w:val="1"/>
          <w:bCs w:val="1"/>
          <w:color w:val="auto"/>
        </w:rPr>
        <w:t xml:space="preserve"> </w:t>
      </w:r>
      <w:r>
        <w:rPr>
          <w:rFonts w:ascii="Arial" w:cs="Arial" w:eastAsia="Arial" w:hAnsi="Arial"/>
          <w:sz w:val="18"/>
          <w:szCs w:val="18"/>
          <w:color w:val="auto"/>
        </w:rPr>
        <w:t>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7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 Interest Period with respect to any Revolving Loan or any part of it or any Unpaid Sum, the</w:t>
      </w:r>
      <w:r>
        <w:rPr>
          <w:rFonts w:ascii="Arial" w:cs="Arial" w:eastAsia="Arial" w:hAnsi="Arial"/>
          <w:sz w:val="18"/>
          <w:szCs w:val="18"/>
          <w:b w:val="1"/>
          <w:bCs w:val="1"/>
          <w:color w:val="auto"/>
        </w:rPr>
        <w:t xml:space="preserve"> </w:t>
      </w:r>
      <w:r>
        <w:rPr>
          <w:rFonts w:ascii="Arial" w:cs="Arial" w:eastAsia="Arial" w:hAnsi="Arial"/>
          <w:sz w:val="18"/>
          <w:szCs w:val="18"/>
          <w:color w:val="auto"/>
        </w:rPr>
        <w:t>rate (rounded to the same number of</w:t>
      </w:r>
    </w:p>
    <w:p>
      <w:pPr>
        <w:spacing w:after="0" w:line="18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0960"/>
          </w:cols>
          <w:pgMar w:left="700" w:top="51"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decimal places as the two relevant Screen Rates) which results from interpolating on a linear basis between:</w:t>
      </w:r>
    </w:p>
    <w:p>
      <w:pPr>
        <w:spacing w:after="0" w:line="239" w:lineRule="exact"/>
        <w:rPr>
          <w:sz w:val="20"/>
          <w:szCs w:val="20"/>
          <w:color w:val="auto"/>
        </w:rPr>
      </w:pPr>
    </w:p>
    <w:p>
      <w:pPr>
        <w:ind w:left="540" w:right="4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Revolving Loan or the relevant Unpaid Sum; and</w:t>
      </w:r>
    </w:p>
    <w:p>
      <w:pPr>
        <w:spacing w:after="0" w:line="212"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Revolving Loan or the relevant Unpaid Sum,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each as of 11:00 a.m. on the relevant Quotation Day.</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in relation to the Facility and each Revolving Loan, the date three (3) months before the Final Reduction Date, or,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such case, such later date as may be approved by all the Lenders.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45" w:lineRule="exact"/>
        <w:rPr>
          <w:sz w:val="20"/>
          <w:szCs w:val="20"/>
          <w:color w:val="auto"/>
        </w:rPr>
      </w:pPr>
    </w:p>
    <w:p>
      <w:pPr>
        <w:ind w:left="540" w:right="38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99" w:lineRule="exact"/>
        <w:rPr>
          <w:rFonts w:ascii="Arial" w:cs="Arial" w:eastAsia="Arial" w:hAnsi="Arial"/>
          <w:sz w:val="18"/>
          <w:szCs w:val="18"/>
          <w:color w:val="auto"/>
        </w:rPr>
      </w:pPr>
    </w:p>
    <w:p>
      <w:pPr>
        <w:ind w:left="540" w:right="280" w:hanging="532"/>
        <w:spacing w:after="0" w:line="331" w:lineRule="auto"/>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67" w:lineRule="exact"/>
        <w:rPr>
          <w:rFonts w:ascii="Arial" w:cs="Arial" w:eastAsia="Arial" w:hAnsi="Arial"/>
          <w:sz w:val="16"/>
          <w:szCs w:val="16"/>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252"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30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Revolving Loan or any part of it or any Unpaid Sum:</w:t>
      </w:r>
    </w:p>
    <w:p>
      <w:pPr>
        <w:spacing w:after="0" w:line="245" w:lineRule="exact"/>
        <w:rPr>
          <w:sz w:val="20"/>
          <w:szCs w:val="20"/>
          <w:color w:val="auto"/>
        </w:rPr>
      </w:pPr>
    </w:p>
    <w:p>
      <w:pPr>
        <w:ind w:left="540" w:hanging="532"/>
        <w:spacing w:after="0" w:line="268"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applicable Screen Rate as of 11:00 a.m. on the relevant Quotation Day for the currency of that Revolving Loan for a period equal in length to the Interest Period for that Revolving Loan or relevant part of it or Unpaid Sum;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1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 form scheduled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Ship's General Assignment or (as the case may be) Deed of Covenant or in another approved form.</w:t>
      </w:r>
    </w:p>
    <w:p>
      <w:pPr>
        <w:spacing w:after="0" w:line="18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80"/>
          </w:cols>
          <w:pgMar w:left="700" w:top="51" w:right="219" w:bottom="1440" w:gutter="0" w:footer="0" w:header="0"/>
        </w:sectPr>
      </w:pPr>
    </w:p>
    <w:bookmarkStart w:id="231" w:name="page232"/>
    <w:bookmarkEnd w:id="231"/>
    <w:p>
      <w:pPr>
        <w:ind w:right="180"/>
        <w:spacing w:after="0" w:line="275"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 (including VAT)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proceedings, penalties, fines, damages, judgments, orders or other sanctions.</w:t>
      </w:r>
    </w:p>
    <w:p>
      <w:pPr>
        <w:spacing w:after="0" w:line="17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 exceed the Major Casualty</w:t>
      </w:r>
      <w:r>
        <w:rPr>
          <w:rFonts w:ascii="Arial" w:cs="Arial" w:eastAsia="Arial" w:hAnsi="Arial"/>
          <w:sz w:val="18"/>
          <w:szCs w:val="18"/>
          <w:b w:val="1"/>
          <w:bCs w:val="1"/>
          <w:color w:val="auto"/>
        </w:rPr>
        <w:t xml:space="preserve"> </w:t>
      </w:r>
      <w:r>
        <w:rPr>
          <w:rFonts w:ascii="Arial" w:cs="Arial" w:eastAsia="Arial" w:hAnsi="Arial"/>
          <w:sz w:val="18"/>
          <w:szCs w:val="18"/>
          <w:color w:val="auto"/>
        </w:rPr>
        <w:t>Amount.</w:t>
      </w:r>
    </w:p>
    <w:p>
      <w:pPr>
        <w:spacing w:after="0" w:line="17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in any other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no Loans are then outstanding, a Lender or Lenders whose Commitments aggregate more than 66.66% of the Total Commitments; or</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Loans aggregate more than 66.66% of the aggregate Loans.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Management Agreement </w:t>
      </w:r>
      <w:r>
        <w:rPr>
          <w:rFonts w:ascii="Arial" w:cs="Arial" w:eastAsia="Arial" w:hAnsi="Arial"/>
          <w:sz w:val="18"/>
          <w:szCs w:val="18"/>
          <w:color w:val="auto"/>
        </w:rPr>
        <w:t>means any management agreement of a Ship approved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Manager </w:t>
      </w:r>
      <w:r>
        <w:rPr>
          <w:rFonts w:ascii="Arial" w:cs="Arial" w:eastAsia="Arial" w:hAnsi="Arial"/>
          <w:sz w:val="16"/>
          <w:szCs w:val="16"/>
          <w:color w:val="auto"/>
        </w:rPr>
        <w:t>means, in relation to a Ship, the Commercial Manager or the Technical Manager for that Ship and</w:t>
      </w:r>
      <w:r>
        <w:rPr>
          <w:rFonts w:ascii="Arial" w:cs="Arial" w:eastAsia="Arial" w:hAnsi="Arial"/>
          <w:sz w:val="16"/>
          <w:szCs w:val="16"/>
          <w:b w:val="1"/>
          <w:bCs w:val="1"/>
          <w:color w:val="auto"/>
        </w:rPr>
        <w:t xml:space="preserve"> Managers </w:t>
      </w:r>
      <w:r>
        <w:rPr>
          <w:rFonts w:ascii="Arial" w:cs="Arial" w:eastAsia="Arial" w:hAnsi="Arial"/>
          <w:sz w:val="16"/>
          <w:szCs w:val="16"/>
          <w:color w:val="auto"/>
        </w:rPr>
        <w:t>means both of them.</w:t>
      </w:r>
    </w:p>
    <w:p>
      <w:pPr>
        <w:spacing w:after="0" w:line="24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 form, including if</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line="26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 any time when the Security Value is higher than or equal to 181.8% of the aggregate outstanding principal amount of the Revolving Loans, 2.00% per annum;</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 any time when the Security Value is higher than or equal to 153.8% but less than 181.8% of the aggregate outstanding principal amount of the Revolving Loans, 2.10% per annum;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at any time when the Security Value is lower than 153.8% of the aggregate outstanding principal amount of the Revolving Loans, 2.20% per annum.</w:t>
      </w:r>
    </w:p>
    <w:p>
      <w:pPr>
        <w:spacing w:after="0" w:line="260" w:lineRule="exact"/>
        <w:rPr>
          <w:sz w:val="20"/>
          <w:szCs w:val="20"/>
          <w:color w:val="auto"/>
        </w:rPr>
      </w:pPr>
    </w:p>
    <w:p>
      <w:pPr>
        <w:ind w:right="380"/>
        <w:spacing w:after="0" w:line="304" w:lineRule="auto"/>
        <w:rPr>
          <w:sz w:val="20"/>
          <w:szCs w:val="20"/>
          <w:color w:val="auto"/>
        </w:rPr>
      </w:pPr>
      <w:r>
        <w:rPr>
          <w:rFonts w:ascii="Arial" w:cs="Arial" w:eastAsia="Arial" w:hAnsi="Arial"/>
          <w:sz w:val="15"/>
          <w:szCs w:val="15"/>
          <w:color w:val="auto"/>
        </w:rPr>
        <w:t>The determination of the Security Value for the purposes of application of paragraphs (a), (b) and (c) above shall be made by the Agent by reference to valuations of the Mortgaged Ships made in accordance with clause 25 (</w:t>
      </w:r>
      <w:r>
        <w:rPr>
          <w:rFonts w:ascii="Arial" w:cs="Arial" w:eastAsia="Arial" w:hAnsi="Arial"/>
          <w:sz w:val="15"/>
          <w:szCs w:val="15"/>
          <w:i w:val="1"/>
          <w:iCs w:val="1"/>
          <w:color w:val="auto"/>
        </w:rPr>
        <w:t>Minimum security value</w:t>
      </w:r>
      <w:r>
        <w:rPr>
          <w:rFonts w:ascii="Arial" w:cs="Arial" w:eastAsia="Arial" w:hAnsi="Arial"/>
          <w:sz w:val="15"/>
          <w:szCs w:val="15"/>
          <w:color w:val="auto"/>
        </w:rPr>
        <w:t>). The Agent shall determine the applicable Margin in</w:t>
      </w:r>
    </w:p>
    <w:p>
      <w:pPr>
        <w:spacing w:after="0" w:line="1"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respect of the first Utilisation of each Revolving Loan Ship Tranche, on or before the relevant Utilisation Date and in any other case, on each of the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December and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June of each calendar year, and the applicable Margin determined by the Agent shall apply from the commencement of the next applicable Interest Period until the next such determination by the Agent.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45" w:lineRule="exact"/>
        <w:rPr>
          <w:sz w:val="20"/>
          <w:szCs w:val="20"/>
          <w:color w:val="auto"/>
        </w:rPr>
      </w:pPr>
    </w:p>
    <w:p>
      <w:pPr>
        <w:ind w:left="540" w:hanging="532"/>
        <w:spacing w:after="0"/>
        <w:tabs>
          <w:tab w:leader="none" w:pos="5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business, operations, assets, condition (financial or otherwise) results of operation or liabilities of the Borrowers and/or the Guarantors; or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ability of the Borrowers and/or the Guarantors to perform their respective obligations under any of the Finance Documents; or</w:t>
      </w:r>
    </w:p>
    <w:p>
      <w:pPr>
        <w:spacing w:after="0" w:line="25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this Agreement or any of</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80"/>
          </w:cols>
          <w:pgMar w:left="700" w:top="45" w:right="219" w:bottom="1440" w:gutter="0" w:footer="0" w:header="0"/>
        </w:sectPr>
      </w:pPr>
    </w:p>
    <w:bookmarkStart w:id="232" w:name="page233"/>
    <w:bookmarkEnd w:id="232"/>
    <w:p>
      <w:pPr>
        <w:ind w:left="540"/>
        <w:spacing w:after="0"/>
        <w:rPr>
          <w:sz w:val="20"/>
          <w:szCs w:val="20"/>
          <w:color w:val="auto"/>
        </w:rPr>
      </w:pPr>
      <w:r>
        <w:rPr>
          <w:rFonts w:ascii="Arial" w:cs="Arial" w:eastAsia="Arial" w:hAnsi="Arial"/>
          <w:sz w:val="16"/>
          <w:szCs w:val="16"/>
          <w:color w:val="auto"/>
        </w:rPr>
        <w:t>the Finance Documents or any of the rights or remedies of any Finance Party under this Agreement or any of the Finance Documents.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at any time, the amount in dollars which is 120% of the aggregate of all Revolving Loans.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 the relevant Owner</w:t>
      </w:r>
      <w:r>
        <w:rPr>
          <w:rFonts w:ascii="Arial" w:cs="Arial" w:eastAsia="Arial" w:hAnsi="Arial"/>
          <w:sz w:val="18"/>
          <w:szCs w:val="18"/>
          <w:b w:val="1"/>
          <w:bCs w:val="1"/>
          <w:color w:val="auto"/>
        </w:rPr>
        <w:t xml:space="preserve"> </w:t>
      </w:r>
      <w:r>
        <w:rPr>
          <w:rFonts w:ascii="Arial" w:cs="Arial" w:eastAsia="Arial" w:hAnsi="Arial"/>
          <w:sz w:val="18"/>
          <w:szCs w:val="18"/>
          <w:color w:val="auto"/>
        </w:rPr>
        <w:t>in favour of the Security Agent and/or any of the other Finance Parties.</w:t>
      </w:r>
    </w:p>
    <w:p>
      <w:pPr>
        <w:spacing w:after="0" w:line="17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 registered until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Mortgage is released and discharged or, if earlier, its Total Loss Date.</w:t>
      </w:r>
    </w:p>
    <w:p>
      <w:pPr>
        <w:spacing w:after="0" w:line="17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is subject to a Mortgage and/or whose Earnings, Insurances and Requisition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are subject to a Security Interest under the 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2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Non-Acceptable Charterer </w:t>
      </w:r>
      <w:r>
        <w:rPr>
          <w:rFonts w:ascii="Arial" w:cs="Arial" w:eastAsia="Arial" w:hAnsi="Arial"/>
          <w:sz w:val="16"/>
          <w:szCs w:val="16"/>
          <w:color w:val="auto"/>
        </w:rPr>
        <w:t>means a charterer who (to the Borrowers' knowledge) is subject to a final, non-appealable order or judgment of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5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31.3(b) (</w:t>
      </w:r>
      <w:r>
        <w:rPr>
          <w:rFonts w:ascii="Arial" w:cs="Arial" w:eastAsia="Arial" w:hAnsi="Arial"/>
          <w:sz w:val="18"/>
          <w:szCs w:val="18"/>
          <w:i w:val="1"/>
          <w:iCs w:val="1"/>
          <w:color w:val="auto"/>
        </w:rPr>
        <w:t>Disenfranchisement of Debt Purchase Transactions entered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into by Affiliates</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together the Borrowers and the Guarantors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its financial year ended on 31 December 2017;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Holdings for the financial year ended on 31 December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 if applicable;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Account Security in relation to each Account;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Manager's Undertaking in relation to a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Owner </w:t>
      </w:r>
      <w:r>
        <w:rPr>
          <w:rFonts w:ascii="Arial" w:cs="Arial" w:eastAsia="Arial" w:hAnsi="Arial"/>
          <w:sz w:val="15"/>
          <w:szCs w:val="15"/>
          <w:color w:val="auto"/>
        </w:rPr>
        <w:t>means, in relation to a Ship, the Borrower specified against the name of that Ship in Schedule 2 (</w:t>
      </w:r>
      <w:r>
        <w:rPr>
          <w:rFonts w:ascii="Arial" w:cs="Arial" w:eastAsia="Arial" w:hAnsi="Arial"/>
          <w:sz w:val="15"/>
          <w:szCs w:val="15"/>
          <w:i w:val="1"/>
          <w:iCs w:val="1"/>
          <w:color w:val="auto"/>
        </w:rPr>
        <w:t>Ship information</w:t>
      </w:r>
      <w:r>
        <w:rPr>
          <w:rFonts w:ascii="Arial" w:cs="Arial" w:eastAsia="Arial" w:hAnsi="Arial"/>
          <w:sz w:val="15"/>
          <w:szCs w:val="15"/>
          <w:color w:val="auto"/>
        </w:rPr>
        <w:t>) and</w:t>
      </w:r>
      <w:r>
        <w:rPr>
          <w:rFonts w:ascii="Arial" w:cs="Arial" w:eastAsia="Arial" w:hAnsi="Arial"/>
          <w:sz w:val="15"/>
          <w:szCs w:val="15"/>
          <w:b w:val="1"/>
          <w:bCs w:val="1"/>
          <w:color w:val="auto"/>
        </w:rPr>
        <w:t xml:space="preserve"> Owners </w:t>
      </w:r>
      <w:r>
        <w:rPr>
          <w:rFonts w:ascii="Arial" w:cs="Arial" w:eastAsia="Arial" w:hAnsi="Arial"/>
          <w:sz w:val="15"/>
          <w:szCs w:val="15"/>
          <w:color w:val="auto"/>
        </w:rPr>
        <w:t>means all of them.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00"/>
          </w:cols>
          <w:pgMar w:left="700" w:top="51" w:right="299" w:bottom="1440" w:gutter="0" w:footer="0" w:header="0"/>
        </w:sectPr>
      </w:pPr>
    </w:p>
    <w:bookmarkStart w:id="233" w:name="page234"/>
    <w:bookmarkEnd w:id="233"/>
    <w:p>
      <w:pPr>
        <w:ind w:right="20"/>
        <w:spacing w:after="0" w:line="339" w:lineRule="auto"/>
        <w:rPr>
          <w:sz w:val="20"/>
          <w:szCs w:val="20"/>
          <w:color w:val="auto"/>
        </w:rPr>
      </w:pPr>
      <w:r>
        <w:rPr>
          <w:rFonts w:ascii="Arial" w:cs="Arial" w:eastAsia="Arial" w:hAnsi="Arial"/>
          <w:sz w:val="16"/>
          <w:szCs w:val="16"/>
          <w:b w:val="1"/>
          <w:bCs w:val="1"/>
          <w:color w:val="auto"/>
        </w:rPr>
        <w:t xml:space="preserve">Parent Affiliate </w:t>
      </w:r>
      <w:r>
        <w:rPr>
          <w:rFonts w:ascii="Arial" w:cs="Arial" w:eastAsia="Arial" w:hAnsi="Arial"/>
          <w:sz w:val="16"/>
          <w:szCs w:val="16"/>
          <w:color w:val="auto"/>
        </w:rPr>
        <w:t>means the Parent, each of its Affiliates, any trust of which the Parent or any of its Affiliates is a trustee, any partnership of which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Affiliates is a partner and any trust, fund or other entity which is managed by, or is under the control of, the Parent or any of its Affiliates.</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 accordance with legislation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European Union relating to Economic and Monetary Union.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45" w:lineRule="exact"/>
        <w:rPr>
          <w:sz w:val="20"/>
          <w:szCs w:val="20"/>
          <w:color w:val="auto"/>
        </w:rPr>
      </w:pPr>
    </w:p>
    <w:p>
      <w:pPr>
        <w:ind w:left="540" w:right="60" w:hanging="532"/>
        <w:spacing w:after="0" w:line="259"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220"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58" w:lineRule="exact"/>
        <w:rPr>
          <w:sz w:val="20"/>
          <w:szCs w:val="20"/>
          <w:color w:val="auto"/>
        </w:rPr>
      </w:pPr>
    </w:p>
    <w:p>
      <w:pPr>
        <w:ind w:left="540" w:right="58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each securing obligations not more than 30 days overdue.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which is:</w:t>
      </w:r>
    </w:p>
    <w:p>
      <w:pPr>
        <w:spacing w:after="0" w:line="245" w:lineRule="exact"/>
        <w:rPr>
          <w:sz w:val="20"/>
          <w:szCs w:val="20"/>
          <w:color w:val="auto"/>
        </w:rPr>
      </w:pPr>
    </w:p>
    <w:p>
      <w:pPr>
        <w:ind w:left="540" w:hanging="532"/>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52"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99"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20"/>
          </w:cols>
          <w:pgMar w:left="700" w:top="45" w:right="179" w:bottom="1440" w:gutter="0" w:footer="0" w:header="0"/>
        </w:sectPr>
      </w:pPr>
    </w:p>
    <w:bookmarkStart w:id="234" w:name="page235"/>
    <w:bookmarkEnd w:id="234"/>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approved by the Majority Lenders; or</w:t>
      </w:r>
    </w:p>
    <w:p>
      <w:pPr>
        <w:spacing w:after="0" w:line="252"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created in connection with the Existing Indebtedness, until the Existing Indebtedness is discharged in full and in any event not later than the first Utilisation Date,</w:t>
      </w:r>
    </w:p>
    <w:p>
      <w:pPr>
        <w:spacing w:after="0" w:line="186"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 to such term in clause 21.11(f)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 whose release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is regulated or penalised by Environmental Laws.</w:t>
      </w:r>
    </w:p>
    <w:p>
      <w:pPr>
        <w:spacing w:after="0" w:line="17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 letter by the Security Agent addressed to, and acknowledged by, the relevant Owner and</w:t>
      </w:r>
      <w:r>
        <w:rPr>
          <w:rFonts w:ascii="Arial" w:cs="Arial" w:eastAsia="Arial" w:hAnsi="Arial"/>
          <w:sz w:val="18"/>
          <w:szCs w:val="18"/>
          <w:b w:val="1"/>
          <w:bCs w:val="1"/>
          <w:color w:val="auto"/>
        </w:rPr>
        <w:t xml:space="preserve"> </w:t>
      </w:r>
      <w:r>
        <w:rPr>
          <w:rFonts w:ascii="Arial" w:cs="Arial" w:eastAsia="Arial" w:hAnsi="Arial"/>
          <w:sz w:val="18"/>
          <w:szCs w:val="18"/>
          <w:color w:val="auto"/>
        </w:rPr>
        <w:t>Charterer of that Ship in the agreed form (including being subject to compliance with Sanctions laws).</w:t>
      </w:r>
    </w:p>
    <w:p>
      <w:pPr>
        <w:spacing w:after="0" w:line="174" w:lineRule="exact"/>
        <w:rPr>
          <w:sz w:val="20"/>
          <w:szCs w:val="20"/>
          <w:color w:val="auto"/>
        </w:rPr>
      </w:pPr>
    </w:p>
    <w:p>
      <w:pPr>
        <w:ind w:right="120"/>
        <w:spacing w:after="0" w:line="326" w:lineRule="auto"/>
        <w:rPr>
          <w:sz w:val="20"/>
          <w:szCs w:val="20"/>
          <w:color w:val="auto"/>
        </w:rPr>
      </w:pPr>
      <w:r>
        <w:rPr>
          <w:rFonts w:ascii="Arial" w:cs="Arial" w:eastAsia="Arial" w:hAnsi="Arial"/>
          <w:sz w:val="15"/>
          <w:szCs w:val="15"/>
          <w:b w:val="1"/>
          <w:bCs w:val="1"/>
          <w:color w:val="auto"/>
        </w:rPr>
        <w:t xml:space="preserve">Quotation Day </w:t>
      </w:r>
      <w:r>
        <w:rPr>
          <w:rFonts w:ascii="Arial" w:cs="Arial" w:eastAsia="Arial" w:hAnsi="Arial"/>
          <w:sz w:val="15"/>
          <w:szCs w:val="15"/>
          <w:color w:val="auto"/>
        </w:rPr>
        <w:t>means, in relation to any period for which an interest rate is to be determined, two days on which banks are open for general business in</w:t>
      </w:r>
      <w:r>
        <w:rPr>
          <w:rFonts w:ascii="Arial" w:cs="Arial" w:eastAsia="Arial" w:hAnsi="Arial"/>
          <w:sz w:val="15"/>
          <w:szCs w:val="15"/>
          <w:b w:val="1"/>
          <w:bCs w:val="1"/>
          <w:color w:val="auto"/>
        </w:rPr>
        <w:t xml:space="preserve"> </w:t>
      </w:r>
      <w:r>
        <w:rPr>
          <w:rFonts w:ascii="Arial" w:cs="Arial" w:eastAsia="Arial" w:hAnsi="Arial"/>
          <w:sz w:val="15"/>
          <w:szCs w:val="15"/>
          <w:color w:val="auto"/>
        </w:rPr>
        <w:t>London and Oslo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4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 any Charged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relevant Security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Reduction Date </w:t>
      </w:r>
      <w:r>
        <w:rPr>
          <w:rFonts w:ascii="Arial" w:cs="Arial" w:eastAsia="Arial" w:hAnsi="Arial"/>
          <w:sz w:val="18"/>
          <w:szCs w:val="18"/>
          <w:color w:val="auto"/>
        </w:rPr>
        <w:t>means in relation to a Ship Commitment:</w:t>
      </w:r>
    </w:p>
    <w:p>
      <w:pPr>
        <w:spacing w:after="0" w:line="245" w:lineRule="exact"/>
        <w:rPr>
          <w:sz w:val="20"/>
          <w:szCs w:val="20"/>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Reduction Schedule Start Date for such Ship Commitment;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the dates falling at intervals of three (3) months thereafter up to and including the Final Reduction Date;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Final Reduction Date.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Reduction Schedule Start Date </w:t>
      </w:r>
      <w:r>
        <w:rPr>
          <w:rFonts w:ascii="Arial" w:cs="Arial" w:eastAsia="Arial" w:hAnsi="Arial"/>
          <w:sz w:val="18"/>
          <w:szCs w:val="18"/>
          <w:color w:val="auto"/>
        </w:rPr>
        <w:t>means in relation to a Revolving Loan Ship Tranche and the related Ship Commitment and subject to clause 35.7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Days</w:t>
      </w:r>
      <w:r>
        <w:rPr>
          <w:rFonts w:ascii="Arial" w:cs="Arial" w:eastAsia="Arial" w:hAnsi="Arial"/>
          <w:sz w:val="18"/>
          <w:szCs w:val="18"/>
          <w:color w:val="auto"/>
        </w:rPr>
        <w:t>), the date falling three (3) months after the date of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Relevant Proportion </w:t>
      </w:r>
      <w:r>
        <w:rPr>
          <w:rFonts w:ascii="Arial" w:cs="Arial" w:eastAsia="Arial" w:hAnsi="Arial"/>
          <w:sz w:val="18"/>
          <w:szCs w:val="18"/>
          <w:color w:val="auto"/>
        </w:rPr>
        <w:t>in relation to each Revolving Loan Ship Tranche shall have the following meaning:</w:t>
      </w:r>
    </w:p>
    <w:p>
      <w:pPr>
        <w:spacing w:after="0" w:line="246" w:lineRule="exact"/>
        <w:rPr>
          <w:sz w:val="20"/>
          <w:szCs w:val="20"/>
          <w:color w:val="auto"/>
        </w:rPr>
      </w:pPr>
    </w:p>
    <w:p>
      <w:pPr>
        <w:ind w:left="540" w:right="200" w:hanging="532"/>
        <w:spacing w:after="0" w:line="208" w:lineRule="auto"/>
        <w:tabs>
          <w:tab w:leader="none" w:pos="540" w:val="left"/>
        </w:tabs>
        <w:numPr>
          <w:ilvl w:val="0"/>
          <w:numId w:val="211"/>
        </w:numPr>
        <w:rPr>
          <w:rFonts w:ascii="Arial" w:cs="Arial" w:eastAsia="Arial" w:hAnsi="Arial"/>
          <w:sz w:val="35"/>
          <w:szCs w:val="35"/>
          <w:color w:val="auto"/>
          <w:vertAlign w:val="superscript"/>
        </w:rPr>
      </w:pPr>
      <w:r>
        <w:rPr>
          <w:rFonts w:ascii="Arial" w:cs="Arial" w:eastAsia="Arial" w:hAnsi="Arial"/>
          <w:sz w:val="18"/>
          <w:szCs w:val="18"/>
          <w:color w:val="auto"/>
        </w:rPr>
        <w:t xml:space="preserve">if there are five (5) Mortgaged Ships the Relevant Proportion (i) for each of Ship A, Ship B and Ship C shall be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and (b) for each of Ship D and Ship E shall be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w:t>
      </w:r>
    </w:p>
    <w:p>
      <w:pPr>
        <w:spacing w:after="0" w:line="103"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one or more Mortgaged Ships are sold or become a Total Loss or the Borrowers cancel any Ship Commitment in full in accordance with</w:t>
      </w:r>
    </w:p>
    <w:p>
      <w:pPr>
        <w:spacing w:after="0" w:line="38" w:lineRule="exact"/>
        <w:rPr>
          <w:rFonts w:ascii="Arial" w:cs="Arial" w:eastAsia="Arial" w:hAnsi="Arial"/>
          <w:sz w:val="16"/>
          <w:szCs w:val="16"/>
          <w:color w:val="auto"/>
        </w:rPr>
      </w:pPr>
    </w:p>
    <w:p>
      <w:pPr>
        <w:ind w:left="540" w:right="120"/>
        <w:spacing w:after="0" w:line="302" w:lineRule="auto"/>
        <w:rPr>
          <w:rFonts w:ascii="Arial" w:cs="Arial" w:eastAsia="Arial" w:hAnsi="Arial"/>
          <w:sz w:val="16"/>
          <w:szCs w:val="16"/>
          <w:color w:val="auto"/>
        </w:rPr>
      </w:pPr>
      <w:r>
        <w:rPr>
          <w:rFonts w:ascii="Arial" w:cs="Arial" w:eastAsia="Arial" w:hAnsi="Arial"/>
          <w:sz w:val="16"/>
          <w:szCs w:val="16"/>
          <w:color w:val="auto"/>
        </w:rPr>
        <w:t>clause 7.3(a)(ii) (</w:t>
      </w:r>
      <w:r>
        <w:rPr>
          <w:rFonts w:ascii="Arial" w:cs="Arial" w:eastAsia="Arial" w:hAnsi="Arial"/>
          <w:sz w:val="16"/>
          <w:szCs w:val="16"/>
          <w:i w:val="1"/>
          <w:iCs w:val="1"/>
          <w:color w:val="auto"/>
        </w:rPr>
        <w:t>Voluntary Cancellation</w:t>
      </w:r>
      <w:r>
        <w:rPr>
          <w:rFonts w:ascii="Arial" w:cs="Arial" w:eastAsia="Arial" w:hAnsi="Arial"/>
          <w:sz w:val="16"/>
          <w:szCs w:val="16"/>
          <w:color w:val="auto"/>
        </w:rPr>
        <w:t>), the Relevant Proportion for each of the remaining Ships shall be the ratio of (A) the Relevant Proportion for each such remaining Ship (as a fraction) which applied immediately prior to such sale, Total Loss or cancellation over (B) the Relevant Proportion for all of such remaining Ships (as a fraction) which applied immediately prior to such sale, Total Loss or cancellation.</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00"/>
          </w:cols>
          <w:pgMar w:left="700" w:top="65" w:right="199" w:bottom="1440" w:gutter="0" w:footer="0" w:header="0"/>
        </w:sectPr>
      </w:pPr>
    </w:p>
    <w:bookmarkStart w:id="235" w:name="page236"/>
    <w:bookmarkEnd w:id="235"/>
    <w:p>
      <w:pPr>
        <w:jc w:val="both"/>
        <w:ind w:right="60"/>
        <w:spacing w:after="0" w:line="287" w:lineRule="auto"/>
        <w:rPr>
          <w:sz w:val="20"/>
          <w:szCs w:val="20"/>
          <w:color w:val="auto"/>
        </w:rPr>
      </w:pPr>
      <w:r>
        <w:rPr>
          <w:rFonts w:ascii="Arial" w:cs="Arial" w:eastAsia="Arial" w:hAnsi="Arial"/>
          <w:sz w:val="18"/>
          <w:szCs w:val="18"/>
          <w:color w:val="auto"/>
        </w:rPr>
        <w:t xml:space="preserve">For the purposes of this definition and by way of illustration only, should Ship A be sold or become a Total Loss or if the Ship Commitment relative to Ship A be cancelled, the Relevant Proportion of each of the remaining Ships (i) for each of Ship B and Ship C shall be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and (b) for each of Ship D and Ship E shall be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6</w:t>
      </w:r>
      <w:r>
        <w:rPr>
          <w:rFonts w:ascii="Arial" w:cs="Arial" w:eastAsia="Arial" w:hAnsi="Arial"/>
          <w:sz w:val="18"/>
          <w:szCs w:val="18"/>
          <w:color w:val="auto"/>
        </w:rPr>
        <w:t>.</w:t>
      </w:r>
    </w:p>
    <w:p>
      <w:pPr>
        <w:spacing w:after="0" w:line="4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set out in the document entitled "Basel III: Finalising post-crisis reforms" published by the Basel Committee on</w:t>
      </w:r>
      <w:r>
        <w:rPr>
          <w:rFonts w:ascii="Arial" w:cs="Arial" w:eastAsia="Arial" w:hAnsi="Arial"/>
          <w:sz w:val="18"/>
          <w:szCs w:val="18"/>
          <w:b w:val="1"/>
          <w:bCs w:val="1"/>
          <w:color w:val="auto"/>
        </w:rPr>
        <w:t xml:space="preserve"> </w:t>
      </w:r>
      <w:r>
        <w:rPr>
          <w:rFonts w:ascii="Arial" w:cs="Arial" w:eastAsia="Arial" w:hAnsi="Arial"/>
          <w:sz w:val="18"/>
          <w:szCs w:val="18"/>
          <w:color w:val="auto"/>
        </w:rPr>
        <w:t>Banking Supervision in December 2017, as amended, supplemented or restated.</w:t>
      </w:r>
    </w:p>
    <w:p>
      <w:pPr>
        <w:spacing w:after="0" w:line="174"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Registry </w:t>
      </w:r>
      <w:r>
        <w:rPr>
          <w:rFonts w:ascii="Arial" w:cs="Arial" w:eastAsia="Arial" w:hAnsi="Arial"/>
          <w:sz w:val="16"/>
          <w:szCs w:val="16"/>
          <w:color w:val="auto"/>
        </w:rPr>
        <w:t>means, in relation to each Ship, such registrar, commissioner or representative of the relevant Flag State who is duly authorised and empowered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 the relevant Ship, the relevant Owner's title to such Ship and the relevant Mortgage under the laws of its Flag State.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45" w:lineRule="exact"/>
        <w:rPr>
          <w:sz w:val="20"/>
          <w:szCs w:val="20"/>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21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18.1 (</w:t>
      </w:r>
      <w:r>
        <w:rPr>
          <w:rFonts w:ascii="Arial" w:cs="Arial" w:eastAsia="Arial" w:hAnsi="Arial"/>
          <w:sz w:val="18"/>
          <w:szCs w:val="18"/>
          <w:i w:val="1"/>
          <w:iCs w:val="1"/>
          <w:color w:val="auto"/>
        </w:rPr>
        <w:t>Status</w:t>
      </w:r>
      <w:r>
        <w:rPr>
          <w:rFonts w:ascii="Arial" w:cs="Arial" w:eastAsia="Arial" w:hAnsi="Arial"/>
          <w:sz w:val="18"/>
          <w:szCs w:val="18"/>
          <w:color w:val="auto"/>
        </w:rPr>
        <w:t>) to 18.10 (</w:t>
      </w:r>
      <w:r>
        <w:rPr>
          <w:rFonts w:ascii="Arial" w:cs="Arial" w:eastAsia="Arial" w:hAnsi="Arial"/>
          <w:sz w:val="18"/>
          <w:szCs w:val="18"/>
          <w:i w:val="1"/>
          <w:iCs w:val="1"/>
          <w:color w:val="auto"/>
        </w:rPr>
        <w:t>Ranking and effectiveness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18.16 (</w:t>
      </w:r>
      <w:r>
        <w:rPr>
          <w:rFonts w:ascii="Arial" w:cs="Arial" w:eastAsia="Arial" w:hAnsi="Arial"/>
          <w:sz w:val="18"/>
          <w:szCs w:val="18"/>
          <w:i w:val="1"/>
          <w:iCs w:val="1"/>
          <w:color w:val="auto"/>
        </w:rPr>
        <w:t>No breach of laws</w:t>
      </w:r>
      <w:r>
        <w:rPr>
          <w:rFonts w:ascii="Arial" w:cs="Arial" w:eastAsia="Arial" w:hAnsi="Arial"/>
          <w:sz w:val="18"/>
          <w:szCs w:val="18"/>
          <w:color w:val="auto"/>
        </w:rPr>
        <w:t>), 18.20 (</w:t>
      </w:r>
      <w:r>
        <w:rPr>
          <w:rFonts w:ascii="Arial" w:cs="Arial" w:eastAsia="Arial" w:hAnsi="Arial"/>
          <w:sz w:val="18"/>
          <w:szCs w:val="18"/>
          <w:i w:val="1"/>
          <w:iCs w:val="1"/>
          <w:color w:val="auto"/>
        </w:rPr>
        <w:t>Security and Financial Indebtedness</w:t>
      </w:r>
      <w:r>
        <w:rPr>
          <w:rFonts w:ascii="Arial" w:cs="Arial" w:eastAsia="Arial" w:hAnsi="Arial"/>
          <w:sz w:val="18"/>
          <w:szCs w:val="18"/>
          <w:color w:val="auto"/>
        </w:rPr>
        <w:t>), 18.22 (</w:t>
      </w:r>
      <w:r>
        <w:rPr>
          <w:rFonts w:ascii="Arial" w:cs="Arial" w:eastAsia="Arial" w:hAnsi="Arial"/>
          <w:sz w:val="18"/>
          <w:szCs w:val="18"/>
          <w:i w:val="1"/>
          <w:iCs w:val="1"/>
          <w:color w:val="auto"/>
        </w:rPr>
        <w:t>Shares</w:t>
      </w:r>
      <w:r>
        <w:rPr>
          <w:rFonts w:ascii="Arial" w:cs="Arial" w:eastAsia="Arial" w:hAnsi="Arial"/>
          <w:sz w:val="18"/>
          <w:szCs w:val="18"/>
          <w:color w:val="auto"/>
        </w:rPr>
        <w:t>), 18.24 (</w:t>
      </w:r>
      <w:r>
        <w:rPr>
          <w:rFonts w:ascii="Arial" w:cs="Arial" w:eastAsia="Arial" w:hAnsi="Arial"/>
          <w:sz w:val="18"/>
          <w:szCs w:val="18"/>
          <w:i w:val="1"/>
          <w:iCs w:val="1"/>
          <w:color w:val="auto"/>
        </w:rPr>
        <w:t>No adverse consequences</w:t>
      </w:r>
      <w:r>
        <w:rPr>
          <w:rFonts w:ascii="Arial" w:cs="Arial" w:eastAsia="Arial" w:hAnsi="Arial"/>
          <w:sz w:val="18"/>
          <w:szCs w:val="18"/>
          <w:color w:val="auto"/>
        </w:rPr>
        <w:t>), 18.25 (</w:t>
      </w:r>
      <w:r>
        <w:rPr>
          <w:rFonts w:ascii="Arial" w:cs="Arial" w:eastAsia="Arial" w:hAnsi="Arial"/>
          <w:sz w:val="18"/>
          <w:szCs w:val="18"/>
          <w:i w:val="1"/>
          <w:iCs w:val="1"/>
          <w:color w:val="auto"/>
        </w:rPr>
        <w:t>Copies of documents</w:t>
      </w:r>
      <w:r>
        <w:rPr>
          <w:rFonts w:ascii="Arial" w:cs="Arial" w:eastAsia="Arial" w:hAnsi="Arial"/>
          <w:sz w:val="18"/>
          <w:szCs w:val="18"/>
          <w:color w:val="auto"/>
        </w:rPr>
        <w:t>) and 18.27 (</w:t>
      </w:r>
      <w:r>
        <w:rPr>
          <w:rFonts w:ascii="Arial" w:cs="Arial" w:eastAsia="Arial" w:hAnsi="Arial"/>
          <w:sz w:val="18"/>
          <w:szCs w:val="18"/>
          <w:i w:val="1"/>
          <w:iCs w:val="1"/>
          <w:color w:val="auto"/>
        </w:rPr>
        <w:t>No immunity</w:t>
      </w:r>
      <w:r>
        <w:rPr>
          <w:rFonts w:ascii="Arial" w:cs="Arial" w:eastAsia="Arial" w:hAnsi="Arial"/>
          <w:sz w:val="18"/>
          <w:szCs w:val="18"/>
          <w:color w:val="auto"/>
        </w:rPr>
        <w:t>).</w:t>
      </w:r>
    </w:p>
    <w:p>
      <w:pPr>
        <w:spacing w:after="0" w:line="18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 for title, confiscation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compulsory acquisition of such Ship.</w:t>
      </w:r>
    </w:p>
    <w:p>
      <w:pPr>
        <w:spacing w:after="0" w:line="174"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Revolving Loan </w:t>
      </w:r>
      <w:r>
        <w:rPr>
          <w:rFonts w:ascii="Arial" w:cs="Arial" w:eastAsia="Arial" w:hAnsi="Arial"/>
          <w:sz w:val="16"/>
          <w:szCs w:val="16"/>
          <w:color w:val="auto"/>
        </w:rPr>
        <w:t>means a loan (being part of the Revolving Loan Ship Tranche for that Ship) made or to be made under the Facility and under the Ship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 for a Ship or (as the context may require) the outstanding principal amount of that loan and </w:t>
      </w:r>
      <w:r>
        <w:rPr>
          <w:rFonts w:ascii="Arial" w:cs="Arial" w:eastAsia="Arial" w:hAnsi="Arial"/>
          <w:sz w:val="16"/>
          <w:szCs w:val="16"/>
          <w:b w:val="1"/>
          <w:bCs w:val="1"/>
          <w:color w:val="auto"/>
        </w:rPr>
        <w:t>Revolving Loans</w:t>
      </w:r>
      <w:r>
        <w:rPr>
          <w:rFonts w:ascii="Arial" w:cs="Arial" w:eastAsia="Arial" w:hAnsi="Arial"/>
          <w:sz w:val="16"/>
          <w:szCs w:val="16"/>
          <w:color w:val="auto"/>
        </w:rPr>
        <w:t xml:space="preserve"> means all of them.</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Revolving Loan Ship Tranche A </w:t>
      </w:r>
      <w:r>
        <w:rPr>
          <w:rFonts w:ascii="Arial" w:cs="Arial" w:eastAsia="Arial" w:hAnsi="Arial"/>
          <w:sz w:val="18"/>
          <w:szCs w:val="18"/>
          <w:color w:val="auto"/>
        </w:rPr>
        <w:t>means, at any relevant time, the aggregate of the Revolving Loans drawn in respect of Ship A which are then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to the Ship Commitment in respect of Ship A.</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Revolving Loan Ship Tranche B </w:t>
      </w:r>
      <w:r>
        <w:rPr>
          <w:rFonts w:ascii="Arial" w:cs="Arial" w:eastAsia="Arial" w:hAnsi="Arial"/>
          <w:sz w:val="18"/>
          <w:szCs w:val="18"/>
          <w:color w:val="auto"/>
        </w:rPr>
        <w:t>means, at any relevant time, the aggregate of the Revolving Loans drawn in respect of Ship B which are then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to the Ship Commitment in respect of Ship B.</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Revolving Loan Ship Tranche C </w:t>
      </w:r>
      <w:r>
        <w:rPr>
          <w:rFonts w:ascii="Arial" w:cs="Arial" w:eastAsia="Arial" w:hAnsi="Arial"/>
          <w:sz w:val="18"/>
          <w:szCs w:val="18"/>
          <w:color w:val="auto"/>
        </w:rPr>
        <w:t>means, at any relevant time, the aggregate of the Revolving Loans drawn in respect of Ship C which are then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to the Ship Commitment in respect of Ship C.</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Revolving Loan Ship Tranche D </w:t>
      </w:r>
      <w:r>
        <w:rPr>
          <w:rFonts w:ascii="Arial" w:cs="Arial" w:eastAsia="Arial" w:hAnsi="Arial"/>
          <w:sz w:val="18"/>
          <w:szCs w:val="18"/>
          <w:color w:val="auto"/>
        </w:rPr>
        <w:t>means, at any relevant time, the aggregate of the Revolving Loans drawn in respect of Ship D which are then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to the Ship Commitment in respect of Ship D.</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Revolving Loan Ship Tranche E </w:t>
      </w:r>
      <w:r>
        <w:rPr>
          <w:rFonts w:ascii="Arial" w:cs="Arial" w:eastAsia="Arial" w:hAnsi="Arial"/>
          <w:sz w:val="18"/>
          <w:szCs w:val="18"/>
          <w:color w:val="auto"/>
        </w:rPr>
        <w:t>means, at any relevant time, the aggregate of the Revolving Loans drawn in respect of Ship E which are then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to the Ship Commitment in respect of Ship E.</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20"/>
          </w:cols>
          <w:pgMar w:left="700" w:top="51" w:right="179" w:bottom="1440" w:gutter="0" w:footer="0" w:header="0"/>
        </w:sectPr>
      </w:pPr>
    </w:p>
    <w:bookmarkStart w:id="236" w:name="page237"/>
    <w:bookmarkEnd w:id="236"/>
    <w:p>
      <w:pPr>
        <w:ind w:right="300"/>
        <w:spacing w:after="0" w:line="275" w:lineRule="auto"/>
        <w:rPr>
          <w:sz w:val="20"/>
          <w:szCs w:val="20"/>
          <w:color w:val="auto"/>
        </w:rPr>
      </w:pPr>
      <w:r>
        <w:rPr>
          <w:rFonts w:ascii="Arial" w:cs="Arial" w:eastAsia="Arial" w:hAnsi="Arial"/>
          <w:sz w:val="18"/>
          <w:szCs w:val="18"/>
          <w:b w:val="1"/>
          <w:bCs w:val="1"/>
          <w:color w:val="auto"/>
        </w:rPr>
        <w:t xml:space="preserve">Revolving Loan Ship Tranches </w:t>
      </w:r>
      <w:r>
        <w:rPr>
          <w:rFonts w:ascii="Arial" w:cs="Arial" w:eastAsia="Arial" w:hAnsi="Arial"/>
          <w:sz w:val="18"/>
          <w:szCs w:val="18"/>
          <w:color w:val="auto"/>
        </w:rPr>
        <w:t>means Revolving Loan Ship Tranche A, Revolving Loan Ship Tranche B, Revolving Loan Ship Tranche C,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Ship Tranche D and Revolving Loan Ship Tranche E, and:</w:t>
      </w:r>
    </w:p>
    <w:p>
      <w:pPr>
        <w:spacing w:after="0" w:line="193" w:lineRule="exact"/>
        <w:rPr>
          <w:sz w:val="20"/>
          <w:szCs w:val="20"/>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Ship A, it means Revolving Loan Ship Tranche A;</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Ship B, it means Revolving Loan Ship Tranche B;</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Ship C, it means Revolving Loan Ship Tranche 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Ship D, it means Revolving Loan Ship Tranche D;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Ship E, it means Revolving Loan Ship Tranche 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Revolving Loan Ship Tranche</w:t>
      </w:r>
      <w:r>
        <w:rPr>
          <w:rFonts w:ascii="Arial" w:cs="Arial" w:eastAsia="Arial" w:hAnsi="Arial"/>
          <w:sz w:val="18"/>
          <w:szCs w:val="18"/>
          <w:color w:val="auto"/>
        </w:rPr>
        <w:t xml:space="preserve"> means any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Revolving Loans under a Revolving Loan Ship Tranche:</w:t>
      </w:r>
    </w:p>
    <w:p>
      <w:pPr>
        <w:spacing w:after="0" w:line="245" w:lineRule="exact"/>
        <w:rPr>
          <w:sz w:val="20"/>
          <w:szCs w:val="20"/>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Loan under that Revolving Loan Ship Tranche is due to be repaid;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Loan under that Revolving Loan Ship Tranche;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made or to be made for the purpose of refinancing a maturing Revolving Loan under that Revolving Loan Ship Tranche.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 which takes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45" w:lineRule="exact"/>
        <w:rPr>
          <w:sz w:val="20"/>
          <w:szCs w:val="20"/>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238"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8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 securing any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or any other agreement or arrangement having a similar effect.</w:t>
      </w:r>
    </w:p>
    <w:p>
      <w:pPr>
        <w:spacing w:after="0" w:line="17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at any time, the amount in dollars which, at that time, is the aggregate of (a) the value of all the Mortgaged Ships which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then become a Total Loss (or, if less, the maximum amount capable of being secured by the Mortgages over the Mortgaged Ships)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 clause 29.21(a)(ii) (</w:t>
      </w:r>
      <w:r>
        <w:rPr>
          <w:rFonts w:ascii="Arial" w:cs="Arial" w:eastAsia="Arial" w:hAnsi="Arial"/>
          <w:sz w:val="18"/>
          <w:szCs w:val="18"/>
          <w:i w:val="1"/>
          <w:iCs w:val="1"/>
          <w:color w:val="auto"/>
        </w:rPr>
        <w:t>Charters</w:t>
      </w:r>
      <w:r>
        <w:rPr>
          <w:rFonts w:ascii="Arial" w:cs="Arial" w:eastAsia="Arial" w:hAnsi="Arial"/>
          <w:sz w:val="18"/>
          <w:szCs w:val="18"/>
          <w:color w:val="auto"/>
        </w:rPr>
        <w:t>), in each</w:t>
      </w:r>
    </w:p>
    <w:p>
      <w:pPr>
        <w:spacing w:after="0" w:line="19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60"/>
          </w:cols>
          <w:pgMar w:left="700" w:top="45"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case as most recently determined in accordance with this Agreement (including under clause 25.4 (</w:t>
      </w:r>
      <w:r>
        <w:rPr>
          <w:rFonts w:ascii="Arial" w:cs="Arial" w:eastAsia="Arial" w:hAnsi="Arial"/>
          <w:sz w:val="18"/>
          <w:szCs w:val="18"/>
          <w:i w:val="1"/>
          <w:iCs w:val="1"/>
          <w:color w:val="auto"/>
        </w:rPr>
        <w:t>Valuations procedure</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a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Commitments, as cancelled or reduced pursuant to any provision of this Agreement and available for Utilisation under the Revolving Loan Ship Tranche for that 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D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 E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Ship Representations </w:t>
      </w:r>
      <w:r>
        <w:rPr>
          <w:rFonts w:ascii="Arial" w:cs="Arial" w:eastAsia="Arial" w:hAnsi="Arial"/>
          <w:sz w:val="16"/>
          <w:szCs w:val="16"/>
          <w:color w:val="auto"/>
        </w:rPr>
        <w:t>means each of the representations and warranties set out in clauses 18.28 (</w:t>
      </w:r>
      <w:r>
        <w:rPr>
          <w:rFonts w:ascii="Arial" w:cs="Arial" w:eastAsia="Arial" w:hAnsi="Arial"/>
          <w:sz w:val="16"/>
          <w:szCs w:val="16"/>
          <w:i w:val="1"/>
          <w:iCs w:val="1"/>
          <w:color w:val="auto"/>
        </w:rPr>
        <w:t>Ship status</w:t>
      </w:r>
      <w:r>
        <w:rPr>
          <w:rFonts w:ascii="Arial" w:cs="Arial" w:eastAsia="Arial" w:hAnsi="Arial"/>
          <w:sz w:val="16"/>
          <w:szCs w:val="16"/>
          <w:color w:val="auto"/>
        </w:rPr>
        <w:t>) and 18.29 (</w:t>
      </w:r>
      <w:r>
        <w:rPr>
          <w:rFonts w:ascii="Arial" w:cs="Arial" w:eastAsia="Arial" w:hAnsi="Arial"/>
          <w:sz w:val="16"/>
          <w:szCs w:val="16"/>
          <w:i w:val="1"/>
          <w:iCs w:val="1"/>
          <w:color w:val="auto"/>
        </w:rPr>
        <w:t>Ship's employment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Ships </w:t>
      </w:r>
      <w:r>
        <w:rPr>
          <w:rFonts w:ascii="Arial" w:cs="Arial" w:eastAsia="Arial" w:hAnsi="Arial"/>
          <w:sz w:val="16"/>
          <w:szCs w:val="16"/>
          <w:color w:val="auto"/>
        </w:rPr>
        <w:t>means each of the ships described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being each of Ship A, Ship B, Ship C, Ship D and Ship E, and:</w:t>
      </w:r>
    </w:p>
    <w:p>
      <w:pPr>
        <w:spacing w:after="0" w:line="268" w:lineRule="exact"/>
        <w:rPr>
          <w:sz w:val="20"/>
          <w:szCs w:val="20"/>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Revolving Loan Ship Tranche A (or any Revolving Loan under it), it means Ship A;</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Revolving Loan Ship Tranche B (or any Revolving Loan under it), it means Ship B;</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Revolving Loan Ship Tranche C (or any Revolving Loan under it), it means Ship 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Revolving Loan Ship Tranche D (or any Revolving Loan under it), it means Ship D;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Revolving Loan Ship Tranche E (or any Revolving Loan under it), it means Ship 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Ship</w:t>
      </w:r>
      <w:r>
        <w:rPr>
          <w:rFonts w:ascii="Arial" w:cs="Arial" w:eastAsia="Arial" w:hAnsi="Arial"/>
          <w:sz w:val="18"/>
          <w:szCs w:val="18"/>
          <w:color w:val="auto"/>
        </w:rPr>
        <w:t xml:space="preserve"> means any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45" w:lineRule="exact"/>
        <w:rPr>
          <w:sz w:val="20"/>
          <w:szCs w:val="20"/>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GasLog LNG Services Ltd. of Clarendon House, 2 Church Street, Hamilton HM11, Bermuda or another manager appointed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technical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8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880"/>
          </w:cols>
          <w:pgMar w:left="700" w:top="51" w:right="31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w:t>
      </w:r>
      <w:r>
        <w:rPr>
          <w:rFonts w:ascii="Arial" w:cs="Arial" w:eastAsia="Arial" w:hAnsi="Arial"/>
          <w:sz w:val="18"/>
          <w:szCs w:val="18"/>
          <w:b w:val="1"/>
          <w:bCs w:val="1"/>
          <w:color w:val="auto"/>
        </w:rPr>
        <w:t xml:space="preserve">450,000,000 </w:t>
      </w:r>
      <w:r>
        <w:rPr>
          <w:rFonts w:ascii="Arial" w:cs="Arial" w:eastAsia="Arial" w:hAnsi="Arial"/>
          <w:sz w:val="18"/>
          <w:szCs w:val="18"/>
          <w:color w:val="auto"/>
        </w:rPr>
        <w:t>as at the date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a vessel, its:</w:t>
      </w:r>
    </w:p>
    <w:p>
      <w:pPr>
        <w:spacing w:after="0" w:line="245" w:lineRule="exact"/>
        <w:rPr>
          <w:sz w:val="20"/>
          <w:szCs w:val="20"/>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Loss Date </w:t>
      </w:r>
      <w:r>
        <w:rPr>
          <w:rFonts w:ascii="Arial" w:cs="Arial" w:eastAsia="Arial" w:hAnsi="Arial"/>
          <w:sz w:val="18"/>
          <w:szCs w:val="18"/>
          <w:color w:val="auto"/>
        </w:rPr>
        <w:t>means, in relation to the Total Loss of a vessel:</w:t>
      </w:r>
    </w:p>
    <w:p>
      <w:pPr>
        <w:spacing w:after="0" w:line="258" w:lineRule="exact"/>
        <w:rPr>
          <w:sz w:val="20"/>
          <w:szCs w:val="20"/>
          <w:color w:val="auto"/>
        </w:rPr>
      </w:pPr>
    </w:p>
    <w:p>
      <w:pPr>
        <w:ind w:left="540" w:hanging="532"/>
        <w:spacing w:after="0"/>
        <w:tabs>
          <w:tab w:leader="none" w:pos="5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the case of an actual total loss, the date it happened or, if such date is not known, the date on which the vessel was last reported;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date upon which a binding agreement as to such compromised or arranged total loss has been entered into by the vessel's insurers;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hanging="532"/>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Loss Reduction Date </w:t>
      </w:r>
      <w:r>
        <w:rPr>
          <w:rFonts w:ascii="Arial" w:cs="Arial" w:eastAsia="Arial" w:hAnsi="Arial"/>
          <w:sz w:val="18"/>
          <w:szCs w:val="18"/>
          <w:color w:val="auto"/>
        </w:rPr>
        <w:t>means, where a Mortgaged Ship has become a Total Loss, the earlier of:</w:t>
      </w:r>
    </w:p>
    <w:p>
      <w:pPr>
        <w:spacing w:after="0" w:line="245" w:lineRule="exact"/>
        <w:rPr>
          <w:sz w:val="20"/>
          <w:szCs w:val="20"/>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date upon which insurance proceeds or Requisition Compensation for such Total Loss are paid by insurers or the relevant government entity.</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Borrowers or, at any time after the occurrence of an Event of Default, required by the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45" w:lineRule="exact"/>
        <w:rPr>
          <w:sz w:val="20"/>
          <w:szCs w:val="20"/>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Treasury Transaction </w:t>
      </w:r>
      <w:r>
        <w:rPr>
          <w:rFonts w:ascii="Arial" w:cs="Arial" w:eastAsia="Arial" w:hAnsi="Arial"/>
          <w:sz w:val="16"/>
          <w:szCs w:val="16"/>
          <w:color w:val="auto"/>
        </w:rPr>
        <w:t>means any derivative transaction entered into in connection with protection against or benefit from fluctuation in any rate or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45" w:lineRule="exact"/>
        <w:rPr>
          <w:sz w:val="20"/>
          <w:szCs w:val="20"/>
          <w:color w:val="auto"/>
        </w:rPr>
      </w:pPr>
    </w:p>
    <w:p>
      <w:pPr>
        <w:ind w:left="5160" w:right="3780" w:hanging="5152"/>
        <w:spacing w:after="0" w:line="518" w:lineRule="auto"/>
        <w:tabs>
          <w:tab w:leader="none" w:pos="55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734187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60"/>
          </w:cols>
          <w:pgMar w:left="700" w:top="45" w:right="239" w:bottom="1440" w:gutter="0" w:footer="0" w:header="0"/>
        </w:sectPr>
      </w:pPr>
    </w:p>
    <w:bookmarkStart w:id="239" w:name="page240"/>
    <w:bookmarkEnd w:id="239"/>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52"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5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58" w:lineRule="exact"/>
        <w:rPr>
          <w:sz w:val="20"/>
          <w:szCs w:val="20"/>
          <w:color w:val="auto"/>
        </w:rPr>
      </w:pPr>
    </w:p>
    <w:p>
      <w:pPr>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 Obligor some or all of whose payments under the Finance Documents are from sources within the US for US federal income tax purposes.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 Revolving Loan under each Revolving Loan Ship Tranche.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45" w:lineRule="exact"/>
        <w:rPr>
          <w:sz w:val="20"/>
          <w:szCs w:val="20"/>
          <w:color w:val="auto"/>
        </w:rPr>
      </w:pPr>
    </w:p>
    <w:p>
      <w:pPr>
        <w:ind w:left="1080" w:right="640" w:hanging="532"/>
        <w:spacing w:after="0" w:line="268"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93" w:lineRule="exact"/>
        <w:rPr>
          <w:rFonts w:ascii="Arial" w:cs="Arial" w:eastAsia="Arial" w:hAnsi="Arial"/>
          <w:sz w:val="18"/>
          <w:szCs w:val="18"/>
          <w:color w:val="auto"/>
        </w:rPr>
      </w:pPr>
    </w:p>
    <w:p>
      <w:pPr>
        <w:ind w:left="1620" w:right="100" w:hanging="532"/>
        <w:spacing w:after="0" w:line="275"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93" w:lineRule="exact"/>
        <w:rPr>
          <w:rFonts w:ascii="Arial" w:cs="Arial" w:eastAsia="Arial" w:hAnsi="Arial"/>
          <w:sz w:val="18"/>
          <w:szCs w:val="18"/>
          <w:color w:val="auto"/>
        </w:rPr>
      </w:pPr>
    </w:p>
    <w:p>
      <w:pPr>
        <w:ind w:left="1620" w:hanging="532"/>
        <w:spacing w:after="0"/>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40"/>
          </w:cols>
          <w:pgMar w:left="160" w:top="65" w:right="299" w:bottom="1440" w:gutter="0" w:footer="0" w:header="0"/>
        </w:sectPr>
      </w:pPr>
    </w:p>
    <w:bookmarkStart w:id="240" w:name="page241"/>
    <w:bookmarkEnd w:id="240"/>
    <w:p>
      <w:pPr>
        <w:ind w:left="532" w:hanging="532"/>
        <w:spacing w:after="0" w:line="268" w:lineRule="auto"/>
        <w:tabs>
          <w:tab w:leader="none" w:pos="53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206" w:lineRule="exact"/>
        <w:rPr>
          <w:rFonts w:ascii="Arial" w:cs="Arial" w:eastAsia="Arial" w:hAnsi="Arial"/>
          <w:sz w:val="18"/>
          <w:szCs w:val="18"/>
          <w:color w:val="auto"/>
        </w:rPr>
      </w:pPr>
    </w:p>
    <w:p>
      <w:pPr>
        <w:ind w:left="532" w:right="380" w:hanging="532"/>
        <w:spacing w:after="0" w:line="310" w:lineRule="auto"/>
        <w:tabs>
          <w:tab w:leader="none" w:pos="53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two or more persons are </w:t>
      </w:r>
      <w:r>
        <w:rPr>
          <w:rFonts w:ascii="Arial" w:cs="Arial" w:eastAsia="Arial" w:hAnsi="Arial"/>
          <w:sz w:val="16"/>
          <w:szCs w:val="16"/>
          <w:b w:val="1"/>
          <w:bCs w:val="1"/>
          <w:color w:val="auto"/>
        </w:rPr>
        <w:t>acting in concert</w:t>
      </w:r>
      <w:r>
        <w:rPr>
          <w:rFonts w:ascii="Arial" w:cs="Arial" w:eastAsia="Arial" w:hAnsi="Arial"/>
          <w:sz w:val="16"/>
          <w:szCs w:val="16"/>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64" w:lineRule="exact"/>
        <w:rPr>
          <w:rFonts w:ascii="Arial" w:cs="Arial" w:eastAsia="Arial" w:hAnsi="Arial"/>
          <w:sz w:val="16"/>
          <w:szCs w:val="16"/>
          <w:color w:val="auto"/>
        </w:rPr>
      </w:pPr>
    </w:p>
    <w:p>
      <w:pPr>
        <w:ind w:left="532" w:hanging="532"/>
        <w:spacing w:after="0"/>
        <w:tabs>
          <w:tab w:leader="none" w:pos="53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072" w:right="400" w:hanging="532"/>
        <w:spacing w:after="0" w:line="268" w:lineRule="auto"/>
        <w:tabs>
          <w:tab w:leader="none" w:pos="107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212" w:lineRule="exact"/>
        <w:rPr>
          <w:rFonts w:ascii="Arial" w:cs="Arial" w:eastAsia="Arial" w:hAnsi="Arial"/>
          <w:sz w:val="18"/>
          <w:szCs w:val="18"/>
          <w:color w:val="auto"/>
        </w:rPr>
      </w:pPr>
    </w:p>
    <w:p>
      <w:pPr>
        <w:ind w:left="1072" w:right="200" w:hanging="532"/>
        <w:spacing w:after="0" w:line="256" w:lineRule="auto"/>
        <w:tabs>
          <w:tab w:leader="none" w:pos="107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32" w:right="80" w:hanging="532"/>
        <w:spacing w:after="0" w:line="301" w:lineRule="auto"/>
        <w:tabs>
          <w:tab w:leader="none" w:pos="532"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approved by the Majority Lenders </w:t>
      </w:r>
      <w:r>
        <w:rPr>
          <w:rFonts w:ascii="Arial" w:cs="Arial" w:eastAsia="Arial" w:hAnsi="Arial"/>
          <w:sz w:val="16"/>
          <w:szCs w:val="16"/>
          <w:color w:val="auto"/>
        </w:rPr>
        <w:t>or</w:t>
      </w:r>
      <w:r>
        <w:rPr>
          <w:rFonts w:ascii="Arial" w:cs="Arial" w:eastAsia="Arial" w:hAnsi="Arial"/>
          <w:sz w:val="16"/>
          <w:szCs w:val="16"/>
          <w:b w:val="1"/>
          <w:bCs w:val="1"/>
          <w:color w:val="auto"/>
        </w:rPr>
        <w:t xml:space="preserve"> approved by the Lenders </w:t>
      </w:r>
      <w:r>
        <w:rPr>
          <w:rFonts w:ascii="Arial" w:cs="Arial" w:eastAsia="Arial" w:hAnsi="Arial"/>
          <w:sz w:val="16"/>
          <w:szCs w:val="16"/>
          <w:color w:val="auto"/>
        </w:rPr>
        <w:t>means approved in writing by the Agent acting on the instructions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Majority Lenders or, as the case may be, all of the Lenders (on such conditions as they may respectively impose) and otherwise </w:t>
      </w:r>
      <w:r>
        <w:rPr>
          <w:rFonts w:ascii="Arial" w:cs="Arial" w:eastAsia="Arial" w:hAnsi="Arial"/>
          <w:sz w:val="16"/>
          <w:szCs w:val="16"/>
          <w:b w:val="1"/>
          <w:bCs w:val="1"/>
          <w:color w:val="auto"/>
        </w:rPr>
        <w:t>approved</w:t>
      </w:r>
      <w:r>
        <w:rPr>
          <w:rFonts w:ascii="Arial" w:cs="Arial" w:eastAsia="Arial" w:hAnsi="Arial"/>
          <w:sz w:val="16"/>
          <w:szCs w:val="16"/>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6"/>
          <w:szCs w:val="16"/>
          <w:b w:val="1"/>
          <w:bCs w:val="1"/>
          <w:color w:val="auto"/>
        </w:rPr>
        <w:t>approval</w:t>
      </w:r>
      <w:r>
        <w:rPr>
          <w:rFonts w:ascii="Arial" w:cs="Arial" w:eastAsia="Arial" w:hAnsi="Arial"/>
          <w:sz w:val="16"/>
          <w:szCs w:val="16"/>
          <w:color w:val="auto"/>
        </w:rPr>
        <w:t xml:space="preserve"> and </w:t>
      </w:r>
      <w:r>
        <w:rPr>
          <w:rFonts w:ascii="Arial" w:cs="Arial" w:eastAsia="Arial" w:hAnsi="Arial"/>
          <w:sz w:val="16"/>
          <w:szCs w:val="16"/>
          <w:b w:val="1"/>
          <w:bCs w:val="1"/>
          <w:color w:val="auto"/>
        </w:rPr>
        <w:t>approve</w:t>
      </w:r>
      <w:r>
        <w:rPr>
          <w:rFonts w:ascii="Arial" w:cs="Arial" w:eastAsia="Arial" w:hAnsi="Arial"/>
          <w:sz w:val="16"/>
          <w:szCs w:val="16"/>
          <w:color w:val="auto"/>
        </w:rPr>
        <w:t xml:space="preserve"> shall be construed accordingly;</w:t>
      </w:r>
    </w:p>
    <w:p>
      <w:pPr>
        <w:spacing w:after="0" w:line="170" w:lineRule="exact"/>
        <w:rPr>
          <w:rFonts w:ascii="Arial" w:cs="Arial" w:eastAsia="Arial" w:hAnsi="Arial"/>
          <w:sz w:val="16"/>
          <w:szCs w:val="16"/>
          <w:color w:val="auto"/>
        </w:rPr>
      </w:pPr>
    </w:p>
    <w:p>
      <w:pPr>
        <w:ind w:left="532" w:hanging="532"/>
        <w:spacing w:after="0"/>
        <w:tabs>
          <w:tab w:leader="none" w:pos="5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authorisation</w:t>
      </w:r>
      <w:r>
        <w:rPr>
          <w:rFonts w:ascii="Arial" w:cs="Arial" w:eastAsia="Arial" w:hAnsi="Arial"/>
          <w:sz w:val="16"/>
          <w:szCs w:val="16"/>
          <w:color w:val="auto"/>
        </w:rPr>
        <w:t xml:space="preserve"> means any authorisation, consent, concession, approval, resolution, licence, exemption, filing, notarisation or registration;</w:t>
      </w:r>
    </w:p>
    <w:p>
      <w:pPr>
        <w:spacing w:after="0" w:line="261" w:lineRule="exact"/>
        <w:rPr>
          <w:rFonts w:ascii="Arial" w:cs="Arial" w:eastAsia="Arial" w:hAnsi="Arial"/>
          <w:sz w:val="16"/>
          <w:szCs w:val="16"/>
          <w:color w:val="auto"/>
        </w:rPr>
      </w:pPr>
    </w:p>
    <w:p>
      <w:pPr>
        <w:ind w:left="532" w:right="120" w:hanging="532"/>
        <w:spacing w:after="0" w:line="262" w:lineRule="auto"/>
        <w:tabs>
          <w:tab w:leader="none" w:pos="5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 vessel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carriage of people and/or cargo or the provision of services by or from it and includes any agreement for pooling or sharing income derived from any such charter or contract;</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1072" w:right="340" w:hanging="532"/>
        <w:spacing w:after="0" w:line="268" w:lineRule="auto"/>
        <w:tabs>
          <w:tab w:leader="none" w:pos="107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12" w:right="240" w:hanging="532"/>
        <w:spacing w:after="0" w:line="268" w:lineRule="auto"/>
        <w:tabs>
          <w:tab w:leader="none" w:pos="1612" w:val="left"/>
        </w:tabs>
        <w:numPr>
          <w:ilvl w:val="2"/>
          <w:numId w:val="227"/>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99" w:lineRule="exact"/>
        <w:rPr>
          <w:rFonts w:ascii="Arial" w:cs="Arial" w:eastAsia="Arial" w:hAnsi="Arial"/>
          <w:sz w:val="18"/>
          <w:szCs w:val="18"/>
          <w:color w:val="auto"/>
        </w:rPr>
      </w:pPr>
    </w:p>
    <w:p>
      <w:pPr>
        <w:ind w:left="1612" w:hanging="532"/>
        <w:spacing w:after="0"/>
        <w:tabs>
          <w:tab w:leader="none" w:pos="1612" w:val="left"/>
        </w:tabs>
        <w:numPr>
          <w:ilvl w:val="2"/>
          <w:numId w:val="227"/>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52" w:lineRule="exact"/>
        <w:rPr>
          <w:rFonts w:ascii="Arial" w:cs="Arial" w:eastAsia="Arial" w:hAnsi="Arial"/>
          <w:sz w:val="18"/>
          <w:szCs w:val="18"/>
          <w:color w:val="auto"/>
        </w:rPr>
      </w:pPr>
    </w:p>
    <w:p>
      <w:pPr>
        <w:ind w:left="1612" w:right="160" w:hanging="532"/>
        <w:spacing w:after="0" w:line="268" w:lineRule="auto"/>
        <w:tabs>
          <w:tab w:leader="none" w:pos="1612" w:val="left"/>
        </w:tabs>
        <w:numPr>
          <w:ilvl w:val="2"/>
          <w:numId w:val="227"/>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86"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146050</wp:posOffset>
            </wp:positionV>
            <wp:extent cx="734187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52"/>
          </w:cols>
          <w:pgMar w:left="1248" w:top="65" w:right="199" w:bottom="1440" w:gutter="0" w:footer="0" w:header="0"/>
        </w:sectPr>
      </w:pPr>
    </w:p>
    <w:bookmarkStart w:id="241" w:name="page242"/>
    <w:bookmarkEnd w:id="241"/>
    <w:p>
      <w:pPr>
        <w:ind w:left="1072" w:right="80" w:hanging="532"/>
        <w:spacing w:after="0" w:line="254" w:lineRule="auto"/>
        <w:tabs>
          <w:tab w:leader="none" w:pos="10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92" w:lineRule="exact"/>
        <w:rPr>
          <w:sz w:val="20"/>
          <w:szCs w:val="20"/>
          <w:color w:val="auto"/>
        </w:rPr>
      </w:pPr>
    </w:p>
    <w:p>
      <w:pPr>
        <w:ind w:left="53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252" w:lineRule="exact"/>
        <w:rPr>
          <w:sz w:val="20"/>
          <w:szCs w:val="20"/>
          <w:color w:val="auto"/>
        </w:rPr>
      </w:pPr>
    </w:p>
    <w:p>
      <w:pPr>
        <w:jc w:val="both"/>
        <w:ind w:left="532" w:right="180" w:hanging="532"/>
        <w:spacing w:after="0" w:line="262" w:lineRule="auto"/>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238" w:lineRule="exact"/>
        <w:rPr>
          <w:rFonts w:ascii="Arial" w:cs="Arial" w:eastAsia="Arial" w:hAnsi="Arial"/>
          <w:sz w:val="18"/>
          <w:szCs w:val="18"/>
          <w:color w:val="auto"/>
        </w:rPr>
      </w:pPr>
    </w:p>
    <w:p>
      <w:pPr>
        <w:ind w:left="532" w:right="60" w:hanging="532"/>
        <w:spacing w:after="0" w:line="301" w:lineRule="auto"/>
        <w:tabs>
          <w:tab w:leader="none" w:pos="53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equivalent</w:t>
      </w:r>
      <w:r>
        <w:rPr>
          <w:rFonts w:ascii="Arial" w:cs="Arial" w:eastAsia="Arial" w:hAnsi="Arial"/>
          <w:sz w:val="16"/>
          <w:szCs w:val="16"/>
          <w:color w:val="auto"/>
        </w:rPr>
        <w:t xml:space="preserve"> of an amount specified in a particular currency (the </w:t>
      </w:r>
      <w:r>
        <w:rPr>
          <w:rFonts w:ascii="Arial" w:cs="Arial" w:eastAsia="Arial" w:hAnsi="Arial"/>
          <w:sz w:val="16"/>
          <w:szCs w:val="16"/>
          <w:b w:val="1"/>
          <w:bCs w:val="1"/>
          <w:color w:val="auto"/>
        </w:rPr>
        <w:t>specified currency amount</w:t>
      </w:r>
      <w:r>
        <w:rPr>
          <w:rFonts w:ascii="Arial" w:cs="Arial" w:eastAsia="Arial" w:hAnsi="Arial"/>
          <w:sz w:val="16"/>
          <w:szCs w:val="16"/>
          <w:color w:val="auto"/>
        </w:rPr>
        <w:t xml:space="preserve">) shall be construed as a reference to the amount of the other relevant currency which can be purchased with the specified currency amount in the London foreign exchange market at or about 11:00 a.m. on the date the calculation falls to be made for spot delivery, as conclusively determined by the Agent (with the relevant exchange rate of any such purchase being the </w:t>
      </w:r>
      <w:r>
        <w:rPr>
          <w:rFonts w:ascii="Arial" w:cs="Arial" w:eastAsia="Arial" w:hAnsi="Arial"/>
          <w:sz w:val="16"/>
          <w:szCs w:val="16"/>
          <w:b w:val="1"/>
          <w:bCs w:val="1"/>
          <w:color w:val="auto"/>
        </w:rPr>
        <w:t>Agent's spot rate of exchange</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left="532" w:hanging="532"/>
        <w:spacing w:after="0"/>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38" w:lineRule="exact"/>
        <w:rPr>
          <w:rFonts w:ascii="Arial" w:cs="Arial" w:eastAsia="Arial" w:hAnsi="Arial"/>
          <w:sz w:val="18"/>
          <w:szCs w:val="18"/>
          <w:color w:val="auto"/>
        </w:rPr>
      </w:pPr>
    </w:p>
    <w:p>
      <w:pPr>
        <w:ind w:left="532" w:right="80" w:hanging="532"/>
        <w:spacing w:after="0" w:line="258" w:lineRule="auto"/>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216" w:lineRule="exact"/>
        <w:rPr>
          <w:rFonts w:ascii="Arial" w:cs="Arial" w:eastAsia="Arial" w:hAnsi="Arial"/>
          <w:sz w:val="18"/>
          <w:szCs w:val="18"/>
          <w:color w:val="auto"/>
        </w:rPr>
      </w:pPr>
    </w:p>
    <w:p>
      <w:pPr>
        <w:ind w:left="532" w:hanging="532"/>
        <w:spacing w:after="0" w:line="275" w:lineRule="auto"/>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actual or contingent;</w:t>
      </w:r>
    </w:p>
    <w:p>
      <w:pPr>
        <w:spacing w:after="0" w:line="187" w:lineRule="exact"/>
        <w:rPr>
          <w:rFonts w:ascii="Arial" w:cs="Arial" w:eastAsia="Arial" w:hAnsi="Arial"/>
          <w:sz w:val="18"/>
          <w:szCs w:val="18"/>
          <w:color w:val="auto"/>
        </w:rPr>
      </w:pPr>
    </w:p>
    <w:p>
      <w:pPr>
        <w:ind w:left="532" w:right="80" w:hanging="532"/>
        <w:spacing w:after="0" w:line="275" w:lineRule="auto"/>
        <w:tabs>
          <w:tab w:leader="none" w:pos="532"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 calendar month</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calendar month in which it is to end, except that:</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1072" w:right="160" w:hanging="532"/>
        <w:spacing w:after="0" w:line="268" w:lineRule="auto"/>
        <w:tabs>
          <w:tab w:leader="none" w:pos="107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there is no numerically corresponding day in that month, that period shall end on the last Business Day in that month,</w:t>
      </w:r>
    </w:p>
    <w:p>
      <w:pPr>
        <w:spacing w:after="0" w:line="248" w:lineRule="exact"/>
        <w:rPr>
          <w:sz w:val="20"/>
          <w:szCs w:val="20"/>
          <w:color w:val="auto"/>
        </w:rPr>
      </w:pPr>
    </w:p>
    <w:p>
      <w:pPr>
        <w:ind w:left="532"/>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233" w:lineRule="exact"/>
        <w:rPr>
          <w:sz w:val="20"/>
          <w:szCs w:val="20"/>
          <w:color w:val="auto"/>
        </w:rPr>
      </w:pPr>
    </w:p>
    <w:p>
      <w:pPr>
        <w:ind w:left="4612" w:right="5360" w:hanging="4612"/>
        <w:spacing w:after="0" w:line="621" w:lineRule="auto"/>
        <w:tabs>
          <w:tab w:leader="none" w:pos="54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obligation</w:t>
      </w:r>
      <w:r>
        <w:rPr>
          <w:rFonts w:ascii="Arial" w:cs="Arial" w:eastAsia="Arial" w:hAnsi="Arial"/>
          <w:sz w:val="16"/>
          <w:szCs w:val="16"/>
          <w:color w:val="auto"/>
        </w:rPr>
        <w:t xml:space="preserve"> means any duty, obligation or liability of any kind;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-48260</wp:posOffset>
            </wp:positionV>
            <wp:extent cx="734187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472"/>
          </w:cols>
          <w:pgMar w:left="1248" w:top="65" w:right="179" w:bottom="1440" w:gutter="0" w:footer="0" w:header="0"/>
        </w:sectPr>
      </w:pPr>
    </w:p>
    <w:bookmarkStart w:id="242" w:name="page243"/>
    <w:bookmarkEnd w:id="242"/>
    <w:p>
      <w:pPr>
        <w:ind w:left="1080" w:right="80" w:hanging="532"/>
        <w:spacing w:after="0" w:line="339" w:lineRule="auto"/>
        <w:tabs>
          <w:tab w:leader="none" w:pos="108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something being in the </w:t>
      </w:r>
      <w:r>
        <w:rPr>
          <w:rFonts w:ascii="Arial" w:cs="Arial" w:eastAsia="Arial" w:hAnsi="Arial"/>
          <w:sz w:val="16"/>
          <w:szCs w:val="16"/>
          <w:b w:val="1"/>
          <w:bCs w:val="1"/>
          <w:color w:val="auto"/>
        </w:rPr>
        <w:t>ordinary course of business</w:t>
      </w:r>
      <w:r>
        <w:rPr>
          <w:rFonts w:ascii="Arial" w:cs="Arial" w:eastAsia="Arial" w:hAnsi="Arial"/>
          <w:sz w:val="16"/>
          <w:szCs w:val="16"/>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55" w:lineRule="exact"/>
        <w:rPr>
          <w:rFonts w:ascii="Arial" w:cs="Arial" w:eastAsia="Arial" w:hAnsi="Arial"/>
          <w:sz w:val="16"/>
          <w:szCs w:val="16"/>
          <w:color w:val="auto"/>
        </w:rPr>
      </w:pPr>
    </w:p>
    <w:p>
      <w:pPr>
        <w:ind w:left="1080" w:hanging="532"/>
        <w:spacing w:after="0"/>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b w:val="1"/>
          <w:bCs w:val="1"/>
          <w:color w:val="auto"/>
        </w:rPr>
        <w:t>pay</w:t>
      </w:r>
      <w:r>
        <w:rPr>
          <w:rFonts w:ascii="Arial" w:cs="Arial" w:eastAsia="Arial" w:hAnsi="Arial"/>
          <w:sz w:val="18"/>
          <w:szCs w:val="18"/>
          <w:color w:val="auto"/>
        </w:rPr>
        <w:t>,</w:t>
      </w:r>
      <w:r>
        <w:rPr>
          <w:rFonts w:ascii="Arial" w:cs="Arial" w:eastAsia="Arial" w:hAnsi="Arial"/>
          <w:sz w:val="18"/>
          <w:szCs w:val="18"/>
          <w:b w:val="1"/>
          <w:bCs w:val="1"/>
          <w:color w:val="auto"/>
        </w:rPr>
        <w:t xml:space="preserve"> prepay </w:t>
      </w:r>
      <w:r>
        <w:rPr>
          <w:rFonts w:ascii="Arial" w:cs="Arial" w:eastAsia="Arial" w:hAnsi="Arial"/>
          <w:sz w:val="18"/>
          <w:szCs w:val="18"/>
          <w:color w:val="auto"/>
        </w:rPr>
        <w:t>or</w:t>
      </w:r>
      <w:r>
        <w:rPr>
          <w:rFonts w:ascii="Arial" w:cs="Arial" w:eastAsia="Arial" w:hAnsi="Arial"/>
          <w:sz w:val="18"/>
          <w:szCs w:val="18"/>
          <w:b w:val="1"/>
          <w:bCs w:val="1"/>
          <w:color w:val="auto"/>
        </w:rPr>
        <w:t xml:space="preserve"> repay </w:t>
      </w:r>
      <w:r>
        <w:rPr>
          <w:rFonts w:ascii="Arial" w:cs="Arial" w:eastAsia="Arial" w:hAnsi="Arial"/>
          <w:sz w:val="18"/>
          <w:szCs w:val="18"/>
          <w:color w:val="auto"/>
        </w:rPr>
        <w:t>in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includes by way of set-off, combination of accounts or otherwise;</w:t>
      </w:r>
    </w:p>
    <w:p>
      <w:pPr>
        <w:spacing w:after="0" w:line="238" w:lineRule="exact"/>
        <w:rPr>
          <w:rFonts w:ascii="Arial" w:cs="Arial" w:eastAsia="Arial" w:hAnsi="Arial"/>
          <w:sz w:val="18"/>
          <w:szCs w:val="18"/>
          <w:color w:val="auto"/>
        </w:rPr>
      </w:pPr>
    </w:p>
    <w:p>
      <w:pPr>
        <w:ind w:left="1080" w:right="480" w:hanging="532"/>
        <w:spacing w:after="0" w:line="275" w:lineRule="auto"/>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87" w:lineRule="exact"/>
        <w:rPr>
          <w:rFonts w:ascii="Arial" w:cs="Arial" w:eastAsia="Arial" w:hAnsi="Arial"/>
          <w:sz w:val="18"/>
          <w:szCs w:val="18"/>
          <w:color w:val="auto"/>
        </w:rPr>
      </w:pPr>
    </w:p>
    <w:p>
      <w:pPr>
        <w:ind w:left="1080" w:right="140" w:hanging="532"/>
        <w:spacing w:after="0" w:line="262" w:lineRule="auto"/>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includes (without limitation) any Basel II Regulation or Basel III Regulation;</w:t>
      </w:r>
    </w:p>
    <w:p>
      <w:pPr>
        <w:spacing w:after="0" w:line="213" w:lineRule="exact"/>
        <w:rPr>
          <w:rFonts w:ascii="Arial" w:cs="Arial" w:eastAsia="Arial" w:hAnsi="Arial"/>
          <w:sz w:val="18"/>
          <w:szCs w:val="18"/>
          <w:color w:val="auto"/>
        </w:rPr>
      </w:pPr>
    </w:p>
    <w:p>
      <w:pPr>
        <w:ind w:left="1080" w:hanging="532"/>
        <w:spacing w:after="0" w:line="275" w:lineRule="auto"/>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 any kind,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actual or contingent, present or future, arising under contract or law, or in equity;</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38" w:lineRule="exact"/>
        <w:rPr>
          <w:rFonts w:ascii="Arial" w:cs="Arial" w:eastAsia="Arial" w:hAnsi="Arial"/>
          <w:sz w:val="18"/>
          <w:szCs w:val="18"/>
          <w:color w:val="auto"/>
        </w:rPr>
      </w:pPr>
    </w:p>
    <w:p>
      <w:pPr>
        <w:ind w:left="1080" w:right="80" w:hanging="532"/>
        <w:spacing w:after="0" w:line="255" w:lineRule="auto"/>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(i)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winding up</w:t>
      </w:r>
      <w:r>
        <w:rPr>
          <w:rFonts w:ascii="Arial" w:cs="Arial" w:eastAsia="Arial" w:hAnsi="Arial"/>
          <w:sz w:val="18"/>
          <w:szCs w:val="18"/>
          <w:color w:val="auto"/>
        </w:rPr>
        <w:t xml:space="preserv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of person or (ii) 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in the context of insolvency proceedings or security enforcement actions in respect of a person shall be 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44" w:lineRule="exact"/>
        <w:rPr>
          <w:rFonts w:ascii="Arial" w:cs="Arial" w:eastAsia="Arial" w:hAnsi="Arial"/>
          <w:sz w:val="18"/>
          <w:szCs w:val="18"/>
          <w:color w:val="auto"/>
        </w:rPr>
      </w:pPr>
    </w:p>
    <w:p>
      <w:pPr>
        <w:ind w:left="1080" w:hanging="532"/>
        <w:spacing w:after="0"/>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40" w:right="200" w:hanging="532"/>
        <w:spacing w:after="0" w:line="275"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206" w:lineRule="exact"/>
        <w:rPr>
          <w:rFonts w:ascii="Arial" w:cs="Arial" w:eastAsia="Arial" w:hAnsi="Arial"/>
          <w:sz w:val="18"/>
          <w:szCs w:val="18"/>
          <w:color w:val="auto"/>
        </w:rPr>
      </w:pPr>
    </w:p>
    <w:p>
      <w:pPr>
        <w:jc w:val="both"/>
        <w:ind w:left="540" w:right="60" w:hanging="532"/>
        <w:spacing w:after="0" w:line="259"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38"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20"/>
          </w:cols>
          <w:pgMar w:left="700" w:top="59" w:right="179" w:bottom="1440" w:gutter="0" w:footer="0" w:header="0"/>
        </w:sectPr>
      </w:pPr>
    </w:p>
    <w:bookmarkStart w:id="243" w:name="page244"/>
    <w:bookmarkEnd w:id="243"/>
    <w:p>
      <w:pPr>
        <w:ind w:left="1080" w:right="260" w:hanging="532"/>
        <w:spacing w:after="0" w:line="275"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 or remedied to the satisfaction of the Agent (acting on the instructions of all the Lenders).</w:t>
      </w:r>
    </w:p>
    <w:p>
      <w:pPr>
        <w:spacing w:after="0" w:line="206"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200" w:lineRule="exact"/>
        <w:rPr>
          <w:sz w:val="20"/>
          <w:szCs w:val="20"/>
          <w:color w:val="auto"/>
        </w:rPr>
      </w:pPr>
    </w:p>
    <w:p>
      <w:pPr>
        <w:spacing w:after="0" w:line="274" w:lineRule="exact"/>
        <w:rPr>
          <w:sz w:val="20"/>
          <w:szCs w:val="20"/>
          <w:color w:val="auto"/>
        </w:rPr>
      </w:pPr>
    </w:p>
    <w:p>
      <w:pPr>
        <w:jc w:val="both"/>
        <w:ind w:left="1080" w:right="140" w:hanging="532"/>
        <w:spacing w:after="0" w:line="259"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Finance Documents</w:t>
      </w:r>
    </w:p>
    <w:p>
      <w:pPr>
        <w:spacing w:after="0" w:line="24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Conflict of documents</w:t>
      </w:r>
    </w:p>
    <w:p>
      <w:pPr>
        <w:spacing w:after="0" w:line="25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88" w:lineRule="exact"/>
        <w:rPr>
          <w:sz w:val="20"/>
          <w:szCs w:val="20"/>
          <w:color w:val="auto"/>
        </w:rPr>
      </w:pPr>
    </w:p>
    <w:p>
      <w:pPr>
        <w:jc w:val="both"/>
        <w:ind w:right="10120" w:firstLine="8"/>
        <w:spacing w:after="0" w:line="576" w:lineRule="auto"/>
        <w:tabs>
          <w:tab w:leader="none" w:pos="479"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The Facility 2.1 The Facility</w:t>
      </w:r>
    </w:p>
    <w:p>
      <w:pPr>
        <w:ind w:left="540" w:right="300"/>
        <w:spacing w:after="0" w:line="268" w:lineRule="auto"/>
        <w:rPr>
          <w:sz w:val="20"/>
          <w:szCs w:val="20"/>
          <w:color w:val="auto"/>
        </w:rPr>
      </w:pPr>
      <w:r>
        <w:rPr>
          <w:rFonts w:ascii="Arial" w:cs="Arial" w:eastAsia="Arial" w:hAnsi="Arial"/>
          <w:sz w:val="18"/>
          <w:szCs w:val="18"/>
          <w:color w:val="auto"/>
        </w:rPr>
        <w:t>Subject to the terms of this Agreement, the Lenders make available to the Borrowers a revolving credit facility in an aggregate amount equal to the Total Commitments.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Finance Parties' rights and obligations</w:t>
      </w:r>
    </w:p>
    <w:p>
      <w:pPr>
        <w:spacing w:after="0" w:line="200" w:lineRule="exact"/>
        <w:rPr>
          <w:sz w:val="20"/>
          <w:szCs w:val="20"/>
          <w:color w:val="auto"/>
        </w:rPr>
      </w:pPr>
    </w:p>
    <w:p>
      <w:pPr>
        <w:spacing w:after="0" w:line="288" w:lineRule="exact"/>
        <w:rPr>
          <w:sz w:val="20"/>
          <w:szCs w:val="20"/>
          <w:color w:val="auto"/>
        </w:rPr>
      </w:pPr>
    </w:p>
    <w:p>
      <w:pPr>
        <w:ind w:left="1080" w:right="400" w:hanging="532"/>
        <w:spacing w:after="0" w:line="259"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9" w:right="179" w:bottom="1440" w:gutter="0" w:footer="0" w:header="0"/>
        </w:sectPr>
      </w:pPr>
    </w:p>
    <w:bookmarkStart w:id="244" w:name="page245"/>
    <w:bookmarkEnd w:id="244"/>
    <w:p>
      <w:pPr>
        <w:ind w:left="1080" w:right="240" w:hanging="532"/>
        <w:spacing w:after="0" w:line="331" w:lineRule="auto"/>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(including clauses 32.30 (</w:t>
      </w:r>
      <w:r>
        <w:rPr>
          <w:rFonts w:ascii="Arial" w:cs="Arial" w:eastAsia="Arial" w:hAnsi="Arial"/>
          <w:sz w:val="16"/>
          <w:szCs w:val="16"/>
          <w:i w:val="1"/>
          <w:iCs w:val="1"/>
          <w:color w:val="auto"/>
        </w:rPr>
        <w:t>All enforcement action through the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and 33.2 (</w:t>
      </w:r>
      <w:r>
        <w:rPr>
          <w:rFonts w:ascii="Arial" w:cs="Arial" w:eastAsia="Arial" w:hAnsi="Arial"/>
          <w:sz w:val="16"/>
          <w:szCs w:val="16"/>
          <w:i w:val="1"/>
          <w:iCs w:val="1"/>
          <w:color w:val="auto"/>
        </w:rPr>
        <w:t>Finance Parties acting together</w:t>
      </w:r>
      <w:r>
        <w:rPr>
          <w:rFonts w:ascii="Arial" w:cs="Arial" w:eastAsia="Arial" w:hAnsi="Arial"/>
          <w:sz w:val="16"/>
          <w:szCs w:val="16"/>
          <w:color w:val="auto"/>
        </w:rPr>
        <w:t>)), separately enforce its rights under the Finance Documents.</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Borrowers' rights and obligations</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68"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238"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99" w:lineRule="exact"/>
        <w:rPr>
          <w:rFonts w:ascii="Arial" w:cs="Arial" w:eastAsia="Arial" w:hAnsi="Arial"/>
          <w:sz w:val="18"/>
          <w:szCs w:val="18"/>
          <w:color w:val="auto"/>
        </w:rPr>
      </w:pPr>
    </w:p>
    <w:p>
      <w:pPr>
        <w:ind w:left="1620" w:right="220" w:hanging="532"/>
        <w:spacing w:after="0" w:line="294" w:lineRule="auto"/>
        <w:tabs>
          <w:tab w:leader="none" w:pos="16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207"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Borrowers under this Agreement will continue or be reinstated as if the discharge, release or arrangement had not occurred.</w:t>
      </w:r>
    </w:p>
    <w:p>
      <w:pPr>
        <w:spacing w:after="0" w:line="210"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obligations of each Borrower under the Finance Documents shall not be affected by an act, omission, matter or thing which, but for this clause (whether or not known to it or any Finance Party), would reduce, release or prejudice any of its obligations under the Finance Documents including:</w:t>
      </w:r>
    </w:p>
    <w:p>
      <w:pPr>
        <w:spacing w:after="0" w:line="383" w:lineRule="exact"/>
        <w:rPr>
          <w:rFonts w:ascii="Arial" w:cs="Arial" w:eastAsia="Arial" w:hAnsi="Arial"/>
          <w:sz w:val="16"/>
          <w:szCs w:val="16"/>
          <w:color w:val="auto"/>
        </w:rPr>
      </w:pPr>
    </w:p>
    <w:p>
      <w:pPr>
        <w:ind w:left="1620" w:hanging="532"/>
        <w:spacing w:after="0"/>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38"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9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65" w:right="219" w:bottom="1440" w:gutter="0" w:footer="0" w:header="0"/>
        </w:sectPr>
      </w:pPr>
    </w:p>
    <w:bookmarkStart w:id="245" w:name="page246"/>
    <w:bookmarkEnd w:id="245"/>
    <w:p>
      <w:pPr>
        <w:ind w:left="1080" w:hanging="532"/>
        <w:spacing w:after="0" w:line="268" w:lineRule="auto"/>
        <w:tabs>
          <w:tab w:leader="none" w:pos="10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220"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to claim any contribution from any other Obligor or any guarantor of any Obligor's obligations under the Finance Documents; and/or</w:t>
      </w:r>
    </w:p>
    <w:p>
      <w:pPr>
        <w:spacing w:after="0" w:line="261" w:lineRule="exact"/>
        <w:rPr>
          <w:rFonts w:ascii="Arial" w:cs="Arial" w:eastAsia="Arial" w:hAnsi="Arial"/>
          <w:sz w:val="16"/>
          <w:szCs w:val="16"/>
          <w:color w:val="auto"/>
        </w:rPr>
      </w:pPr>
    </w:p>
    <w:p>
      <w:pPr>
        <w:ind w:left="1080" w:right="140" w:hanging="532"/>
        <w:spacing w:after="0" w:line="259" w:lineRule="auto"/>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guarantee or security taken pursuant to, or in connection with, the Finance Documents by any Finance Party; and/or</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00" w:lineRule="exact"/>
        <w:rPr>
          <w:sz w:val="20"/>
          <w:szCs w:val="20"/>
          <w:color w:val="auto"/>
        </w:rPr>
      </w:pPr>
    </w:p>
    <w:p>
      <w:pPr>
        <w:spacing w:after="0" w:line="295" w:lineRule="exact"/>
        <w:rPr>
          <w:sz w:val="20"/>
          <w:szCs w:val="20"/>
          <w:color w:val="auto"/>
        </w:rPr>
      </w:pPr>
    </w:p>
    <w:p>
      <w:pPr>
        <w:ind w:left="540" w:right="740"/>
        <w:spacing w:after="0" w:line="268" w:lineRule="auto"/>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80"/>
          </w:cols>
          <w:pgMar w:left="700" w:top="65" w:right="219" w:bottom="1440" w:gutter="0" w:footer="0" w:header="0"/>
        </w:sectPr>
      </w:pPr>
    </w:p>
    <w:bookmarkStart w:id="246" w:name="page247"/>
    <w:bookmarkEnd w:id="246"/>
    <w:p>
      <w:pPr>
        <w:ind w:left="1080" w:right="180"/>
        <w:spacing w:after="0" w:line="268" w:lineRule="auto"/>
        <w:rPr>
          <w:sz w:val="20"/>
          <w:szCs w:val="20"/>
          <w:color w:val="auto"/>
        </w:rPr>
      </w:pPr>
      <w:r>
        <w:rPr>
          <w:rFonts w:ascii="Arial" w:cs="Arial" w:eastAsia="Arial" w:hAnsi="Arial"/>
          <w:sz w:val="18"/>
          <w:szCs w:val="18"/>
          <w:color w:val="auto"/>
        </w:rPr>
        <w:t>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80" w:lineRule="exact"/>
        <w:rPr>
          <w:sz w:val="20"/>
          <w:szCs w:val="20"/>
          <w:color w:val="auto"/>
        </w:rPr>
      </w:pPr>
    </w:p>
    <w:p>
      <w:pPr>
        <w:jc w:val="right"/>
        <w:ind w:right="10360" w:firstLine="8"/>
        <w:spacing w:after="0" w:line="576" w:lineRule="auto"/>
        <w:tabs>
          <w:tab w:leader="none" w:pos="483"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Purpose 3.1    Purpose</w:t>
      </w: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The Borrowers shall apply all amounts borrowed under the Facility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Use</w:t>
      </w:r>
    </w:p>
    <w:p>
      <w:pPr>
        <w:sectPr>
          <w:pgSz w:w="11900" w:h="16838" w:orient="portrait"/>
          <w:cols w:equalWidth="0" w:num="1">
            <w:col w:w="11520"/>
          </w:cols>
          <w:pgMar w:left="160" w:top="5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Facility shall be made available to the Borrowers for the purpose of assisting the Borrowers to (a) refinance in full the Existing Indebtedness and (b) for general corporate and working capital purposes of the Group and, in the case of Rollover Loans under a Revolving Loan Ship Tranche, to repay maturing Revolving Loans under the same Revolving Loan Ship Tranche.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Utilisation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precedent to first Utilisation and to each further Utilisation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Ship Commitment in respect of each Ship may only be drawn down under this Agreement if</w:t>
      </w:r>
    </w:p>
    <w:p>
      <w:pPr>
        <w:spacing w:after="0" w:line="239" w:lineRule="exact"/>
        <w:rPr>
          <w:sz w:val="20"/>
          <w:szCs w:val="20"/>
          <w:color w:val="auto"/>
        </w:rPr>
      </w:pPr>
    </w:p>
    <w:p>
      <w:pPr>
        <w:ind w:left="540" w:right="520" w:hanging="532"/>
        <w:spacing w:after="0" w:line="259"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or before the Utilisation of the first Revolving Loan for each Ship, the Agent, or its duly authorised representative, has received all of the documents and evidence listed in Schedule 3, Part 1 (</w:t>
      </w:r>
      <w:r>
        <w:rPr>
          <w:rFonts w:ascii="Arial" w:cs="Arial" w:eastAsia="Arial" w:hAnsi="Arial"/>
          <w:sz w:val="18"/>
          <w:szCs w:val="18"/>
          <w:i w:val="1"/>
          <w:iCs w:val="1"/>
          <w:color w:val="auto"/>
        </w:rPr>
        <w:t>Conditions precedent to first Utilisation</w:t>
      </w:r>
      <w:r>
        <w:rPr>
          <w:rFonts w:ascii="Arial" w:cs="Arial" w:eastAsia="Arial" w:hAnsi="Arial"/>
          <w:sz w:val="18"/>
          <w:szCs w:val="18"/>
          <w:color w:val="auto"/>
        </w:rPr>
        <w:t>) in relation to such Ship, in form and substance satisfactory to the Agent; and</w:t>
      </w:r>
    </w:p>
    <w:p>
      <w:pPr>
        <w:spacing w:after="0" w:line="207"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on or before each Utilisation of each Revolving Loan for each Ship, following the first Utilisation of the first Revolving Loan for each Ship (but not in respect of any Rollover Loan), the Agent, or its duly authorised representative, has received all of the documents and evidence listed in Schedule 3, Part 2 (</w:t>
      </w:r>
      <w:r>
        <w:rPr>
          <w:rFonts w:ascii="Arial" w:cs="Arial" w:eastAsia="Arial" w:hAnsi="Arial"/>
          <w:sz w:val="16"/>
          <w:szCs w:val="16"/>
          <w:i w:val="1"/>
          <w:iCs w:val="1"/>
          <w:color w:val="auto"/>
        </w:rPr>
        <w:t>Conditions precedent to each further Utilisation</w:t>
      </w:r>
      <w:r>
        <w:rPr>
          <w:rFonts w:ascii="Arial" w:cs="Arial" w:eastAsia="Arial" w:hAnsi="Arial"/>
          <w:sz w:val="16"/>
          <w:szCs w:val="16"/>
          <w:color w:val="auto"/>
        </w:rPr>
        <w:t>) in relation to each Ship in form and substance satisfactory to the Agent.</w:t>
      </w:r>
    </w:p>
    <w:p>
      <w:pPr>
        <w:spacing w:after="0" w:line="200" w:lineRule="exact"/>
        <w:rPr>
          <w:sz w:val="20"/>
          <w:szCs w:val="20"/>
          <w:color w:val="auto"/>
        </w:rPr>
      </w:pPr>
    </w:p>
    <w:p>
      <w:pPr>
        <w:sectPr>
          <w:pgSz w:w="11900" w:h="16838" w:orient="portrait"/>
          <w:cols w:equalWidth="0" w:num="2">
            <w:col w:w="220" w:space="320"/>
            <w:col w:w="10980"/>
          </w:cols>
          <w:pgMar w:left="160" w:top="51" w:right="219" w:bottom="1440" w:gutter="0" w:footer="0" w:header="0"/>
          <w:type w:val="continuous"/>
        </w:sectPr>
      </w:pP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Notice to Lenders</w:t>
      </w:r>
    </w:p>
    <w:p>
      <w:pPr>
        <w:spacing w:after="0" w:line="258" w:lineRule="exact"/>
        <w:rPr>
          <w:sz w:val="20"/>
          <w:szCs w:val="20"/>
          <w:color w:val="auto"/>
        </w:rPr>
      </w:pPr>
    </w:p>
    <w:p>
      <w:pPr>
        <w:ind w:left="540" w:right="240"/>
        <w:spacing w:after="0" w:line="256" w:lineRule="auto"/>
        <w:rPr>
          <w:sz w:val="20"/>
          <w:szCs w:val="20"/>
          <w:color w:val="auto"/>
        </w:rPr>
      </w:pPr>
      <w:r>
        <w:rPr>
          <w:rFonts w:ascii="Arial" w:cs="Arial" w:eastAsia="Arial" w:hAnsi="Arial"/>
          <w:sz w:val="18"/>
          <w:szCs w:val="18"/>
          <w:color w:val="auto"/>
        </w:rPr>
        <w:t>The Agent shall notify the Borrowers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Further conditions precedent</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tabs>
          <w:tab w:leader="none" w:pos="10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respect of a Revolving Loan which is not a Rollover Loan, if on the date of the Utilisation Request and on the proposed Utilisation Date:</w:t>
      </w:r>
    </w:p>
    <w:p>
      <w:pPr>
        <w:spacing w:after="0" w:line="200" w:lineRule="exact"/>
        <w:rPr>
          <w:sz w:val="20"/>
          <w:szCs w:val="20"/>
          <w:color w:val="auto"/>
        </w:rPr>
      </w:pPr>
    </w:p>
    <w:p>
      <w:pPr>
        <w:spacing w:after="0" w:line="291" w:lineRule="exact"/>
        <w:rPr>
          <w:sz w:val="20"/>
          <w:szCs w:val="20"/>
          <w:color w:val="auto"/>
        </w:rPr>
      </w:pPr>
    </w:p>
    <w:p>
      <w:pPr>
        <w:ind w:left="5700" w:right="4920" w:hanging="4612"/>
        <w:spacing w:after="0" w:line="613" w:lineRule="auto"/>
        <w:tabs>
          <w:tab w:leader="none" w:pos="163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 Default is continuing or would result from the proposed Utilisation;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34187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type w:val="continuous"/>
        </w:sectPr>
      </w:pPr>
    </w:p>
    <w:bookmarkStart w:id="247" w:name="page248"/>
    <w:bookmarkEnd w:id="247"/>
    <w:p>
      <w:pPr>
        <w:ind w:left="1620" w:right="40" w:hanging="532"/>
        <w:spacing w:after="0" w:line="268"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Repeating Representations are true and, in relation to the first Utilisation under this Agreement, all of the other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(except the Ship Representations) are true;</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where the proposed Utilisation Date is to be the first day of the Mortgage Period for a Ship, the Ship Representations are true;</w:t>
      </w:r>
    </w:p>
    <w:p>
      <w:pPr>
        <w:spacing w:after="0" w:line="261" w:lineRule="exact"/>
        <w:rPr>
          <w:rFonts w:ascii="Arial" w:cs="Arial" w:eastAsia="Arial" w:hAnsi="Arial"/>
          <w:sz w:val="16"/>
          <w:szCs w:val="16"/>
          <w:color w:val="auto"/>
        </w:rPr>
      </w:pPr>
    </w:p>
    <w:p>
      <w:pPr>
        <w:ind w:left="1620" w:right="40" w:hanging="532"/>
        <w:spacing w:after="0" w:line="259"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Total Loss Date has occurred in relation to the applicable Ship;</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Security Value would not be less than the Minimum Value immediately after the proposed Utilisation; and</w:t>
      </w:r>
    </w:p>
    <w:p>
      <w:pPr>
        <w:spacing w:after="0" w:line="23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prepayment or cancellation event has occurred under clause 7.9 (</w:t>
      </w:r>
      <w:r>
        <w:rPr>
          <w:rFonts w:ascii="Arial" w:cs="Arial" w:eastAsia="Arial" w:hAnsi="Arial"/>
          <w:sz w:val="18"/>
          <w:szCs w:val="18"/>
          <w:i w:val="1"/>
          <w:iCs w:val="1"/>
          <w:color w:val="auto"/>
        </w:rPr>
        <w:t>Mandatory prepayment and cancellation following non-compliance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Sanctions</w:t>
      </w:r>
      <w:r>
        <w:rPr>
          <w:rFonts w:ascii="Arial" w:cs="Arial" w:eastAsia="Arial" w:hAnsi="Arial"/>
          <w:sz w:val="18"/>
          <w:szCs w:val="18"/>
          <w:color w:val="auto"/>
        </w:rPr>
        <w:t>); 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respect of a Rollover Loan, if on the date of the Utilisation Request and on the proposed Utilisation Date: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the proposed Utilisation;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Repeating Representations are true;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no Total Loss Date has occurred in relation to the applicable Ship; and</w:t>
      </w:r>
    </w:p>
    <w:p>
      <w:pPr>
        <w:spacing w:after="0" w:line="25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no prepayment or cancellation event has occurred under clause 7.9 </w:t>
      </w:r>
      <w:r>
        <w:rPr>
          <w:rFonts w:ascii="Arial" w:cs="Arial" w:eastAsia="Arial" w:hAnsi="Arial"/>
          <w:sz w:val="18"/>
          <w:szCs w:val="18"/>
          <w:i w:val="1"/>
          <w:iCs w:val="1"/>
          <w:color w:val="auto"/>
        </w:rPr>
        <w:t>(Mandatory prepayment and cancellation following non-compliance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Sanctions).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Waiver of conditions precedent</w:t>
      </w:r>
    </w:p>
    <w:p>
      <w:pPr>
        <w:spacing w:after="0" w:line="245"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w:t>
      </w:r>
      <w:r>
        <w:rPr>
          <w:rFonts w:ascii="Arial" w:cs="Arial" w:eastAsia="Arial" w:hAnsi="Arial"/>
          <w:sz w:val="16"/>
          <w:szCs w:val="16"/>
          <w:b w:val="1"/>
          <w:bCs w:val="1"/>
          <w:color w:val="auto"/>
        </w:rPr>
        <w:t>provided however that</w:t>
      </w:r>
      <w:r>
        <w:rPr>
          <w:rFonts w:ascii="Arial" w:cs="Arial" w:eastAsia="Arial" w:hAnsi="Arial"/>
          <w:sz w:val="16"/>
          <w:szCs w:val="16"/>
          <w:color w:val="auto"/>
        </w:rPr>
        <w:t xml:space="preserve"> the conditions set out under paragraphs 2, 3, 6, 7, 8, 9(a), 10 and 11 of Part 1 of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may only be waived by the Agent, acting on the instructions of all the Lenders.</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Condition Subsequent</w:t>
      </w:r>
    </w:p>
    <w:p>
      <w:pPr>
        <w:spacing w:after="0" w:line="245"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legal opinions referred to in section 3 (</w:t>
      </w:r>
      <w:r>
        <w:rPr>
          <w:rFonts w:ascii="Arial" w:cs="Arial" w:eastAsia="Arial" w:hAnsi="Arial"/>
          <w:sz w:val="18"/>
          <w:szCs w:val="18"/>
          <w:i w:val="1"/>
          <w:iCs w:val="1"/>
          <w:color w:val="auto"/>
        </w:rPr>
        <w:t>Legal Opinions)</w:t>
      </w:r>
      <w:r>
        <w:rPr>
          <w:rFonts w:ascii="Arial" w:cs="Arial" w:eastAsia="Arial" w:hAnsi="Arial"/>
          <w:sz w:val="18"/>
          <w:szCs w:val="18"/>
          <w:color w:val="auto"/>
        </w:rPr>
        <w:t xml:space="preserve"> of Schedule 3, Part 1 (</w:t>
      </w:r>
      <w:r>
        <w:rPr>
          <w:rFonts w:ascii="Arial" w:cs="Arial" w:eastAsia="Arial" w:hAnsi="Arial"/>
          <w:sz w:val="18"/>
          <w:szCs w:val="18"/>
          <w:i w:val="1"/>
          <w:iCs w:val="1"/>
          <w:color w:val="auto"/>
        </w:rPr>
        <w:t>Conditions precedent to first Utilisation</w:t>
      </w:r>
      <w:r>
        <w:rPr>
          <w:rFonts w:ascii="Arial" w:cs="Arial" w:eastAsia="Arial" w:hAnsi="Arial"/>
          <w:sz w:val="18"/>
          <w:szCs w:val="18"/>
          <w:color w:val="auto"/>
        </w:rPr>
        <w:t xml:space="preserve">) shall be issued and delivered to the Agent in the agreed form no later than 3 days after the </w:t>
      </w:r>
      <w:r>
        <w:rPr>
          <w:rFonts w:ascii="Arial" w:cs="Arial" w:eastAsia="Arial" w:hAnsi="Arial"/>
          <w:sz w:val="18"/>
          <w:szCs w:val="18"/>
          <w:i w:val="1"/>
          <w:iCs w:val="1"/>
          <w:color w:val="auto"/>
        </w:rPr>
        <w:t>first Utilisation</w:t>
      </w:r>
      <w:r>
        <w:rPr>
          <w:rFonts w:ascii="Arial" w:cs="Arial" w:eastAsia="Arial" w:hAnsi="Arial"/>
          <w:sz w:val="18"/>
          <w:szCs w:val="18"/>
          <w:color w:val="auto"/>
        </w:rPr>
        <w:t xml:space="preserve"> Date.</w:t>
      </w:r>
    </w:p>
    <w:p>
      <w:pPr>
        <w:spacing w:after="0" w:line="207" w:lineRule="exact"/>
        <w:rPr>
          <w:sz w:val="20"/>
          <w:szCs w:val="20"/>
          <w:color w:val="auto"/>
        </w:rPr>
      </w:pPr>
    </w:p>
    <w:p>
      <w:pPr>
        <w:ind w:left="540" w:hanging="532"/>
        <w:spacing w:after="0"/>
        <w:tabs>
          <w:tab w:leader="none" w:pos="5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Delivery of a Utilisation Request</w:t>
      </w:r>
    </w:p>
    <w:p>
      <w:pPr>
        <w:spacing w:after="0" w:line="245"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The Borrowers may utilise the Facility by delivery to the Agent of a duly completed Utilisation Request not later than 11:00 a.m. eight (8) Business Days before the proposed Utilisation Date.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65" w:right="239" w:bottom="1440" w:gutter="0" w:footer="0" w:header="0"/>
        </w:sectPr>
      </w:pPr>
    </w:p>
    <w:bookmarkStart w:id="248" w:name="page249"/>
    <w:bookmarkEnd w:id="248"/>
    <w:p>
      <w:pPr>
        <w:spacing w:after="0"/>
        <w:tabs>
          <w:tab w:leader="none" w:pos="5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Completion of a Utilisation Request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proposed Utilisation Date is a Business Day falling not later than the Last Availability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it relates to the Utilisation of Revolving Loans under all available Ship Commitments in the Relevant Proportion.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Only one Revolving Loan under each Revolving Loan Ship Tranche may be requested in each Utilisation Request. A Utilisation Request for a Revolving Loan may only be issued if a Utilisation Request is issued for a Revolving Loan in respect of all of the Revolving Loan Ship Tranches in the Relevant Proportion.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Borrowers may not deliver more than six (6) Utilisation Requests per calendar year.</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Subject to clause 6.1(b) (</w:t>
      </w:r>
      <w:r>
        <w:rPr>
          <w:rFonts w:ascii="Arial" w:cs="Arial" w:eastAsia="Arial" w:hAnsi="Arial"/>
          <w:sz w:val="16"/>
          <w:szCs w:val="16"/>
          <w:i w:val="1"/>
          <w:iCs w:val="1"/>
          <w:color w:val="auto"/>
        </w:rPr>
        <w:t>Repayment of Facility</w:t>
      </w:r>
      <w:r>
        <w:rPr>
          <w:rFonts w:ascii="Arial" w:cs="Arial" w:eastAsia="Arial" w:hAnsi="Arial"/>
          <w:sz w:val="16"/>
          <w:szCs w:val="16"/>
          <w:color w:val="auto"/>
        </w:rPr>
        <w:t>), if a Utilisation Request is not provided for a Revolving Loan under a Revolving Loan Ship Tranche and the Borrowers have not stated that such Revolving Loan will be repaid at the end of the Interest Period applicable to it, the Agent shall (provided that the Borrowers would not otherwise be restricted from utilising the Revolving Loan Facility and/or that Revolving Loan Ship Tranche) treat that Revolving Loan as a Rollover Loan under that Revolving Loan Ship Tranche, in which case a Utilisation Request shall be deemed to have been submitted in an amount equal to the amount of such Revolving Loan and with a proposed Interest Period of three (3) months.</w:t>
      </w:r>
    </w:p>
    <w:p>
      <w:pPr>
        <w:spacing w:after="0" w:line="3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total amount available and advanced under all of the Revolving Loan Ship Tranches under the Facility, shall, not exceed the lower of:</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tabs>
          <w:tab w:leader="none" w:pos="16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Total Commitments;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aggregate of the Ship Commitments of all of the Ships.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total amount advanced under all of the Revolving Loan Ship Tranches under the facility shall not exceed the amount in dollars which is equal to 75% of the aggregate of the market values of all Ships as at such Utilisation Date (other than the Utilisation Date of a Rollover Loan) as demonstrated by valuations pursuant to Schedule 3, Part 1 (</w:t>
      </w:r>
      <w:r>
        <w:rPr>
          <w:rFonts w:ascii="Arial" w:cs="Arial" w:eastAsia="Arial" w:hAnsi="Arial"/>
          <w:sz w:val="18"/>
          <w:szCs w:val="18"/>
          <w:i w:val="1"/>
          <w:iCs w:val="1"/>
          <w:color w:val="auto"/>
        </w:rPr>
        <w:t>Conditions precedent to first Utilisation</w:t>
      </w:r>
      <w:r>
        <w:rPr>
          <w:rFonts w:ascii="Arial" w:cs="Arial" w:eastAsia="Arial" w:hAnsi="Arial"/>
          <w:sz w:val="18"/>
          <w:szCs w:val="18"/>
          <w:color w:val="auto"/>
        </w:rPr>
        <w:t>) or, as the case may be, Part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each further Utilisation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Facility shall be sub-divided into five (5) Revolving Loan Ship Tranches, one in relation to each Ship and each one in the maximum amount of the Ship Commitment for that 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49" w:name="page250"/>
    <w:bookmarkEnd w:id="249"/>
    <w:p>
      <w:pPr>
        <w:ind w:left="1080" w:hanging="532"/>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proposed Revolving Loan specified in a Utilisation Request in relation to a Ship after the first Utilisation Date, must: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be a minimum of $5,000,000 and integral multiples of $1,000,000;</w:t>
      </w:r>
    </w:p>
    <w:p>
      <w:pPr>
        <w:spacing w:after="0" w:line="238"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not exceed (when aggregated with the other outstanding Revolving Loans under that Revolving Loan Ship Tranche) the Ship Commitment for that Ship;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be in the Relevant Proportion.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Revolving Loan under a Revolving Loan Ship Tranche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utilised under the Ship Commitment for the Ship to which that Revolving Loan Ship Tranche relates, namely: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Revolving Loan made under Revolving Loan Ship Tranche A shall be made available under the Ship Commitment for Ship A;</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Revolving Loan made under Revolving Loan Ship Tranche B shall be made available under the Ship Commitment for Ship B;</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Revolving Loan made under Revolving Loan Ship Tranche C shall be made available under the Ship Commitment for Ship C;</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Revolving Loan made under Revolving Loan Ship Tranche D shall be made available under the Ship Commitment for Ship D;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Revolving Loan made under Revolving Loan Ship Tranche E shall be made available under the Ship Commitment for Ship E.</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00" w:lineRule="exact"/>
        <w:rPr>
          <w:sz w:val="20"/>
          <w:szCs w:val="20"/>
          <w:color w:val="auto"/>
        </w:rPr>
      </w:pPr>
    </w:p>
    <w:p>
      <w:pPr>
        <w:spacing w:after="0" w:line="288" w:lineRule="exact"/>
        <w:rPr>
          <w:sz w:val="20"/>
          <w:szCs w:val="20"/>
          <w:color w:val="auto"/>
        </w:rPr>
      </w:pPr>
    </w:p>
    <w:p>
      <w:pPr>
        <w:ind w:left="1080" w:right="220" w:hanging="532"/>
        <w:spacing w:after="0" w:line="331" w:lineRule="auto"/>
        <w:tabs>
          <w:tab w:leader="none" w:pos="10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the conditions set out in this Agreement have been met, each Lender shall make its participation in each Loan available by providing funds or a copy of an irrevocable payment order to the Agent no later than 14:00 Oslo time on the Utilisation Date through its Facility Office.</w:t>
      </w:r>
    </w:p>
    <w:p>
      <w:pPr>
        <w:spacing w:after="0" w:line="154"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amount of each Lender's participation in a Revolving Loan will be equal to the proportion borne by its Commitment to the Total Commitments immediately prior to making the relevant Revolving Loan.</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each Revolving Loan under which it is utilised and, the Revolving Loan Ship Tranche to which it relates and the amount of its participation in such Revolving Loan, in each case by 16:00 pm (London time) on the sixth Business Day before the proposed Utilisation Date.</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Revolving Loan (and its own participation in it, if any) to the Borrowers or for the account of any of them or to any Existing Indebtedness Lender, in each case in accordance with the instructions contained in the relevant Utilisation Request.</w:t>
      </w:r>
    </w:p>
    <w:p>
      <w:pPr>
        <w:spacing w:after="0" w:line="200" w:lineRule="exact"/>
        <w:rPr>
          <w:sz w:val="20"/>
          <w:szCs w:val="20"/>
          <w:color w:val="auto"/>
        </w:rPr>
      </w:pPr>
    </w:p>
    <w:p>
      <w:pPr>
        <w:spacing w:after="0" w:line="231" w:lineRule="exact"/>
        <w:rPr>
          <w:sz w:val="20"/>
          <w:szCs w:val="20"/>
          <w:color w:val="auto"/>
        </w:rPr>
      </w:pPr>
    </w:p>
    <w:p>
      <w:pPr>
        <w:ind w:left="540" w:hanging="532"/>
        <w:spacing w:after="0"/>
        <w:tabs>
          <w:tab w:leader="none" w:pos="5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Repayment of Facility</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Borrowers shall repay each Revolving Loan on the last day of its Interest Period.</w:t>
      </w:r>
    </w:p>
    <w:p>
      <w:pPr>
        <w:spacing w:after="0" w:line="252"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Without prejudice to the Borrowers' obligation under paragraph (a) above, if one or more Revolving Loans under a Revolving Loan Ship Tranche are to be made available to the Borrowers on the same day that a maturing Revolving Loan for that same Revolving Loan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250" w:name="page251"/>
    <w:bookmarkEnd w:id="250"/>
    <w:p>
      <w:pPr>
        <w:ind w:left="1080" w:right="260"/>
        <w:spacing w:after="0" w:line="256" w:lineRule="auto"/>
        <w:rPr>
          <w:sz w:val="20"/>
          <w:szCs w:val="20"/>
          <w:color w:val="auto"/>
        </w:rPr>
      </w:pPr>
      <w:r>
        <w:rPr>
          <w:rFonts w:ascii="Arial" w:cs="Arial" w:eastAsia="Arial" w:hAnsi="Arial"/>
          <w:sz w:val="18"/>
          <w:szCs w:val="18"/>
          <w:color w:val="auto"/>
        </w:rPr>
        <w:t>Ship Tranche is due to be repaid by the Borrowers and the proportion borne by each Lender's participation in the maturing Revolving Loan to the amount of that maturing Revolving Loan is the same as the proportion borne by that Lender's participation in the new Revolving Loans to the aggregate amount of those new Revolving Loans, the aggregate amount of the new Revolving Loans shall be treated as if applied in or towards repayment of the maturing Revolving Loan, so that:</w:t>
      </w:r>
    </w:p>
    <w:p>
      <w:pPr>
        <w:spacing w:after="0" w:line="210" w:lineRule="exact"/>
        <w:rPr>
          <w:sz w:val="20"/>
          <w:szCs w:val="20"/>
          <w:color w:val="auto"/>
        </w:rPr>
      </w:pPr>
    </w:p>
    <w:p>
      <w:pPr>
        <w:ind w:left="1620" w:hanging="532"/>
        <w:spacing w:after="0"/>
        <w:tabs>
          <w:tab w:leader="none" w:pos="1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the amount of the maturing Revolving Loan exceeds the aggregate amount of the new Revolving Loans: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right="60" w:hanging="532"/>
        <w:spacing w:after="0" w:line="268" w:lineRule="auto"/>
        <w:tabs>
          <w:tab w:leader="none" w:pos="21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the Borrowers will only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an amount equal to that excess; and</w:t>
      </w:r>
    </w:p>
    <w:p>
      <w:pPr>
        <w:spacing w:after="0" w:line="199" w:lineRule="exact"/>
        <w:rPr>
          <w:rFonts w:ascii="Arial" w:cs="Arial" w:eastAsia="Arial" w:hAnsi="Arial"/>
          <w:sz w:val="18"/>
          <w:szCs w:val="18"/>
          <w:color w:val="auto"/>
        </w:rPr>
      </w:pPr>
    </w:p>
    <w:p>
      <w:pPr>
        <w:jc w:val="both"/>
        <w:ind w:left="2160" w:hanging="532"/>
        <w:spacing w:after="0" w:line="306" w:lineRule="auto"/>
        <w:tabs>
          <w:tab w:leader="none" w:pos="2160" w:val="left"/>
        </w:tabs>
        <w:numPr>
          <w:ilvl w:val="2"/>
          <w:numId w:val="254"/>
        </w:numPr>
        <w:rPr>
          <w:rFonts w:ascii="Arial" w:cs="Arial" w:eastAsia="Arial" w:hAnsi="Arial"/>
          <w:sz w:val="16"/>
          <w:szCs w:val="16"/>
          <w:color w:val="auto"/>
        </w:rPr>
      </w:pPr>
      <w:r>
        <w:rPr>
          <w:rFonts w:ascii="Arial" w:cs="Arial" w:eastAsia="Arial" w:hAnsi="Arial"/>
          <w:sz w:val="16"/>
          <w:szCs w:val="16"/>
          <w:color w:val="auto"/>
        </w:rPr>
        <w:t>each Lender's participation in the new Revolving Loans shall be treated as having been made available and applied by the Borrowers in or towards repayment of that Lender's participation in the maturing Revolving Loan and that Lender will not be required to make a payment under clause 35.1 (</w:t>
      </w:r>
      <w:r>
        <w:rPr>
          <w:rFonts w:ascii="Arial" w:cs="Arial" w:eastAsia="Arial" w:hAnsi="Arial"/>
          <w:sz w:val="16"/>
          <w:szCs w:val="16"/>
          <w:i w:val="1"/>
          <w:iCs w:val="1"/>
          <w:color w:val="auto"/>
        </w:rPr>
        <w:t>Payments to the Agent</w:t>
      </w:r>
      <w:r>
        <w:rPr>
          <w:rFonts w:ascii="Arial" w:cs="Arial" w:eastAsia="Arial" w:hAnsi="Arial"/>
          <w:sz w:val="16"/>
          <w:szCs w:val="16"/>
          <w:color w:val="auto"/>
        </w:rPr>
        <w:t>) in respect of its participation in the new Revolving Loans; and</w:t>
      </w:r>
    </w:p>
    <w:p>
      <w:pPr>
        <w:spacing w:after="0" w:line="389" w:lineRule="exact"/>
        <w:rPr>
          <w:rFonts w:ascii="Arial" w:cs="Arial" w:eastAsia="Arial" w:hAnsi="Arial"/>
          <w:sz w:val="16"/>
          <w:szCs w:val="16"/>
          <w:color w:val="auto"/>
        </w:rPr>
      </w:pPr>
    </w:p>
    <w:p>
      <w:pPr>
        <w:ind w:left="1620" w:hanging="532"/>
        <w:spacing w:after="0"/>
        <w:tabs>
          <w:tab w:leader="none" w:pos="1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the amount of the maturing Revolving Loan is equal to or less than the aggregate amount of the new Revolving Loans: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the Borrowers will not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2160" w:right="100" w:hanging="532"/>
        <w:spacing w:after="0" w:line="254" w:lineRule="auto"/>
        <w:tabs>
          <w:tab w:leader="none" w:pos="21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Loans only to the extent that its participation in the new Revolving Loans exceeds that Lender's participation in the maturing Revolving Loan and the remainder of that Lender's participation in the new Revolving Loans shall be treated as having been made available and applied by the Borrowers in or towards repayment of that Lender's participation in the maturing Revolving Loan.</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the Final Reduction Date, the Borrowers shall repay to the Lenders all the Revolving Loans in full.</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Scheduled reduction of Facility</w:t>
      </w:r>
    </w:p>
    <w:p>
      <w:pPr>
        <w:spacing w:after="0" w:line="200" w:lineRule="exact"/>
        <w:rPr>
          <w:sz w:val="20"/>
          <w:szCs w:val="20"/>
          <w:color w:val="auto"/>
        </w:rPr>
      </w:pPr>
    </w:p>
    <w:p>
      <w:pPr>
        <w:spacing w:after="0" w:line="288" w:lineRule="exact"/>
        <w:rPr>
          <w:sz w:val="20"/>
          <w:szCs w:val="20"/>
          <w:color w:val="auto"/>
        </w:rPr>
      </w:pPr>
    </w:p>
    <w:p>
      <w:pPr>
        <w:ind w:left="1080" w:right="340" w:hanging="532"/>
        <w:spacing w:after="0" w:line="298" w:lineRule="auto"/>
        <w:tabs>
          <w:tab w:leader="none" w:pos="10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the extent not previously reduced, the Ship Commitment in respect of each Ship shall be reduced by instalments on each Reduction Date in respect of the relevant Ship by the amount specified in Schedule 8 (</w:t>
      </w:r>
      <w:r>
        <w:rPr>
          <w:rFonts w:ascii="Arial" w:cs="Arial" w:eastAsia="Arial" w:hAnsi="Arial"/>
          <w:sz w:val="16"/>
          <w:szCs w:val="16"/>
          <w:i w:val="1"/>
          <w:iCs w:val="1"/>
          <w:color w:val="auto"/>
        </w:rPr>
        <w:t>Reduction Schedule</w:t>
      </w:r>
      <w:r>
        <w:rPr>
          <w:rFonts w:ascii="Arial" w:cs="Arial" w:eastAsia="Arial" w:hAnsi="Arial"/>
          <w:sz w:val="16"/>
          <w:szCs w:val="16"/>
          <w:color w:val="auto"/>
        </w:rPr>
        <w:t>) (as revised by clause 6.3) (</w:t>
      </w:r>
      <w:r>
        <w:rPr>
          <w:rFonts w:ascii="Arial" w:cs="Arial" w:eastAsia="Arial" w:hAnsi="Arial"/>
          <w:sz w:val="16"/>
          <w:szCs w:val="16"/>
          <w:i w:val="1"/>
          <w:iCs w:val="1"/>
          <w:color w:val="auto"/>
        </w:rPr>
        <w:t>Adjustment of scheduled</w:t>
      </w:r>
      <w:r>
        <w:rPr>
          <w:rFonts w:ascii="Arial" w:cs="Arial" w:eastAsia="Arial" w:hAnsi="Arial"/>
          <w:sz w:val="16"/>
          <w:szCs w:val="16"/>
          <w:color w:val="auto"/>
        </w:rPr>
        <w:t xml:space="preserve"> </w:t>
      </w:r>
      <w:r>
        <w:rPr>
          <w:rFonts w:ascii="Arial" w:cs="Arial" w:eastAsia="Arial" w:hAnsi="Arial"/>
          <w:sz w:val="16"/>
          <w:szCs w:val="16"/>
          <w:i w:val="1"/>
          <w:iCs w:val="1"/>
          <w:color w:val="auto"/>
        </w:rPr>
        <w:t>reductions</w:t>
      </w:r>
      <w:r>
        <w:rPr>
          <w:rFonts w:ascii="Arial" w:cs="Arial" w:eastAsia="Arial" w:hAnsi="Arial"/>
          <w:sz w:val="16"/>
          <w:szCs w:val="16"/>
          <w:color w:val="auto"/>
        </w:rPr>
        <w:t>), and the Borrowers shall repay the relevant Revolving Loan Ship Tranche by any amount which may be outstanding in excess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Ship Commitment (as so reduced) on the date of each such reduction.</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On the Final Reduction Date (without prejudice to any other provision of this Agreement), the Ship Commitments shall be reduced to zero.</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Adjustment of scheduled reductions</w:t>
      </w:r>
    </w:p>
    <w:p>
      <w:pPr>
        <w:spacing w:after="0" w:line="25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If the Total Commitments have been partially reduced under this Agreement (but other than under clause 6.2 (</w:t>
      </w:r>
      <w:r>
        <w:rPr>
          <w:rFonts w:ascii="Arial" w:cs="Arial" w:eastAsia="Arial" w:hAnsi="Arial"/>
          <w:sz w:val="18"/>
          <w:szCs w:val="18"/>
          <w:i w:val="1"/>
          <w:iCs w:val="1"/>
          <w:color w:val="auto"/>
        </w:rPr>
        <w:t>Scheduled reduction of Facility</w:t>
      </w:r>
      <w:r>
        <w:rPr>
          <w:rFonts w:ascii="Arial" w:cs="Arial" w:eastAsia="Arial" w:hAnsi="Arial"/>
          <w:sz w:val="18"/>
          <w:szCs w:val="18"/>
          <w:color w:val="auto"/>
        </w:rPr>
        <w:t>) before any Reduction Date, each Ship Commitment shall be reduced pro rata and the amount of the instalments by which each Ship Commitment shall be reduced shall be pro rata.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51" w:name="page252"/>
    <w:bookmarkEnd w:id="251"/>
    <w:p>
      <w:pPr>
        <w:ind w:left="540" w:hanging="532"/>
        <w:spacing w:after="0"/>
        <w:tabs>
          <w:tab w:leader="none" w:pos="5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Illegality</w:t>
      </w:r>
    </w:p>
    <w:p>
      <w:pPr>
        <w:spacing w:after="0" w:line="258"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any Revolving Loan or it becomes unlawful for any Affiliate of a Lender for that Lender to do so:</w:t>
      </w:r>
    </w:p>
    <w:p>
      <w:pPr>
        <w:spacing w:after="0" w:line="207" w:lineRule="exact"/>
        <w:rPr>
          <w:sz w:val="20"/>
          <w:szCs w:val="20"/>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shall be reduced accordingly and the remaining Ship Commitments shall be reduced rateably; and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Revolving Loans on the last day of the Interest Period for each of those Revolving Loans occurring after the Agent has notified the Borrowers or, if earlier, the date specified by the Lender in the notice delivered to the Agent (being no earlier than the last day of any applicable grace period permitted by law).</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Change of Control; delisting</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there is a Change of Control, the Borrowers shall promptly notify the Agent upon any Obligor becoming aware of a Change of Control occurring.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becoming notified by any Party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54" w:lineRule="auto"/>
        <w:tabs>
          <w:tab w:leader="none" w:pos="16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Change of Control in respect of the Parent, GasLog Holdings or GP LLC, the Agent shall, if instructed by the Majority Lenders, by notice to the Borrowers, cancel the Total Commitments immediately and declare the Revolving Loans to be payable within ten (10) Business Days from the date of such notice. Upon such notice being given, the Total Commitments shall be forthwith cancelled and the Borrowers shall, within such ten (10) Business Day period, prepay the Revolving Loans in full together with all other amounts owing under this Agreement or any of the other Finance Documents; and</w:t>
      </w:r>
    </w:p>
    <w:p>
      <w:pPr>
        <w:spacing w:after="0" w:line="214" w:lineRule="exact"/>
        <w:rPr>
          <w:rFonts w:ascii="Arial" w:cs="Arial" w:eastAsia="Arial" w:hAnsi="Arial"/>
          <w:sz w:val="18"/>
          <w:szCs w:val="18"/>
          <w:color w:val="auto"/>
        </w:rPr>
      </w:pPr>
    </w:p>
    <w:p>
      <w:pPr>
        <w:ind w:left="1620" w:hanging="532"/>
        <w:spacing w:after="0"/>
        <w:tabs>
          <w:tab w:leader="none" w:pos="162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 Change of Control in respect of a Borrower, clause 7.6 (</w:t>
      </w:r>
      <w:r>
        <w:rPr>
          <w:rFonts w:ascii="Arial" w:cs="Arial" w:eastAsia="Arial" w:hAnsi="Arial"/>
          <w:sz w:val="16"/>
          <w:szCs w:val="16"/>
          <w:i w:val="1"/>
          <w:iCs w:val="1"/>
          <w:color w:val="auto"/>
        </w:rPr>
        <w:t>Sale or Total Loss or Change of Control in respect of a Borrower</w:t>
      </w:r>
      <w:r>
        <w:rPr>
          <w:rFonts w:ascii="Arial" w:cs="Arial" w:eastAsia="Arial" w:hAnsi="Arial"/>
          <w:sz w:val="16"/>
          <w:szCs w:val="16"/>
          <w:color w:val="auto"/>
        </w:rPr>
        <w:t>) shall apply.</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the Parent ceases to be listed on an Approved Exchange for any reason, without the prior consent of the Majority Lenders, other than as a result of a voluntary decision to delist taken by the Parent the Borrowers shall notify the Agent of the same upon its occurrence, and the Agent, upon being notified shall, if instructed by the Majority Lenders, cancel the Total Commitments immediately and declare the Revolving Loans to be payable within ten (10) Business Days from the date of such notice. Upon such notice being given, the Total Commitments shall be immediately cancelled and the Borrowers shall, within such ten (10) Business Day period, prepay the Revolving Loans in full together with all other amounts owing under this Agreement or any of the other Finance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9" w:right="199" w:bottom="1440" w:gutter="0" w:footer="0" w:header="0"/>
        </w:sectPr>
      </w:pPr>
    </w:p>
    <w:bookmarkStart w:id="252" w:name="page253"/>
    <w:bookmarkEnd w:id="252"/>
    <w:p>
      <w:pPr>
        <w:spacing w:after="0"/>
        <w:tabs>
          <w:tab w:leader="none" w:pos="5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Voluntary cancellation</w:t>
      </w:r>
    </w:p>
    <w:p>
      <w:pPr>
        <w:spacing w:after="0" w:line="200" w:lineRule="exact"/>
        <w:rPr>
          <w:sz w:val="20"/>
          <w:szCs w:val="20"/>
          <w:color w:val="auto"/>
        </w:rPr>
      </w:pPr>
    </w:p>
    <w:p>
      <w:pPr>
        <w:spacing w:after="0" w:line="288" w:lineRule="exact"/>
        <w:rPr>
          <w:sz w:val="20"/>
          <w:szCs w:val="20"/>
          <w:color w:val="auto"/>
        </w:rPr>
      </w:pPr>
    </w:p>
    <w:p>
      <w:pPr>
        <w:ind w:left="1080" w:right="300" w:hanging="532"/>
        <w:spacing w:after="0" w:line="331" w:lineRule="auto"/>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Borrowers may, if they give the Agent not less than five (5) Business Days' (or such shorter period as the Majority Lenders may agree) prior written notice, cancel the whole or any part (being a minimum amount of $5,000,000 and a multiple of $1,000,000) of:</w:t>
      </w:r>
    </w:p>
    <w:p>
      <w:pPr>
        <w:spacing w:after="0" w:line="370" w:lineRule="exact"/>
        <w:rPr>
          <w:rFonts w:ascii="Arial" w:cs="Arial" w:eastAsia="Arial" w:hAnsi="Arial"/>
          <w:sz w:val="16"/>
          <w:szCs w:val="16"/>
          <w:color w:val="auto"/>
        </w:rPr>
      </w:pPr>
    </w:p>
    <w:p>
      <w:pPr>
        <w:ind w:left="1620" w:hanging="532"/>
        <w:spacing w:after="0" w:line="256" w:lineRule="auto"/>
        <w:tabs>
          <w:tab w:leader="none" w:pos="16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Facility which is undrawn at the proposed date of cancellation, such cancellation being applied to reduce the Ship Commitments pro rata and the amount of the instalments by which each Ship Commitment shall be reduced under clause 6.2 (</w:t>
      </w:r>
      <w:r>
        <w:rPr>
          <w:rFonts w:ascii="Arial" w:cs="Arial" w:eastAsia="Arial" w:hAnsi="Arial"/>
          <w:sz w:val="18"/>
          <w:szCs w:val="18"/>
          <w:i w:val="1"/>
          <w:iCs w:val="1"/>
          <w:color w:val="auto"/>
        </w:rPr>
        <w:t>Scheduled reduction of Facility</w:t>
      </w:r>
      <w:r>
        <w:rPr>
          <w:rFonts w:ascii="Arial" w:cs="Arial" w:eastAsia="Arial" w:hAnsi="Arial"/>
          <w:sz w:val="18"/>
          <w:szCs w:val="18"/>
          <w:color w:val="auto"/>
        </w:rPr>
        <w:t>) being reduced pro rata. Upon any such cancellation the Total Commitments shall be reduced by the same amount and the relevant Commitments of the Lenders reduced on a pro rata basis; or</w:t>
      </w:r>
    </w:p>
    <w:p>
      <w:pPr>
        <w:spacing w:after="0" w:line="210" w:lineRule="exact"/>
        <w:rPr>
          <w:rFonts w:ascii="Arial" w:cs="Arial" w:eastAsia="Arial" w:hAnsi="Arial"/>
          <w:sz w:val="18"/>
          <w:szCs w:val="18"/>
          <w:color w:val="auto"/>
        </w:rPr>
      </w:pPr>
    </w:p>
    <w:p>
      <w:pPr>
        <w:ind w:left="1620" w:right="320" w:hanging="532"/>
        <w:spacing w:after="0" w:line="259" w:lineRule="auto"/>
        <w:tabs>
          <w:tab w:leader="none" w:pos="16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Ship Commitment which is undrawn at the proposed date of cancellation, such calculation being applied to reduce that Ship Commitment, with the amount of Instalments by which that Ship Commitment shall be reduced under clause 6.2 (</w:t>
      </w:r>
      <w:r>
        <w:rPr>
          <w:rFonts w:ascii="Arial" w:cs="Arial" w:eastAsia="Arial" w:hAnsi="Arial"/>
          <w:sz w:val="18"/>
          <w:szCs w:val="18"/>
          <w:i w:val="1"/>
          <w:iCs w:val="1"/>
          <w:color w:val="auto"/>
        </w:rPr>
        <w:t>Scheduled reduction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being reduced pro rata; or</w:t>
      </w:r>
    </w:p>
    <w:p>
      <w:pPr>
        <w:spacing w:after="0" w:line="220" w:lineRule="exact"/>
        <w:rPr>
          <w:rFonts w:ascii="Arial" w:cs="Arial" w:eastAsia="Arial" w:hAnsi="Arial"/>
          <w:sz w:val="18"/>
          <w:szCs w:val="18"/>
          <w:color w:val="auto"/>
        </w:rPr>
      </w:pPr>
    </w:p>
    <w:p>
      <w:pPr>
        <w:ind w:left="1620" w:hanging="532"/>
        <w:spacing w:after="0"/>
        <w:tabs>
          <w:tab w:leader="none" w:pos="16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Ship Commitment in full.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Borrowers shall be entitled to cancel the whole or any part of the Available Facility which is then drawn under a Ship Commitment, only if the Borrowers prepay such amount of the Revolving Loans under the relevant Revolving Loan Ship Tranche as may be necessary to ensure that the outstanding Revolving Loans under such Ship Tranche after such cancellation will not exceed the then available amount of such Ship Commitment (as so reduced by this clause 7.3).</w:t>
      </w: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Voluntary prepayment</w:t>
      </w:r>
    </w:p>
    <w:p>
      <w:pPr>
        <w:spacing w:after="0" w:line="245"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The Borrowers may, if they give the Agent not less than five (5) Business Days (or such shorter period as the Majority Lenders may agree) prior written notice, prepay the whole or any part of a Revolving Loan (but if in part, being a minimum amount of $5,000,000 and a multiple of $1,000,000), on the last day of an Interest Period in respect of the amount to be prepaid (or any other date subject to payment of any Break Costs).</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Right of replacement or cancellation and prepayment in relation to a single Lender/Right of cancellation in relation to a Defaulting Lender</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Borrowers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right="260"/>
        <w:spacing w:after="0" w:line="306" w:lineRule="auto"/>
        <w:rPr>
          <w:rFonts w:ascii="Arial" w:cs="Arial" w:eastAsia="Arial" w:hAnsi="Arial"/>
          <w:sz w:val="18"/>
          <w:szCs w:val="18"/>
          <w:color w:val="auto"/>
        </w:rPr>
      </w:pPr>
      <w:r>
        <w:rPr>
          <w:rFonts w:ascii="Arial" w:cs="Arial" w:eastAsia="Arial" w:hAnsi="Arial"/>
          <w:sz w:val="16"/>
          <w:szCs w:val="16"/>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Revolving Loans or give the Agent notice of their intention to replace that Lender in accordance with clause 7.5(d).</w:t>
      </w:r>
    </w:p>
    <w:p>
      <w:pPr>
        <w:spacing w:after="0" w:line="173" w:lineRule="exact"/>
        <w:rPr>
          <w:rFonts w:ascii="Arial" w:cs="Arial" w:eastAsia="Arial" w:hAnsi="Arial"/>
          <w:sz w:val="18"/>
          <w:szCs w:val="18"/>
          <w:color w:val="auto"/>
        </w:rPr>
      </w:pPr>
    </w:p>
    <w:p>
      <w:pPr>
        <w:ind w:left="1080" w:right="480" w:hanging="532"/>
        <w:spacing w:after="0" w:line="331" w:lineRule="auto"/>
        <w:tabs>
          <w:tab w:leader="none" w:pos="10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On receipt of a notice referred to in clause 7.5(a) above, the Commitments of that Lender shall immediately be reduced to zero and (unless the Commitments of the relevant Lender are replaced in accordance with clause 7.5(d)) the Total Commitments shall be reduced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53" w:name="page254"/>
    <w:bookmarkEnd w:id="253"/>
    <w:p>
      <w:pPr>
        <w:ind w:left="540"/>
        <w:spacing w:after="0"/>
        <w:rPr>
          <w:sz w:val="20"/>
          <w:szCs w:val="20"/>
          <w:color w:val="auto"/>
        </w:rPr>
      </w:pPr>
      <w:r>
        <w:rPr>
          <w:rFonts w:ascii="Arial" w:cs="Arial" w:eastAsia="Arial" w:hAnsi="Arial"/>
          <w:sz w:val="16"/>
          <w:szCs w:val="16"/>
          <w:color w:val="auto"/>
        </w:rPr>
        <w:t>accordingly. The Agent shall as soon as practicable after receipt of a notice referred to in clause 7.5(a) above, notify all the Lenders.</w:t>
      </w:r>
    </w:p>
    <w:p>
      <w:pPr>
        <w:spacing w:after="0" w:line="262" w:lineRule="exact"/>
        <w:rPr>
          <w:sz w:val="20"/>
          <w:szCs w:val="20"/>
          <w:color w:val="auto"/>
        </w:rPr>
      </w:pPr>
    </w:p>
    <w:p>
      <w:pPr>
        <w:ind w:left="540" w:right="360" w:hanging="532"/>
        <w:spacing w:after="0" w:line="331"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Loans.</w:t>
      </w:r>
    </w:p>
    <w:p>
      <w:pPr>
        <w:spacing w:after="0" w:line="167"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Borrowers may, in the circumstances set out in clause 7.5(a), on 15 Business Days' prior notice to the Agent and that Lender, replace that Lender by requiring that Lender to assign (and, to the extent permitted by law, that Lender shall assign) pursuant to clause 30 (</w:t>
      </w:r>
      <w:r>
        <w:rPr>
          <w:rFonts w:ascii="Arial" w:cs="Arial" w:eastAsia="Arial" w:hAnsi="Arial"/>
          <w:sz w:val="16"/>
          <w:szCs w:val="16"/>
          <w:i w:val="1"/>
          <w:iCs w:val="1"/>
          <w:color w:val="auto"/>
        </w:rPr>
        <w:t>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Lenders</w:t>
      </w:r>
      <w:r>
        <w:rPr>
          <w:rFonts w:ascii="Arial" w:cs="Arial" w:eastAsia="Arial" w:hAnsi="Arial"/>
          <w:sz w:val="16"/>
          <w:szCs w:val="16"/>
          <w:color w:val="auto"/>
        </w:rPr>
        <w:t>) all (and not part only) of its rights under this Agreement to a Lender or other bank, financial institution, trust, fund or other entity selected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Borrowers which confirms its willingness to assume and does assume all the obligations of the assigning Lender in accordance with clause 30 (</w:t>
      </w:r>
      <w:r>
        <w:rPr>
          <w:rFonts w:ascii="Arial" w:cs="Arial" w:eastAsia="Arial" w:hAnsi="Arial"/>
          <w:sz w:val="16"/>
          <w:szCs w:val="16"/>
          <w:i w:val="1"/>
          <w:iCs w:val="1"/>
          <w:color w:val="auto"/>
        </w:rPr>
        <w:t>Changes to the Lenders</w:t>
      </w:r>
      <w:r>
        <w:rPr>
          <w:rFonts w:ascii="Arial" w:cs="Arial" w:eastAsia="Arial" w:hAnsi="Arial"/>
          <w:sz w:val="16"/>
          <w:szCs w:val="16"/>
          <w:color w:val="auto"/>
        </w:rPr>
        <w:t>) for a purchase price in cash payable at the time of the assignment equal to the aggregate of:</w:t>
      </w:r>
    </w:p>
    <w:p>
      <w:pPr>
        <w:spacing w:after="0" w:line="398" w:lineRule="exact"/>
        <w:rPr>
          <w:rFonts w:ascii="Arial" w:cs="Arial" w:eastAsia="Arial" w:hAnsi="Arial"/>
          <w:sz w:val="16"/>
          <w:szCs w:val="16"/>
          <w:color w:val="auto"/>
        </w:rPr>
      </w:pPr>
    </w:p>
    <w:p>
      <w:pPr>
        <w:ind w:left="1080" w:hanging="532"/>
        <w:spacing w:after="0"/>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30.8 (</w:t>
      </w:r>
      <w:r>
        <w:rPr>
          <w:rFonts w:ascii="Arial" w:cs="Arial" w:eastAsia="Arial" w:hAnsi="Arial"/>
          <w:sz w:val="18"/>
          <w:szCs w:val="18"/>
          <w:i w:val="1"/>
          <w:iCs w:val="1"/>
          <w:color w:val="auto"/>
        </w:rPr>
        <w:t>Pro rata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Loans on the date of the assignment;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212" w:lineRule="exact"/>
        <w:rPr>
          <w:rFonts w:ascii="Arial" w:cs="Arial" w:eastAsia="Arial" w:hAnsi="Arial"/>
          <w:sz w:val="18"/>
          <w:szCs w:val="18"/>
          <w:color w:val="auto"/>
        </w:rPr>
      </w:pPr>
    </w:p>
    <w:p>
      <w:pPr>
        <w:ind w:left="1080" w:right="60" w:hanging="532"/>
        <w:spacing w:after="0" w:line="331" w:lineRule="auto"/>
        <w:tabs>
          <w:tab w:leader="none" w:pos="10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370" w:lineRule="exact"/>
        <w:rPr>
          <w:rFonts w:ascii="Arial" w:cs="Arial" w:eastAsia="Arial" w:hAnsi="Arial"/>
          <w:sz w:val="16"/>
          <w:szCs w:val="16"/>
          <w:color w:val="auto"/>
        </w:rPr>
      </w:pPr>
    </w:p>
    <w:p>
      <w:pPr>
        <w:ind w:left="540" w:right="20" w:hanging="532"/>
        <w:spacing w:after="0" w:line="331"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 Lender shall perform the checks described in clause 7.5(e)(iv) above as soon as reasonably practicable following delivery of a notice referred to in clause 7.5(d) above and shall notify the Agent and the Borrowers when it is satisfied that it has complied with those checks.</w:t>
      </w:r>
    </w:p>
    <w:p>
      <w:pPr>
        <w:spacing w:after="0" w:line="154" w:lineRule="exact"/>
        <w:rPr>
          <w:rFonts w:ascii="Arial" w:cs="Arial" w:eastAsia="Arial" w:hAnsi="Arial"/>
          <w:sz w:val="16"/>
          <w:szCs w:val="16"/>
          <w:color w:val="auto"/>
        </w:rPr>
      </w:pPr>
    </w:p>
    <w:p>
      <w:pPr>
        <w:ind w:left="540" w:right="160" w:hanging="532"/>
        <w:spacing w:after="0" w:line="268"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five (5) Business Days' notice of cancellation of the undrawn Commitments of that Lender.</w:t>
      </w:r>
    </w:p>
    <w:p>
      <w:pPr>
        <w:spacing w:after="0" w:line="212"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41.5</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000"/>
          </w:cols>
          <w:pgMar w:left="700" w:top="51" w:right="199" w:bottom="1440" w:gutter="0" w:footer="0" w:header="0"/>
        </w:sectPr>
      </w:pPr>
    </w:p>
    <w:bookmarkStart w:id="254" w:name="page255"/>
    <w:bookmarkEnd w:id="254"/>
    <w:p>
      <w:pPr>
        <w:ind w:left="1080" w:right="14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Replacement of a Defaulting Lender</w:t>
      </w:r>
      <w:r>
        <w:rPr>
          <w:rFonts w:ascii="Arial" w:cs="Arial" w:eastAsia="Arial" w:hAnsi="Arial"/>
          <w:sz w:val="16"/>
          <w:szCs w:val="16"/>
          <w:color w:val="auto"/>
        </w:rPr>
        <w:t>)) the remaining undrawn Ship Commitments shall each be reduced rateably and the Total Commitments shall be reduced accordingly, and the Agent shall as soon as practicable after receipt of such notice, notify all the Lenders.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Sale or Total Loss or Change of Control in respect of a Borrower</w:t>
      </w:r>
    </w:p>
    <w:p>
      <w:pPr>
        <w:spacing w:after="0" w:line="245" w:lineRule="exact"/>
        <w:rPr>
          <w:sz w:val="20"/>
          <w:szCs w:val="20"/>
          <w:color w:val="auto"/>
        </w:rPr>
      </w:pPr>
    </w:p>
    <w:p>
      <w:pPr>
        <w:ind w:left="540" w:right="940"/>
        <w:spacing w:after="0" w:line="268" w:lineRule="auto"/>
        <w:rPr>
          <w:sz w:val="20"/>
          <w:szCs w:val="20"/>
          <w:color w:val="auto"/>
        </w:rPr>
      </w:pPr>
      <w:r>
        <w:rPr>
          <w:rFonts w:ascii="Arial" w:cs="Arial" w:eastAsia="Arial" w:hAnsi="Arial"/>
          <w:sz w:val="18"/>
          <w:szCs w:val="18"/>
          <w:color w:val="auto"/>
        </w:rPr>
        <w:t>On a Mortgaged Ship's Disposal Reduction Date or upon the cancellation in full of a Ship Commitment pursuant to clause 7.3(a)(iii)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 or upon a Change of Control in respect of a Borrower:</w:t>
      </w:r>
    </w:p>
    <w:p>
      <w:pPr>
        <w:spacing w:after="0" w:line="213" w:lineRule="exact"/>
        <w:rPr>
          <w:sz w:val="20"/>
          <w:szCs w:val="20"/>
          <w:color w:val="auto"/>
        </w:rPr>
      </w:pPr>
    </w:p>
    <w:p>
      <w:pPr>
        <w:ind w:left="1080" w:hanging="532"/>
        <w:spacing w:after="0"/>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Borrowers shall prepay in full the Revolving Loans relevant to that Ship;</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Ship Commitment for that Ship shall be reduced to zero, the Total Commitments shall be reduced accordingly and the Commitments shall be reduced pro rata;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Borrowers shall prepay such additional part of the other Revolving Loan Ship Tranches as shall ensure that immediately after such prepayment, the Security Value shall not be less than the higher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Minimum Value applicable at that time; or</w:t>
      </w:r>
    </w:p>
    <w:p>
      <w:pPr>
        <w:spacing w:after="0" w:line="238"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such amount as shall ensure that the ratio between the Security Value and the aggregate of the Revolving Loans after such prepayment shall be no lower than such ratio was immediately prior to such prepayment.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Automatic cancellation</w:t>
      </w:r>
    </w:p>
    <w:p>
      <w:pPr>
        <w:spacing w:after="0" w:line="24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Any part of the Total Commitments relating to the Facility which has not become available by, or which is undrawn on, the Last Availability Date applicable to it shall be automatically cancelled at close of business in London on the Last Availability Date applicable to it.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Restrictions</w:t>
      </w:r>
    </w:p>
    <w:p>
      <w:pPr>
        <w:spacing w:after="0" w:line="200" w:lineRule="exact"/>
        <w:rPr>
          <w:sz w:val="20"/>
          <w:szCs w:val="20"/>
          <w:color w:val="auto"/>
        </w:rPr>
      </w:pPr>
    </w:p>
    <w:p>
      <w:pPr>
        <w:spacing w:after="0" w:line="288" w:lineRule="exact"/>
        <w:rPr>
          <w:sz w:val="20"/>
          <w:szCs w:val="20"/>
          <w:color w:val="auto"/>
        </w:rPr>
      </w:pPr>
    </w:p>
    <w:p>
      <w:pPr>
        <w:ind w:left="1080" w:right="40" w:hanging="532"/>
        <w:spacing w:after="0" w:line="298" w:lineRule="auto"/>
        <w:tabs>
          <w:tab w:leader="none" w:pos="10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6"/>
          <w:szCs w:val="16"/>
          <w:i w:val="1"/>
          <w:iCs w:val="1"/>
          <w:color w:val="auto"/>
        </w:rPr>
        <w:t>Voluntary cancellation</w:t>
      </w:r>
      <w:r>
        <w:rPr>
          <w:rFonts w:ascii="Arial" w:cs="Arial" w:eastAsia="Arial" w:hAnsi="Arial"/>
          <w:sz w:val="16"/>
          <w:szCs w:val="16"/>
          <w:color w:val="auto"/>
        </w:rPr>
        <w:t>) or clause 7.4 (</w:t>
      </w:r>
      <w:r>
        <w:rPr>
          <w:rFonts w:ascii="Arial" w:cs="Arial" w:eastAsia="Arial" w:hAnsi="Arial"/>
          <w:sz w:val="16"/>
          <w:szCs w:val="16"/>
          <w:i w:val="1"/>
          <w:iCs w:val="1"/>
          <w:color w:val="auto"/>
        </w:rPr>
        <w:t>Voluntary prepayment</w:t>
      </w:r>
      <w:r>
        <w:rPr>
          <w:rFonts w:ascii="Arial" w:cs="Arial" w:eastAsia="Arial" w:hAnsi="Arial"/>
          <w:sz w:val="16"/>
          <w:szCs w:val="16"/>
          <w:color w:val="auto"/>
        </w:rPr>
        <w:t>), the Revolving Loan or Ship Commitment to be cancelled or prepaid (as the case may be).</w:t>
      </w:r>
    </w:p>
    <w:p>
      <w:pPr>
        <w:spacing w:after="0" w:line="179"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21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drawn under a Ship Commitment for a Ship and is prepaid or repaid may be re-borrowed under the same Ship Commitment in accordance with the terms of this Agreement. If clause 29.21 (</w:t>
      </w:r>
      <w:r>
        <w:rPr>
          <w:rFonts w:ascii="Arial" w:cs="Arial" w:eastAsia="Arial" w:hAnsi="Arial"/>
          <w:sz w:val="18"/>
          <w:szCs w:val="18"/>
          <w:i w:val="1"/>
          <w:iCs w:val="1"/>
          <w:color w:val="auto"/>
        </w:rPr>
        <w:t>Charters</w:t>
      </w:r>
      <w:r>
        <w:rPr>
          <w:rFonts w:ascii="Arial" w:cs="Arial" w:eastAsia="Arial" w:hAnsi="Arial"/>
          <w:sz w:val="18"/>
          <w:szCs w:val="18"/>
          <w:color w:val="auto"/>
        </w:rPr>
        <w:t>) shall be applicable, no moneys prepaid may be re-borrowed unless at the relevant time the provisions of clause 29.21(a) or (b) (</w:t>
      </w:r>
      <w:r>
        <w:rPr>
          <w:rFonts w:ascii="Arial" w:cs="Arial" w:eastAsia="Arial" w:hAnsi="Arial"/>
          <w:sz w:val="18"/>
          <w:szCs w:val="18"/>
          <w:i w:val="1"/>
          <w:iCs w:val="1"/>
          <w:color w:val="auto"/>
        </w:rPr>
        <w:t>Charters</w:t>
      </w:r>
      <w:r>
        <w:rPr>
          <w:rFonts w:ascii="Arial" w:cs="Arial" w:eastAsia="Arial" w:hAnsi="Arial"/>
          <w:sz w:val="18"/>
          <w:szCs w:val="18"/>
          <w:color w:val="auto"/>
        </w:rPr>
        <w:t>) have been satisfied in full.</w:t>
      </w:r>
    </w:p>
    <w:p>
      <w:pPr>
        <w:spacing w:after="0" w:line="21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Revolving Loans or cancel all or any part of the Commitments except at the times and in the manner expressly provided for in this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55" w:name="page256"/>
    <w:bookmarkEnd w:id="255"/>
    <w:p>
      <w:pPr>
        <w:ind w:left="1080" w:right="28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as appropriate.</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the Total Commitments are partially reduced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and clause 7.5 (</w:t>
      </w:r>
      <w:r>
        <w:rPr>
          <w:rFonts w:ascii="Arial" w:cs="Arial" w:eastAsia="Arial" w:hAnsi="Arial"/>
          <w:sz w:val="16"/>
          <w:szCs w:val="16"/>
          <w:i w:val="1"/>
          <w:iCs w:val="1"/>
          <w:color w:val="auto"/>
        </w:rPr>
        <w:t>Right of replacement or</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 and prepayment in relation to a single Lender/Right of cancellation in relation to a Defaulting Lender</w:t>
      </w:r>
      <w:r>
        <w:rPr>
          <w:rFonts w:ascii="Arial" w:cs="Arial" w:eastAsia="Arial" w:hAnsi="Arial"/>
          <w:sz w:val="16"/>
          <w:szCs w:val="16"/>
          <w:color w:val="auto"/>
        </w:rPr>
        <w:t>)), the Commitments of all the</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under the Facility shall be reduced pro rata (except where otherwise expressly specified in this Agreement).</w:t>
      </w:r>
    </w:p>
    <w:p>
      <w:pPr>
        <w:spacing w:after="0" w:line="173" w:lineRule="exact"/>
        <w:rPr>
          <w:rFonts w:ascii="Arial" w:cs="Arial" w:eastAsia="Arial" w:hAnsi="Arial"/>
          <w:sz w:val="16"/>
          <w:szCs w:val="16"/>
          <w:color w:val="auto"/>
        </w:rPr>
      </w:pPr>
    </w:p>
    <w:p>
      <w:pPr>
        <w:ind w:left="1080" w:right="200" w:hanging="532"/>
        <w:spacing w:after="0" w:line="256"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Ship Commitment for a Ship under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or where a Borrower has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 except where otherwise expressly specified in this Agreement), the remaining Ship Commitments for all Ships shall be reduced pro rata.</w:t>
      </w:r>
    </w:p>
    <w:p>
      <w:pPr>
        <w:spacing w:after="0" w:line="210"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the Revolving Loans are partially prepaid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and clause 7.5 (</w:t>
      </w:r>
      <w:r>
        <w:rPr>
          <w:rFonts w:ascii="Arial" w:cs="Arial" w:eastAsia="Arial" w:hAnsi="Arial"/>
          <w:sz w:val="16"/>
          <w:szCs w:val="16"/>
          <w:i w:val="1"/>
          <w:iCs w:val="1"/>
          <w:color w:val="auto"/>
        </w:rPr>
        <w:t>Right of replacement or</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 and prepayment in relation to a single Lender / right of cancellation in relation to a Defaulting Lender</w:t>
      </w:r>
      <w:r>
        <w:rPr>
          <w:rFonts w:ascii="Arial" w:cs="Arial" w:eastAsia="Arial" w:hAnsi="Arial"/>
          <w:sz w:val="16"/>
          <w:szCs w:val="16"/>
          <w:color w:val="auto"/>
        </w:rPr>
        <w:t>)), the amount prepaid shall</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participation of all the Lenders in the Revolving Loans rateably (except where otherwise expressly specified in this Agreement).</w:t>
      </w:r>
    </w:p>
    <w:p>
      <w:pPr>
        <w:spacing w:after="0" w:line="187"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prepayment of the Revolving Loans for the account of all the Lenders shall be applied pro rata to each Lender's participation in the Revolving Loans (other than a prepayment under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or where a Borrower has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first be applied to the Revolving Loans in relation to the relevant Ship).</w:t>
      </w:r>
    </w:p>
    <w:p>
      <w:pPr>
        <w:spacing w:after="0" w:line="210"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Available Facility is reduced in accordance with clause 25.12(a)(ii) (</w:t>
      </w:r>
      <w:r>
        <w:rPr>
          <w:rFonts w:ascii="Arial" w:cs="Arial" w:eastAsia="Arial" w:hAnsi="Arial"/>
          <w:sz w:val="18"/>
          <w:szCs w:val="18"/>
          <w:i w:val="1"/>
          <w:iCs w:val="1"/>
          <w:color w:val="auto"/>
        </w:rPr>
        <w:t>Security shortfall</w:t>
      </w:r>
      <w:r>
        <w:rPr>
          <w:rFonts w:ascii="Arial" w:cs="Arial" w:eastAsia="Arial" w:hAnsi="Arial"/>
          <w:sz w:val="18"/>
          <w:szCs w:val="18"/>
          <w:color w:val="auto"/>
        </w:rPr>
        <w:t>), the Borrowers shall on the date of such reduction prepay such amount of the Revolving Loans as exceed the Available Facility (as so reduced) and such prepayment shall be applied pro rata as between all of the Revolving Loans.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5"/>
          <w:szCs w:val="15"/>
          <w:b w:val="1"/>
          <w:bCs w:val="1"/>
          <w:color w:val="auto"/>
        </w:rPr>
        <w:t>Mandatory prepayment and cancellation following non-compliance with Sanctions</w:t>
      </w:r>
    </w:p>
    <w:p>
      <w:pPr>
        <w:spacing w:after="0" w:line="24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w:t>
      </w:r>
    </w:p>
    <w:p>
      <w:pPr>
        <w:spacing w:after="0" w:line="221" w:lineRule="exact"/>
        <w:rPr>
          <w:sz w:val="20"/>
          <w:szCs w:val="20"/>
          <w:color w:val="auto"/>
        </w:rPr>
      </w:pPr>
    </w:p>
    <w:p>
      <w:pPr>
        <w:ind w:left="1080" w:hanging="532"/>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Commitment of each Lender will be immediately cancelled; and</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Borrowers shall repay each Lender's participation in the Revolving Loans on the earlier of (i) the date falling ten (10) Business Days after the Agent notifies the Borrowers of such non-compliance and (ii) the date falling ten (10) Business Days after the Borrowers become aware of such non-compliance and (iii) the last day of the Interest Period falling after the said non-compliance has occurred.</w:t>
      </w:r>
    </w:p>
    <w:p>
      <w:pPr>
        <w:spacing w:after="0" w:line="384" w:lineRule="exact"/>
        <w:rPr>
          <w:sz w:val="20"/>
          <w:szCs w:val="20"/>
          <w:color w:val="auto"/>
        </w:rPr>
      </w:pPr>
    </w:p>
    <w:p>
      <w:pPr>
        <w:ind w:left="540" w:hanging="532"/>
        <w:spacing w:after="0"/>
        <w:tabs>
          <w:tab w:leader="none" w:pos="5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Calculation of interest</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rate of interest on each Revolving Loan for its Interest Period is the percentage rate per annum which is the aggregate of the applicable:</w:t>
      </w:r>
    </w:p>
    <w:p>
      <w:pPr>
        <w:spacing w:after="0" w:line="262" w:lineRule="exact"/>
        <w:rPr>
          <w:sz w:val="20"/>
          <w:szCs w:val="20"/>
          <w:color w:val="auto"/>
        </w:rPr>
      </w:pPr>
    </w:p>
    <w:p>
      <w:pPr>
        <w:ind w:left="1080" w:hanging="532"/>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LIBOR.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56" w:name="page257"/>
    <w:bookmarkEnd w:id="256"/>
    <w:p>
      <w:pPr>
        <w:spacing w:after="0"/>
        <w:tabs>
          <w:tab w:leader="none" w:pos="5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Payment of interest</w:t>
      </w:r>
    </w:p>
    <w:p>
      <w:pPr>
        <w:spacing w:after="0" w:line="245"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Borrowers shall pay accrued interest on each Revolving Loan on the last day of each Interest Period for that Revolving Loan (and, if an Interest Period is longer than three months, on the dates falling at three monthly intervals after the first day of that Interest Period).</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Default interest</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94" w:lineRule="auto"/>
        <w:tabs>
          <w:tab w:leader="none" w:pos="10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Revolving Loan for successive Interest Periods, each of a duration selected by the Agent (acting reasonably). Any interest accruing under this clause 8.3 shall be immediately payable by the Obligors on demand by the Agent.</w:t>
      </w:r>
    </w:p>
    <w:p>
      <w:pPr>
        <w:spacing w:after="0" w:line="182"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Revolving Loan which became due on a day which was not the last day of an Interest Period relating to that Revolving Loan or the relevant part of it: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Revolving Loan; and</w:t>
      </w:r>
    </w:p>
    <w:p>
      <w:pPr>
        <w:spacing w:after="0" w:line="199"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Notification of rates of interest</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233" w:lineRule="exact"/>
        <w:rPr>
          <w:sz w:val="20"/>
          <w:szCs w:val="20"/>
          <w:color w:val="auto"/>
        </w:rPr>
      </w:pPr>
    </w:p>
    <w:p>
      <w:pPr>
        <w:ind w:left="540" w:hanging="532"/>
        <w:spacing w:after="0"/>
        <w:tabs>
          <w:tab w:leader="none" w:pos="5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9</w:t>
      </w:r>
      <w:r>
        <w:rPr>
          <w:rFonts w:ascii="Arial" w:cs="Arial" w:eastAsia="Arial" w:hAnsi="Arial"/>
          <w:sz w:val="15"/>
          <w:szCs w:val="15"/>
          <w:b w:val="1"/>
          <w:bCs w:val="1"/>
          <w:color w:val="auto"/>
        </w:rPr>
        <w:t>Interest Periods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Interest Periods</w:t>
      </w:r>
    </w:p>
    <w:p>
      <w:pPr>
        <w:spacing w:after="0" w:line="200" w:lineRule="exact"/>
        <w:rPr>
          <w:rFonts w:ascii="Arial" w:cs="Arial" w:eastAsia="Arial" w:hAnsi="Arial"/>
          <w:sz w:val="18"/>
          <w:szCs w:val="18"/>
          <w:b w:val="1"/>
          <w:bCs w:val="1"/>
          <w:color w:val="auto"/>
        </w:rPr>
      </w:pPr>
    </w:p>
    <w:p>
      <w:pPr>
        <w:spacing w:after="0" w:line="287" w:lineRule="exact"/>
        <w:rPr>
          <w:rFonts w:ascii="Arial" w:cs="Arial" w:eastAsia="Arial" w:hAnsi="Arial"/>
          <w:sz w:val="18"/>
          <w:szCs w:val="18"/>
          <w:b w:val="1"/>
          <w:bCs w:val="1"/>
          <w:color w:val="auto"/>
        </w:rPr>
      </w:pPr>
    </w:p>
    <w:p>
      <w:pPr>
        <w:ind w:left="1080" w:right="540" w:hanging="532"/>
        <w:spacing w:after="0" w:line="268" w:lineRule="auto"/>
        <w:tabs>
          <w:tab w:leader="none" w:pos="10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Subject to this clause 9, the Interest Period for a Revolving Loan shall be three (3) months, unless otherwise agreed by the Borrowers and all Lenders. No Interest Period for any Revolving Loan shall extend beyond the Final Reduction Date.</w:t>
      </w:r>
    </w:p>
    <w:p>
      <w:pPr>
        <w:spacing w:after="0" w:line="199" w:lineRule="exact"/>
        <w:rPr>
          <w:rFonts w:ascii="Arial" w:cs="Arial" w:eastAsia="Arial" w:hAnsi="Arial"/>
          <w:sz w:val="18"/>
          <w:szCs w:val="18"/>
          <w:color w:val="auto"/>
        </w:rPr>
      </w:pPr>
    </w:p>
    <w:p>
      <w:pPr>
        <w:ind w:left="1080" w:right="600" w:hanging="532"/>
        <w:spacing w:after="0" w:line="331" w:lineRule="auto"/>
        <w:tabs>
          <w:tab w:leader="none" w:pos="10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Notwithstanding clause 9.1(a) above, the Interest Period for a Revolving Loan shall start on its Utilisation Date and end on the immediately following Reduction Date, unless otherwise agreed by the Borrowers and all Lenders. A Revolving Loan has one Interest Period only.</w:t>
      </w:r>
    </w:p>
    <w:p>
      <w:pPr>
        <w:spacing w:after="0" w:line="154" w:lineRule="exact"/>
        <w:rPr>
          <w:rFonts w:ascii="Arial" w:cs="Arial" w:eastAsia="Arial" w:hAnsi="Arial"/>
          <w:sz w:val="16"/>
          <w:szCs w:val="16"/>
          <w:color w:val="auto"/>
        </w:rPr>
      </w:pPr>
    </w:p>
    <w:p>
      <w:pPr>
        <w:ind w:left="1080" w:right="120" w:hanging="532"/>
        <w:spacing w:after="0" w:line="268" w:lineRule="auto"/>
        <w:tabs>
          <w:tab w:leader="none" w:pos="10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All Revolving Loans of a Revolving Loan Ship Tranche that have the same Interest Period shall be consolidated with each other on the first day of the relevant Interest Period.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257" w:name="page258"/>
    <w:bookmarkEnd w:id="257"/>
    <w:p>
      <w:pPr>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Non-Business Days</w:t>
      </w:r>
    </w:p>
    <w:p>
      <w:pPr>
        <w:spacing w:after="0" w:line="24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207" w:lineRule="exact"/>
        <w:rPr>
          <w:sz w:val="20"/>
          <w:szCs w:val="20"/>
          <w:color w:val="auto"/>
        </w:rPr>
      </w:pPr>
    </w:p>
    <w:p>
      <w:pPr>
        <w:ind w:left="540" w:hanging="532"/>
        <w:spacing w:after="0"/>
        <w:tabs>
          <w:tab w:leader="none" w:pos="5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10   Changes to the calculation of interest</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Unavailability of Screen Rate</w:t>
      </w:r>
    </w:p>
    <w:p>
      <w:pPr>
        <w:spacing w:after="0" w:line="200" w:lineRule="exact"/>
        <w:rPr>
          <w:rFonts w:ascii="Arial" w:cs="Arial" w:eastAsia="Arial" w:hAnsi="Arial"/>
          <w:sz w:val="18"/>
          <w:szCs w:val="18"/>
          <w:b w:val="1"/>
          <w:bCs w:val="1"/>
          <w:color w:val="auto"/>
        </w:rPr>
      </w:pPr>
    </w:p>
    <w:p>
      <w:pPr>
        <w:spacing w:after="0" w:line="274" w:lineRule="exact"/>
        <w:rPr>
          <w:rFonts w:ascii="Arial" w:cs="Arial" w:eastAsia="Arial" w:hAnsi="Arial"/>
          <w:sz w:val="18"/>
          <w:szCs w:val="18"/>
          <w:b w:val="1"/>
          <w:bCs w:val="1"/>
          <w:color w:val="auto"/>
        </w:rPr>
      </w:pPr>
    </w:p>
    <w:p>
      <w:pPr>
        <w:ind w:left="1080" w:right="380" w:hanging="532"/>
        <w:spacing w:after="0" w:line="268" w:lineRule="auto"/>
        <w:tabs>
          <w:tab w:leader="none" w:pos="10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shall be the Interpolated Screen Rate for a period equal in length to that Interest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the relevant Interest Period and it is not possible to calculate the Interpolated Screen Rate,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there shall be no LIBOR for that Interest Period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245"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If before close of business in London on the Quotation Day for an Interest Period the Agent receives notifications from a Lender or Lenders (whose aggregate participations in a Revolving Loan exceed 50 per cent of that Revolving Loan) that the cost to it of funding its participation in that Revolving Loan or relevant part of it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Revolving Loan or relevant part of it for the relevant Interest Period.</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Cost of funds</w:t>
      </w:r>
    </w:p>
    <w:p>
      <w:pPr>
        <w:spacing w:after="0" w:line="200" w:lineRule="exact"/>
        <w:rPr>
          <w:sz w:val="20"/>
          <w:szCs w:val="20"/>
          <w:color w:val="auto"/>
        </w:rPr>
      </w:pPr>
    </w:p>
    <w:p>
      <w:pPr>
        <w:spacing w:after="0" w:line="288" w:lineRule="exact"/>
        <w:rPr>
          <w:sz w:val="20"/>
          <w:szCs w:val="20"/>
          <w:color w:val="auto"/>
        </w:rPr>
      </w:pPr>
    </w:p>
    <w:p>
      <w:pPr>
        <w:ind w:left="1080" w:right="140" w:hanging="532"/>
        <w:spacing w:after="0" w:line="268"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that Revolving Loan or relevant part of it for the Interest Period shall be the percentage rate per annum which is the sum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238" w:lineRule="exact"/>
        <w:rPr>
          <w:rFonts w:ascii="Arial" w:cs="Arial" w:eastAsia="Arial" w:hAnsi="Arial"/>
          <w:sz w:val="18"/>
          <w:szCs w:val="18"/>
          <w:color w:val="auto"/>
        </w:rPr>
      </w:pPr>
    </w:p>
    <w:p>
      <w:pPr>
        <w:ind w:left="1620" w:hanging="532"/>
        <w:spacing w:after="0" w:line="298" w:lineRule="auto"/>
        <w:tabs>
          <w:tab w:leader="none" w:pos="162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rate notified to the Agent by that Lender as soon as practicable and in any event by close of business on the date falling ten (10) Business Days after the Quotation Day (or, if earlier, on the date falling ten Business Days before the date on which interest is due to be paid in respect of that Interest Period), to be that which expresses as a percentage rate per annum the cost to the relevant Lender of funding its participation in that Revolving Loan or relevant part of it from whatever source it may reasonably select.</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this clause 10.3 applies and the Agent or the Parent so requires, the Agent and the Parent shall enter into negotiations (for a period of not more than 30 days) with a view to agreeing a substitute basis for determining the rate of interest. If a substitute basis for determining the rate of interest is not agreed, paragraph (a) shall apply.</w:t>
      </w:r>
    </w:p>
    <w:p>
      <w:pPr>
        <w:spacing w:after="0" w:line="207" w:lineRule="exact"/>
        <w:rPr>
          <w:rFonts w:ascii="Arial" w:cs="Arial" w:eastAsia="Arial" w:hAnsi="Arial"/>
          <w:sz w:val="18"/>
          <w:szCs w:val="18"/>
          <w:color w:val="auto"/>
        </w:rPr>
      </w:pPr>
    </w:p>
    <w:p>
      <w:pPr>
        <w:ind w:left="5700" w:right="40" w:hanging="5152"/>
        <w:spacing w:after="0" w:line="518" w:lineRule="auto"/>
        <w:tabs>
          <w:tab w:leader="none" w:pos="109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Parent, be binding on all Parties.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4187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58" w:name="page259"/>
    <w:bookmarkEnd w:id="258"/>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200" w:lineRule="exact"/>
        <w:rPr>
          <w:sz w:val="20"/>
          <w:szCs w:val="20"/>
          <w:color w:val="auto"/>
        </w:rPr>
      </w:pPr>
    </w:p>
    <w:p>
      <w:pPr>
        <w:spacing w:after="0" w:line="282"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the cost to that Lender of funding its participation in a Revolving Loan for that Interest Period shall be deemed, for the purposes of paragraph (a) above, to be LIBOR.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Notification to Parent</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Parent.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Break Costs</w:t>
      </w:r>
    </w:p>
    <w:p>
      <w:pPr>
        <w:spacing w:after="0" w:line="200" w:lineRule="exact"/>
        <w:rPr>
          <w:sz w:val="20"/>
          <w:szCs w:val="20"/>
          <w:color w:val="auto"/>
        </w:rPr>
      </w:pPr>
    </w:p>
    <w:p>
      <w:pPr>
        <w:spacing w:after="0" w:line="274" w:lineRule="exact"/>
        <w:rPr>
          <w:sz w:val="20"/>
          <w:szCs w:val="20"/>
          <w:color w:val="auto"/>
        </w:rPr>
      </w:pPr>
    </w:p>
    <w:p>
      <w:pPr>
        <w:ind w:left="1080" w:right="40" w:hanging="532"/>
        <w:spacing w:after="0" w:line="259"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Borrowers shall, within three (3) Business Days of demand by a Finance Party, pay to that Finance Party its Break Costs attributable to all or any part of a Revolving Loan or Unpaid Sum being paid by the Borrowers (or, if relevant, any Group Member) on a day other than the last day of an Interest Period for that Revolving Loan or Unpaid Sum or relevant part of it.</w:t>
      </w:r>
    </w:p>
    <w:p>
      <w:pPr>
        <w:spacing w:after="0" w:line="22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Fees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Commitment fee</w:t>
      </w:r>
    </w:p>
    <w:p>
      <w:pPr>
        <w:spacing w:after="0" w:line="200" w:lineRule="exact"/>
        <w:rPr>
          <w:sz w:val="20"/>
          <w:szCs w:val="20"/>
          <w:color w:val="auto"/>
        </w:rPr>
      </w:pPr>
    </w:p>
    <w:p>
      <w:pPr>
        <w:spacing w:after="0" w:line="288" w:lineRule="exact"/>
        <w:rPr>
          <w:sz w:val="20"/>
          <w:szCs w:val="20"/>
          <w:color w:val="auto"/>
        </w:rPr>
      </w:pPr>
    </w:p>
    <w:p>
      <w:pPr>
        <w:jc w:val="both"/>
        <w:ind w:left="1080" w:right="500" w:hanging="532"/>
        <w:spacing w:after="0" w:line="369" w:lineRule="auto"/>
        <w:tabs>
          <w:tab w:leader="none" w:pos="108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Borrowers shall pay to the Agent (on behalf of the Lenders) a fee in dollars computed at the rate of 0.70% per annum on the undrawn and uncancelled portion of that Lender's Commitments under the Facility, calculated on a daily basis from the date of this Agreement (</w:t>
      </w:r>
      <w:r>
        <w:rPr>
          <w:rFonts w:ascii="Arial" w:cs="Arial" w:eastAsia="Arial" w:hAnsi="Arial"/>
          <w:sz w:val="15"/>
          <w:szCs w:val="15"/>
          <w:b w:val="1"/>
          <w:bCs w:val="1"/>
          <w:color w:val="auto"/>
        </w:rPr>
        <w:t>start date</w:t>
      </w:r>
      <w:r>
        <w:rPr>
          <w:rFonts w:ascii="Arial" w:cs="Arial" w:eastAsia="Arial" w:hAnsi="Arial"/>
          <w:sz w:val="15"/>
          <w:szCs w:val="15"/>
          <w:color w:val="auto"/>
        </w:rPr>
        <w:t>).</w:t>
      </w:r>
    </w:p>
    <w:p>
      <w:pPr>
        <w:spacing w:after="0" w:line="131" w:lineRule="exact"/>
        <w:rPr>
          <w:rFonts w:ascii="Arial" w:cs="Arial" w:eastAsia="Arial" w:hAnsi="Arial"/>
          <w:sz w:val="15"/>
          <w:szCs w:val="15"/>
          <w:color w:val="auto"/>
        </w:rPr>
      </w:pPr>
    </w:p>
    <w:p>
      <w:pPr>
        <w:ind w:left="1080" w:right="100" w:hanging="532"/>
        <w:spacing w:after="0" w:line="259"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referred to in paragraph (a) above in respect of the Facility on each 30 June and 31 December of each calendar year, on the Last Availability Date in respect of the Facility and, if cancelled, on the cancelled amount of the relevant Lender's Commitments under the Facility at the time the cancellation is effective.</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Drawdown fee</w:t>
      </w:r>
    </w:p>
    <w:p>
      <w:pPr>
        <w:spacing w:after="0" w:line="25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Borrowers shall pay to the Agent (on behalf of the Lenders) a fee in dollars of 0.15% of the amount of each Utilisation (other than the first Utilisation of each Revolving Loan Ship Tranche).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Other fees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59" w:name="page260"/>
    <w:bookmarkEnd w:id="259"/>
    <w:p>
      <w:pPr>
        <w:ind w:right="8820" w:firstLine="8"/>
        <w:spacing w:after="0" w:line="557" w:lineRule="auto"/>
        <w:tabs>
          <w:tab w:leader="none" w:pos="5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 12.1 Definitions</w:t>
      </w:r>
    </w:p>
    <w:p>
      <w:pPr>
        <w:spacing w:after="0" w:line="15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76"/>
        </w:numPr>
        <w:rPr>
          <w:rFonts w:ascii="Arial" w:cs="Arial" w:eastAsia="Arial" w:hAnsi="Arial"/>
          <w:sz w:val="18"/>
          <w:szCs w:val="18"/>
          <w:color w:val="auto"/>
        </w:rPr>
      </w:pPr>
      <w:r>
        <w:rPr>
          <w:rFonts w:ascii="Arial" w:cs="Arial" w:eastAsia="Arial" w:hAnsi="Arial"/>
          <w:sz w:val="18"/>
          <w:szCs w:val="18"/>
          <w:b w:val="1"/>
          <w:bCs w:val="1"/>
          <w:color w:val="auto"/>
        </w:rPr>
        <w:t>In this Agreement</w:t>
      </w:r>
      <w:r>
        <w:rPr>
          <w:rFonts w:ascii="Arial" w:cs="Arial" w:eastAsia="Arial" w:hAnsi="Arial"/>
          <w:sz w:val="18"/>
          <w:szCs w:val="18"/>
          <w:color w:val="auto"/>
        </w:rPr>
        <w:t>:</w:t>
      </w:r>
    </w:p>
    <w:p>
      <w:pPr>
        <w:spacing w:after="0" w:line="225" w:lineRule="exact"/>
        <w:rPr>
          <w:sz w:val="20"/>
          <w:szCs w:val="20"/>
          <w:color w:val="auto"/>
        </w:rPr>
      </w:pPr>
    </w:p>
    <w:p>
      <w:pPr>
        <w:jc w:val="both"/>
        <w:ind w:left="1620" w:right="40"/>
        <w:spacing w:after="0" w:line="301" w:lineRule="auto"/>
        <w:rPr>
          <w:sz w:val="20"/>
          <w:szCs w:val="20"/>
          <w:color w:val="auto"/>
        </w:rPr>
      </w:pPr>
      <w:r>
        <w:rPr>
          <w:rFonts w:ascii="Arial" w:cs="Arial" w:eastAsia="Arial" w:hAnsi="Arial"/>
          <w:sz w:val="16"/>
          <w:szCs w:val="16"/>
          <w:b w:val="1"/>
          <w:bCs w:val="1"/>
          <w:color w:val="auto"/>
        </w:rPr>
        <w:t xml:space="preserve">Protected Party </w:t>
      </w:r>
      <w:r>
        <w:rPr>
          <w:rFonts w:ascii="Arial" w:cs="Arial" w:eastAsia="Arial" w:hAnsi="Arial"/>
          <w:sz w:val="16"/>
          <w:szCs w:val="16"/>
          <w:color w:val="auto"/>
        </w:rPr>
        <w:t>means a Finance Party or, in relation to clause 14.4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(Indemnity concerning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and clause 14.7</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insofar as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relates to interest on any amount demanded by that Indemnified Person under clause 14.4 </w:t>
      </w:r>
      <w:r>
        <w:rPr>
          <w:rFonts w:ascii="Arial" w:cs="Arial" w:eastAsia="Arial" w:hAnsi="Arial"/>
          <w:sz w:val="16"/>
          <w:szCs w:val="16"/>
          <w:i w:val="1"/>
          <w:iCs w:val="1"/>
          <w:color w:val="auto"/>
        </w:rPr>
        <w:t>(Indemnity concerning security)</w:t>
      </w:r>
      <w:r>
        <w:rPr>
          <w:rFonts w:ascii="Arial" w:cs="Arial" w:eastAsia="Arial" w:hAnsi="Arial"/>
          <w:sz w:val="16"/>
          <w:szCs w:val="16"/>
          <w:color w:val="auto"/>
        </w:rPr>
        <w:t>, any Indemnified Person,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25" w:lineRule="exact"/>
        <w:rPr>
          <w:sz w:val="20"/>
          <w:szCs w:val="20"/>
          <w:color w:val="auto"/>
        </w:rPr>
      </w:pPr>
    </w:p>
    <w:p>
      <w:pPr>
        <w:ind w:left="1620" w:right="60"/>
        <w:spacing w:after="0" w:line="275"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 a FATCA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w:t>
      </w:r>
    </w:p>
    <w:p>
      <w:pPr>
        <w:spacing w:after="0" w:line="174" w:lineRule="exact"/>
        <w:rPr>
          <w:sz w:val="20"/>
          <w:szCs w:val="20"/>
          <w:color w:val="auto"/>
        </w:rPr>
      </w:pPr>
    </w:p>
    <w:p>
      <w:pPr>
        <w:ind w:left="1620" w:right="280"/>
        <w:spacing w:after="0" w:line="275"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87" w:lineRule="exact"/>
        <w:rPr>
          <w:sz w:val="20"/>
          <w:szCs w:val="20"/>
          <w:color w:val="auto"/>
        </w:rPr>
      </w:pPr>
    </w:p>
    <w:p>
      <w:pPr>
        <w:ind w:left="1080" w:right="600" w:hanging="532"/>
        <w:spacing w:after="0" w:line="275"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3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Tax gross-up</w:t>
      </w:r>
    </w:p>
    <w:p>
      <w:pPr>
        <w:spacing w:after="0" w:line="200" w:lineRule="exact"/>
        <w:rPr>
          <w:sz w:val="20"/>
          <w:szCs w:val="20"/>
          <w:color w:val="auto"/>
        </w:rPr>
      </w:pPr>
    </w:p>
    <w:p>
      <w:pPr>
        <w:spacing w:after="0" w:line="288" w:lineRule="exact"/>
        <w:rPr>
          <w:sz w:val="20"/>
          <w:szCs w:val="20"/>
          <w:color w:val="auto"/>
        </w:rPr>
      </w:pPr>
    </w:p>
    <w:p>
      <w:pPr>
        <w:ind w:left="1080" w:right="40" w:hanging="532"/>
        <w:spacing w:after="0" w:line="268"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that Obligor.</w:t>
      </w:r>
    </w:p>
    <w:p>
      <w:pPr>
        <w:spacing w:after="0" w:line="187"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99"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Tax indemnity</w:t>
      </w:r>
    </w:p>
    <w:p>
      <w:pPr>
        <w:spacing w:after="0" w:line="200" w:lineRule="exact"/>
        <w:rPr>
          <w:sz w:val="20"/>
          <w:szCs w:val="20"/>
          <w:color w:val="auto"/>
        </w:rPr>
      </w:pPr>
    </w:p>
    <w:p>
      <w:pPr>
        <w:spacing w:after="0" w:line="288" w:lineRule="exact"/>
        <w:rPr>
          <w:sz w:val="20"/>
          <w:szCs w:val="20"/>
          <w:color w:val="auto"/>
        </w:rPr>
      </w:pPr>
    </w:p>
    <w:p>
      <w:pPr>
        <w:ind w:left="1080" w:right="100" w:hanging="532"/>
        <w:spacing w:after="0" w:line="259"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Obligor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9" w:right="179" w:bottom="1440" w:gutter="0" w:footer="0" w:header="0"/>
        </w:sectPr>
      </w:pPr>
    </w:p>
    <w:bookmarkStart w:id="260" w:name="page261"/>
    <w:bookmarkEnd w:id="260"/>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right="40" w:hanging="532"/>
        <w:spacing w:after="0" w:line="268" w:lineRule="auto"/>
        <w:tabs>
          <w:tab w:leader="none" w:pos="216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99" w:lineRule="exact"/>
        <w:rPr>
          <w:rFonts w:ascii="Arial" w:cs="Arial" w:eastAsia="Arial" w:hAnsi="Arial"/>
          <w:sz w:val="18"/>
          <w:szCs w:val="18"/>
          <w:color w:val="auto"/>
        </w:rPr>
      </w:pPr>
    </w:p>
    <w:p>
      <w:pPr>
        <w:ind w:left="2160" w:right="140" w:hanging="532"/>
        <w:spacing w:after="0" w:line="268" w:lineRule="auto"/>
        <w:tabs>
          <w:tab w:leader="none" w:pos="216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85" w:lineRule="exact"/>
        <w:rPr>
          <w:rFonts w:ascii="Arial" w:cs="Arial" w:eastAsia="Arial" w:hAnsi="Arial"/>
          <w:sz w:val="18"/>
          <w:szCs w:val="18"/>
          <w:color w:val="auto"/>
        </w:rPr>
      </w:pPr>
    </w:p>
    <w:p>
      <w:pPr>
        <w:ind w:left="2160" w:right="200"/>
        <w:spacing w:after="0" w:line="268" w:lineRule="auto"/>
        <w:rPr>
          <w:rFonts w:ascii="Arial" w:cs="Arial" w:eastAsia="Arial" w:hAnsi="Arial"/>
          <w:sz w:val="18"/>
          <w:szCs w:val="18"/>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212"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 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Indemnities on after Tax basis</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54"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Borrowers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208"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If and to the extent that any sum (the </w:t>
      </w:r>
      <w:r>
        <w:rPr>
          <w:rFonts w:ascii="Arial" w:cs="Arial" w:eastAsia="Arial" w:hAnsi="Arial"/>
          <w:sz w:val="16"/>
          <w:szCs w:val="16"/>
          <w:b w:val="1"/>
          <w:bCs w:val="1"/>
          <w:color w:val="auto"/>
        </w:rPr>
        <w:t>Indemnity Sum</w:t>
      </w:r>
      <w:r>
        <w:rPr>
          <w:rFonts w:ascii="Arial" w:cs="Arial" w:eastAsia="Arial" w:hAnsi="Arial"/>
          <w:sz w:val="16"/>
          <w:szCs w:val="16"/>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6"/>
          <w:szCs w:val="16"/>
          <w:b w:val="1"/>
          <w:bCs w:val="1"/>
          <w:color w:val="auto"/>
        </w:rPr>
        <w:t>Compensating Sum</w:t>
      </w:r>
      <w:r>
        <w:rPr>
          <w:rFonts w:ascii="Arial" w:cs="Arial" w:eastAsia="Arial" w:hAnsi="Arial"/>
          <w:sz w:val="16"/>
          <w:szCs w:val="16"/>
          <w:color w:val="auto"/>
        </w:rPr>
        <w:t>) as (after taking into account any Tax suffered by that Protected Party on the Compensating Sum) shall reimburse that Protected Party for any Tax suffered by it in respect of the Indemnity Sum.</w:t>
      </w:r>
    </w:p>
    <w:p>
      <w:pPr>
        <w:spacing w:after="0" w:line="3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FATCA Information</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61" w:name="page262"/>
    <w:bookmarkEnd w:id="261"/>
    <w:p>
      <w:pPr>
        <w:ind w:left="1620" w:hanging="532"/>
        <w:spacing w:after="0"/>
        <w:tabs>
          <w:tab w:leader="none" w:pos="162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99" w:lineRule="exact"/>
        <w:rPr>
          <w:rFonts w:ascii="Arial" w:cs="Arial" w:eastAsia="Arial" w:hAnsi="Arial"/>
          <w:sz w:val="18"/>
          <w:szCs w:val="18"/>
          <w:color w:val="auto"/>
        </w:rPr>
      </w:pPr>
    </w:p>
    <w:p>
      <w:pPr>
        <w:ind w:left="1080" w:right="240" w:hanging="532"/>
        <w:spacing w:after="0" w:line="331" w:lineRule="auto"/>
        <w:tabs>
          <w:tab w:leader="none" w:pos="108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370" w:lineRule="exact"/>
        <w:rPr>
          <w:rFonts w:ascii="Arial" w:cs="Arial" w:eastAsia="Arial" w:hAnsi="Arial"/>
          <w:sz w:val="16"/>
          <w:szCs w:val="16"/>
          <w:color w:val="auto"/>
        </w:rPr>
      </w:pPr>
    </w:p>
    <w:p>
      <w:pPr>
        <w:ind w:left="540" w:right="40" w:hanging="532"/>
        <w:spacing w:after="0" w:line="331" w:lineRule="auto"/>
        <w:tabs>
          <w:tab w:leader="none" w:pos="5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67"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60" w:hanging="532"/>
        <w:spacing w:after="0" w:line="298" w:lineRule="auto"/>
        <w:tabs>
          <w:tab w:leader="none" w:pos="5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9"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where a Borrower is a US Tax Obligor on a Transfer Date and the relevant Lender is a New Lender, the relevant Transfer Date;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252" w:lineRule="exact"/>
        <w:rPr>
          <w:rFonts w:ascii="Arial" w:cs="Arial" w:eastAsia="Arial" w:hAnsi="Arial"/>
          <w:sz w:val="18"/>
          <w:szCs w:val="18"/>
          <w:color w:val="auto"/>
        </w:rPr>
      </w:pPr>
    </w:p>
    <w:p>
      <w:pPr>
        <w:ind w:left="1080" w:right="4160" w:hanging="532"/>
        <w:spacing w:after="0" w:line="500" w:lineRule="auto"/>
        <w:tabs>
          <w:tab w:leader="none" w:pos="10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 supply to the Agent:</w:t>
      </w:r>
    </w:p>
    <w:p>
      <w:pPr>
        <w:spacing w:after="0" w:line="15" w:lineRule="exact"/>
        <w:rPr>
          <w:rFonts w:ascii="Arial" w:cs="Arial" w:eastAsia="Arial" w:hAnsi="Arial"/>
          <w:sz w:val="18"/>
          <w:szCs w:val="18"/>
          <w:color w:val="auto"/>
        </w:rPr>
      </w:pPr>
    </w:p>
    <w:p>
      <w:pPr>
        <w:ind w:left="1620" w:hanging="532"/>
        <w:spacing w:after="0"/>
        <w:tabs>
          <w:tab w:leader="none" w:pos="162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252" w:lineRule="exact"/>
        <w:rPr>
          <w:rFonts w:ascii="Arial" w:cs="Arial" w:eastAsia="Arial" w:hAnsi="Arial"/>
          <w:sz w:val="18"/>
          <w:szCs w:val="18"/>
          <w:color w:val="auto"/>
        </w:rPr>
      </w:pPr>
    </w:p>
    <w:p>
      <w:pPr>
        <w:ind w:left="1620" w:right="420" w:hanging="532"/>
        <w:spacing w:after="0" w:line="268" w:lineRule="auto"/>
        <w:tabs>
          <w:tab w:leader="none" w:pos="162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right="54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020"/>
          </w:cols>
          <w:pgMar w:left="700" w:top="65" w:right="179" w:bottom="1440" w:gutter="0" w:footer="0" w:header="0"/>
        </w:sectPr>
      </w:pPr>
    </w:p>
    <w:bookmarkStart w:id="262" w:name="page263"/>
    <w:bookmarkEnd w:id="262"/>
    <w:p>
      <w:pPr>
        <w:ind w:left="1080"/>
        <w:spacing w:after="0" w:line="256" w:lineRule="auto"/>
        <w:rPr>
          <w:sz w:val="20"/>
          <w:szCs w:val="20"/>
          <w:color w:val="auto"/>
        </w:rPr>
      </w:pPr>
      <w:r>
        <w:rPr>
          <w:rFonts w:ascii="Arial" w:cs="Arial" w:eastAsia="Arial" w:hAnsi="Arial"/>
          <w:sz w:val="18"/>
          <w:szCs w:val="18"/>
          <w:color w:val="auto"/>
        </w:rPr>
        <w:t>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210" w:lineRule="exact"/>
        <w:rPr>
          <w:sz w:val="20"/>
          <w:szCs w:val="20"/>
          <w:color w:val="auto"/>
        </w:rPr>
      </w:pPr>
    </w:p>
    <w:p>
      <w:pPr>
        <w:ind w:left="1080" w:right="40" w:hanging="532"/>
        <w:spacing w:after="0" w:line="259"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FATCA Deduction</w:t>
      </w:r>
    </w:p>
    <w:p>
      <w:pPr>
        <w:spacing w:after="0" w:line="200" w:lineRule="exact"/>
        <w:rPr>
          <w:sz w:val="20"/>
          <w:szCs w:val="20"/>
          <w:color w:val="auto"/>
        </w:rPr>
      </w:pPr>
    </w:p>
    <w:p>
      <w:pPr>
        <w:spacing w:after="0" w:line="288" w:lineRule="exact"/>
        <w:rPr>
          <w:sz w:val="20"/>
          <w:szCs w:val="20"/>
          <w:color w:val="auto"/>
        </w:rPr>
      </w:pPr>
    </w:p>
    <w:p>
      <w:pPr>
        <w:ind w:left="1080" w:right="60" w:hanging="532"/>
        <w:spacing w:after="0" w:line="259"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5"/>
          <w:szCs w:val="15"/>
          <w:b w:val="1"/>
          <w:bCs w:val="1"/>
          <w:color w:val="auto"/>
        </w:rPr>
        <w:t>Stamp taxes</w:t>
      </w:r>
    </w:p>
    <w:p>
      <w:pPr>
        <w:spacing w:after="0" w:line="258"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The Borrowers shall pay and, within three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Value added tax</w:t>
      </w:r>
    </w:p>
    <w:p>
      <w:pPr>
        <w:spacing w:after="0" w:line="200" w:lineRule="exact"/>
        <w:rPr>
          <w:sz w:val="20"/>
          <w:szCs w:val="20"/>
          <w:color w:val="auto"/>
        </w:rPr>
      </w:pPr>
    </w:p>
    <w:p>
      <w:pPr>
        <w:spacing w:after="0" w:line="274" w:lineRule="exact"/>
        <w:rPr>
          <w:sz w:val="20"/>
          <w:szCs w:val="20"/>
          <w:color w:val="auto"/>
        </w:rPr>
      </w:pPr>
    </w:p>
    <w:p>
      <w:pPr>
        <w:ind w:left="1080" w:right="60" w:hanging="532"/>
        <w:spacing w:after="0" w:line="317" w:lineRule="auto"/>
        <w:tabs>
          <w:tab w:leader="none" w:pos="108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77" w:lineRule="exact"/>
        <w:rPr>
          <w:rFonts w:ascii="Arial" w:cs="Arial" w:eastAsia="Arial" w:hAnsi="Arial"/>
          <w:sz w:val="15"/>
          <w:szCs w:val="15"/>
          <w:color w:val="auto"/>
        </w:rPr>
      </w:pPr>
    </w:p>
    <w:p>
      <w:pPr>
        <w:ind w:left="1080" w:right="360" w:hanging="532"/>
        <w:spacing w:after="0" w:line="262"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under a Finance Document, and any party to a Finance Document other than the Recipient (the </w:t>
      </w:r>
      <w:r>
        <w:rPr>
          <w:rFonts w:ascii="Arial" w:cs="Arial" w:eastAsia="Arial" w:hAnsi="Arial"/>
          <w:sz w:val="18"/>
          <w:szCs w:val="18"/>
          <w:b w:val="1"/>
          <w:bCs w:val="1"/>
          <w:color w:val="auto"/>
        </w:rPr>
        <w:t>Subject Party</w:t>
      </w:r>
      <w:r>
        <w:rPr>
          <w:rFonts w:ascii="Arial" w:cs="Arial" w:eastAsia="Arial" w:hAnsi="Arial"/>
          <w:sz w:val="18"/>
          <w:szCs w:val="18"/>
          <w:color w:val="auto"/>
        </w:rPr>
        <w:t>) is required by the terms of any Finance Document to pay an amount equal to the consideration for such supply to the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263" w:name="page264"/>
    <w:bookmarkEnd w:id="263"/>
    <w:p>
      <w:pPr>
        <w:ind w:left="1080"/>
        <w:spacing w:after="0"/>
        <w:rPr>
          <w:sz w:val="20"/>
          <w:szCs w:val="20"/>
          <w:color w:val="auto"/>
        </w:rPr>
      </w:pPr>
      <w:r>
        <w:rPr>
          <w:rFonts w:ascii="Arial" w:cs="Arial" w:eastAsia="Arial" w:hAnsi="Arial"/>
          <w:sz w:val="18"/>
          <w:szCs w:val="18"/>
          <w:color w:val="auto"/>
        </w:rPr>
        <w:t>Supplier (rather than being required to reimburse or indemnify the Recipient in respect of that consideration):</w:t>
      </w:r>
    </w:p>
    <w:p>
      <w:pPr>
        <w:spacing w:after="0" w:line="239" w:lineRule="exact"/>
        <w:rPr>
          <w:sz w:val="20"/>
          <w:szCs w:val="20"/>
          <w:color w:val="auto"/>
        </w:rPr>
      </w:pPr>
    </w:p>
    <w:p>
      <w:pPr>
        <w:ind w:left="1620" w:hanging="532"/>
        <w:spacing w:after="0" w:line="298" w:lineRule="auto"/>
        <w:tabs>
          <w:tab w:leader="none" w:pos="162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193" w:lineRule="exact"/>
        <w:rPr>
          <w:rFonts w:ascii="Arial" w:cs="Arial" w:eastAsia="Arial" w:hAnsi="Arial"/>
          <w:sz w:val="16"/>
          <w:szCs w:val="16"/>
          <w:color w:val="auto"/>
        </w:rPr>
      </w:pPr>
    </w:p>
    <w:p>
      <w:pPr>
        <w:ind w:left="1620" w:right="120" w:hanging="532"/>
        <w:spacing w:after="0" w:line="306" w:lineRule="auto"/>
        <w:tabs>
          <w:tab w:leader="none" w:pos="162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389"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21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20"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Tax Credit</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39" w:lineRule="exact"/>
        <w:rPr>
          <w:sz w:val="20"/>
          <w:szCs w:val="20"/>
          <w:color w:val="auto"/>
        </w:rPr>
      </w:pPr>
    </w:p>
    <w:p>
      <w:pPr>
        <w:ind w:left="1080" w:right="88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42"/>
        </w:trPr>
        <w:tc>
          <w:tcPr>
            <w:tcW w:w="4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440" w:type="dxa"/>
            <w:vAlign w:val="bottom"/>
          </w:tcPr>
          <w:p>
            <w:pPr>
              <w:ind w:left="100"/>
              <w:spacing w:after="0"/>
              <w:rPr>
                <w:sz w:val="20"/>
                <w:szCs w:val="20"/>
                <w:color w:val="auto"/>
              </w:rPr>
            </w:pPr>
            <w:r>
              <w:rPr>
                <w:rFonts w:ascii="Arial" w:cs="Arial" w:eastAsia="Arial" w:hAnsi="Arial"/>
                <w:sz w:val="18"/>
                <w:szCs w:val="18"/>
                <w:b w:val="1"/>
                <w:bCs w:val="1"/>
                <w:color w:val="auto"/>
              </w:rPr>
              <w:t>13</w:t>
            </w: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w w:val="83"/>
              </w:rPr>
              <w:t>Increased Costs</w:t>
            </w:r>
          </w:p>
        </w:tc>
      </w:tr>
      <w:tr>
        <w:trPr>
          <w:trHeight w:val="459"/>
        </w:trPr>
        <w:tc>
          <w:tcPr>
            <w:tcW w:w="44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Increased Costs</w:t>
            </w:r>
          </w:p>
        </w:tc>
      </w:tr>
    </w:tbl>
    <w:p>
      <w:pPr>
        <w:spacing w:after="0" w:line="200" w:lineRule="exact"/>
        <w:rPr>
          <w:sz w:val="20"/>
          <w:szCs w:val="20"/>
          <w:color w:val="auto"/>
        </w:rPr>
      </w:pPr>
    </w:p>
    <w:p>
      <w:pPr>
        <w:spacing w:after="0" w:line="239" w:lineRule="exact"/>
        <w:rPr>
          <w:sz w:val="20"/>
          <w:szCs w:val="20"/>
          <w:color w:val="auto"/>
        </w:rPr>
      </w:pPr>
    </w:p>
    <w:p>
      <w:pPr>
        <w:ind w:left="1080" w:right="20" w:hanging="532"/>
        <w:spacing w:after="0" w:line="268"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Borrowers shall, within three (3) Business Days of a demand by the Agent, pay for the account of a Finance Party the amount of any Increased Cost incurred by that Finance Party or any of its Affiliates which:</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1080" w:hanging="532"/>
        <w:spacing w:after="0"/>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620" w:hanging="532"/>
        <w:spacing w:after="0"/>
        <w:tabs>
          <w:tab w:leader="none" w:pos="16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25" w:lineRule="exact"/>
        <w:rPr>
          <w:sz w:val="20"/>
          <w:szCs w:val="20"/>
          <w:color w:val="auto"/>
        </w:rPr>
      </w:pPr>
    </w:p>
    <w:p>
      <w:pPr>
        <w:ind w:left="540" w:right="500"/>
        <w:spacing w:after="0" w:line="268"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200" w:lineRule="exact"/>
        <w:rPr>
          <w:sz w:val="20"/>
          <w:szCs w:val="20"/>
          <w:color w:val="auto"/>
        </w:rPr>
      </w:pPr>
    </w:p>
    <w:p>
      <w:pPr>
        <w:spacing w:after="0" w:line="288" w:lineRule="exact"/>
        <w:rPr>
          <w:sz w:val="20"/>
          <w:szCs w:val="20"/>
          <w:color w:val="auto"/>
        </w:rPr>
      </w:pPr>
    </w:p>
    <w:p>
      <w:pPr>
        <w:ind w:left="1080" w:right="32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Exceptions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52"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1080" w:hanging="532"/>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265" w:name="page266"/>
    <w:bookmarkEnd w:id="265"/>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Other indemnities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Currency indemnity</w:t>
      </w:r>
    </w:p>
    <w:p>
      <w:pPr>
        <w:spacing w:after="0" w:line="200" w:lineRule="exact"/>
        <w:rPr>
          <w:sz w:val="20"/>
          <w:szCs w:val="20"/>
          <w:color w:val="auto"/>
        </w:rPr>
      </w:pPr>
    </w:p>
    <w:p>
      <w:pPr>
        <w:spacing w:after="0" w:line="282" w:lineRule="exact"/>
        <w:rPr>
          <w:sz w:val="20"/>
          <w:szCs w:val="20"/>
          <w:color w:val="auto"/>
        </w:rPr>
      </w:pPr>
    </w:p>
    <w:p>
      <w:pPr>
        <w:ind w:left="1080" w:right="20" w:hanging="532"/>
        <w:spacing w:after="0" w:line="339" w:lineRule="auto"/>
        <w:tabs>
          <w:tab w:leader="none" w:pos="10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If any sum due from an Obligor under the Finance Documents (a </w:t>
      </w:r>
      <w:r>
        <w:rPr>
          <w:rFonts w:ascii="Arial" w:cs="Arial" w:eastAsia="Arial" w:hAnsi="Arial"/>
          <w:sz w:val="16"/>
          <w:szCs w:val="16"/>
          <w:b w:val="1"/>
          <w:bCs w:val="1"/>
          <w:color w:val="auto"/>
        </w:rPr>
        <w:t>Sum</w:t>
      </w:r>
      <w:r>
        <w:rPr>
          <w:rFonts w:ascii="Arial" w:cs="Arial" w:eastAsia="Arial" w:hAnsi="Arial"/>
          <w:sz w:val="16"/>
          <w:szCs w:val="16"/>
          <w:color w:val="auto"/>
        </w:rPr>
        <w:t xml:space="preserve">), or any order, judgment or award given or made in relation to a Sum,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xml:space="preserve">) in which that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363" w:lineRule="exact"/>
        <w:rPr>
          <w:rFonts w:ascii="Arial" w:cs="Arial" w:eastAsia="Arial" w:hAnsi="Arial"/>
          <w:sz w:val="16"/>
          <w:szCs w:val="16"/>
          <w:color w:val="auto"/>
        </w:rPr>
      </w:pPr>
    </w:p>
    <w:p>
      <w:pPr>
        <w:ind w:left="1620" w:hanging="532"/>
        <w:spacing w:after="0"/>
        <w:tabs>
          <w:tab w:leader="none" w:pos="16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25" w:lineRule="exact"/>
        <w:rPr>
          <w:rFonts w:ascii="Arial" w:cs="Arial" w:eastAsia="Arial" w:hAnsi="Arial"/>
          <w:sz w:val="18"/>
          <w:szCs w:val="18"/>
          <w:color w:val="auto"/>
        </w:rPr>
      </w:pPr>
    </w:p>
    <w:p>
      <w:pPr>
        <w:ind w:left="1620"/>
        <w:spacing w:after="0" w:line="256" w:lineRule="auto"/>
        <w:rPr>
          <w:rFonts w:ascii="Arial" w:cs="Arial" w:eastAsia="Arial" w:hAnsi="Arial"/>
          <w:sz w:val="18"/>
          <w:szCs w:val="18"/>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210"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Other indemnities</w:t>
      </w:r>
    </w:p>
    <w:p>
      <w:pPr>
        <w:spacing w:after="0" w:line="200" w:lineRule="exact"/>
        <w:rPr>
          <w:sz w:val="20"/>
          <w:szCs w:val="20"/>
          <w:color w:val="auto"/>
        </w:rPr>
      </w:pPr>
    </w:p>
    <w:p>
      <w:pPr>
        <w:spacing w:after="0" w:line="288" w:lineRule="exact"/>
        <w:rPr>
          <w:sz w:val="20"/>
          <w:szCs w:val="20"/>
          <w:color w:val="auto"/>
        </w:rPr>
      </w:pPr>
    </w:p>
    <w:p>
      <w:pPr>
        <w:ind w:left="1080" w:right="42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against any and all Losses incurred by that Finance Party (as the case may be) as a result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38"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34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Revolving Loan requested by the Borrowers in a Utilisation Request but not made by reason of the operation of any one or more of the provisions of this Agreement (other than by reason of default or negligence by that Finance Party alone);</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 Revolving Loan (or part of a Revolving Loan) not being prepaid in accordance with a notice of prepayment given by the Borrowers.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right="40" w:hanging="532"/>
        <w:spacing w:after="0" w:line="288" w:lineRule="auto"/>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Borrowers shall (or shall procure that another Obligor will), within three (3)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266" w:name="page267"/>
    <w:bookmarkEnd w:id="266"/>
    <w:p>
      <w:pPr>
        <w:ind w:left="1080" w:right="20"/>
        <w:spacing w:after="0" w:line="294" w:lineRule="auto"/>
        <w:rPr>
          <w:sz w:val="20"/>
          <w:szCs w:val="20"/>
          <w:color w:val="auto"/>
        </w:rPr>
      </w:pPr>
      <w:r>
        <w:rPr>
          <w:rFonts w:ascii="Arial" w:cs="Arial" w:eastAsia="Arial" w:hAnsi="Arial"/>
          <w:sz w:val="16"/>
          <w:szCs w:val="16"/>
          <w:color w:val="auto"/>
        </w:rPr>
        <w:t>involved in any of the transactions contemplated by the Finance Documents). This indemnity shall apply whether or not such claims, investigation, litigation or proceedings is brought by any Obligor, any other Group Member,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Indemnity to the Agent and Security Agent</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promptly indemnify the Agent and Security Agent against:</w:t>
      </w:r>
    </w:p>
    <w:p>
      <w:pPr>
        <w:spacing w:after="0" w:line="252" w:lineRule="exact"/>
        <w:rPr>
          <w:sz w:val="20"/>
          <w:szCs w:val="20"/>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without prejudice to clause 32.7(b)(i) as extended to the Security Agent by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investigating any event which it reasonably believes is a Default;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instructing lawyers, accountants, tax advisers, surveyors or other professional advisers or experts as permitted under this Agreement; or</w:t>
      </w:r>
    </w:p>
    <w:p>
      <w:pPr>
        <w:spacing w:after="0" w:line="261"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200" w:lineRule="exact"/>
        <w:rPr>
          <w:sz w:val="20"/>
          <w:szCs w:val="20"/>
          <w:color w:val="auto"/>
        </w:rPr>
      </w:pP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b w:val="1"/>
          <w:bCs w:val="1"/>
          <w:color w:val="auto"/>
        </w:rPr>
        <w:t>Indemnity concerning security</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failure by the Borrowers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38" w:lineRule="exact"/>
        <w:rPr>
          <w:rFonts w:ascii="Arial" w:cs="Arial" w:eastAsia="Arial" w:hAnsi="Arial"/>
          <w:sz w:val="18"/>
          <w:szCs w:val="18"/>
          <w:color w:val="auto"/>
        </w:rPr>
      </w:pPr>
    </w:p>
    <w:p>
      <w:pPr>
        <w:jc w:val="both"/>
        <w:ind w:left="1620" w:right="80" w:hanging="532"/>
        <w:spacing w:after="0" w:line="259" w:lineRule="auto"/>
        <w:tabs>
          <w:tab w:leader="none" w:pos="16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67" w:name="page268"/>
    <w:bookmarkEnd w:id="267"/>
    <w:p>
      <w:pPr>
        <w:ind w:left="1620" w:right="80" w:hanging="532"/>
        <w:spacing w:after="0" w:line="259" w:lineRule="auto"/>
        <w:tabs>
          <w:tab w:leader="none" w:pos="1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 or</w:t>
      </w:r>
    </w:p>
    <w:p>
      <w:pPr>
        <w:spacing w:after="0" w:line="220" w:lineRule="exact"/>
        <w:rPr>
          <w:rFonts w:ascii="Arial" w:cs="Arial" w:eastAsia="Arial" w:hAnsi="Arial"/>
          <w:sz w:val="18"/>
          <w:szCs w:val="18"/>
          <w:color w:val="auto"/>
        </w:rPr>
      </w:pPr>
    </w:p>
    <w:p>
      <w:pPr>
        <w:ind w:left="1620" w:hanging="532"/>
        <w:spacing w:after="0"/>
        <w:tabs>
          <w:tab w:leader="none" w:pos="1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w:t>
      </w:r>
    </w:p>
    <w:p>
      <w:pPr>
        <w:spacing w:after="0" w:line="200" w:lineRule="exact"/>
        <w:rPr>
          <w:sz w:val="20"/>
          <w:szCs w:val="20"/>
          <w:color w:val="auto"/>
        </w:rPr>
      </w:pPr>
    </w:p>
    <w:p>
      <w:pPr>
        <w:spacing w:after="0" w:line="255" w:lineRule="exact"/>
        <w:rPr>
          <w:sz w:val="20"/>
          <w:szCs w:val="20"/>
          <w:color w:val="auto"/>
        </w:rPr>
      </w:pPr>
    </w:p>
    <w:p>
      <w:pPr>
        <w:jc w:val="both"/>
        <w:ind w:left="1080" w:hanging="532"/>
        <w:spacing w:after="0" w:line="259"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5"/>
          <w:szCs w:val="15"/>
          <w:b w:val="1"/>
          <w:bCs w:val="1"/>
          <w:color w:val="auto"/>
        </w:rPr>
        <w:t>Continuation of indemnities</w:t>
      </w:r>
    </w:p>
    <w:p>
      <w:pPr>
        <w:spacing w:after="0" w:line="245"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Revolving Loans, the cancellation of the Total Commitments or the repudiation by the Agent or any of the Borrowers of this Agreement.</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Third Parties Act</w:t>
      </w:r>
    </w:p>
    <w:p>
      <w:pPr>
        <w:spacing w:after="0" w:line="258"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xml:space="preserve"> and 14.7 </w:t>
      </w:r>
      <w:r>
        <w:rPr>
          <w:rFonts w:ascii="Arial" w:cs="Arial" w:eastAsia="Arial" w:hAnsi="Arial"/>
          <w:sz w:val="18"/>
          <w:szCs w:val="18"/>
          <w:i w:val="1"/>
          <w:iCs w:val="1"/>
          <w:color w:val="auto"/>
        </w:rPr>
        <w:t xml:space="preserve">(Interest) </w:t>
      </w:r>
      <w:r>
        <w:rPr>
          <w:rFonts w:ascii="Arial" w:cs="Arial" w:eastAsia="Arial" w:hAnsi="Arial"/>
          <w:sz w:val="18"/>
          <w:szCs w:val="18"/>
          <w:color w:val="auto"/>
        </w:rPr>
        <w:t>insofar as it relates to interest on any amount demanded by that Indemnified Person under clause 14.4</w:t>
      </w:r>
      <w:r>
        <w:rPr>
          <w:rFonts w:ascii="Arial" w:cs="Arial" w:eastAsia="Arial" w:hAnsi="Arial"/>
          <w:sz w:val="18"/>
          <w:szCs w:val="18"/>
          <w:i w:val="1"/>
          <w:iCs w:val="1"/>
          <w:color w:val="auto"/>
        </w:rPr>
        <w:t xml:space="preserve"> (Indemnity concerning security)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Interest</w:t>
      </w:r>
    </w:p>
    <w:p>
      <w:pPr>
        <w:spacing w:after="0" w:line="245" w:lineRule="exact"/>
        <w:rPr>
          <w:sz w:val="20"/>
          <w:szCs w:val="20"/>
          <w:color w:val="auto"/>
        </w:rPr>
      </w:pPr>
    </w:p>
    <w:p>
      <w:pPr>
        <w:ind w:left="540" w:right="40"/>
        <w:spacing w:after="0" w:line="335" w:lineRule="auto"/>
        <w:rPr>
          <w:sz w:val="20"/>
          <w:szCs w:val="20"/>
          <w:color w:val="auto"/>
        </w:rPr>
      </w:pPr>
      <w:r>
        <w:rPr>
          <w:rFonts w:ascii="Arial" w:cs="Arial" w:eastAsia="Arial" w:hAnsi="Arial"/>
          <w:sz w:val="15"/>
          <w:szCs w:val="15"/>
          <w:color w:val="auto"/>
        </w:rPr>
        <w:t xml:space="preserve">Moneys becoming due by the Borrowers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Borrowers to such Indemnified Person (both before and after judgment) at the rate referred to in clause 8.3 </w:t>
      </w:r>
      <w:r>
        <w:rPr>
          <w:rFonts w:ascii="Arial" w:cs="Arial" w:eastAsia="Arial" w:hAnsi="Arial"/>
          <w:sz w:val="15"/>
          <w:szCs w:val="15"/>
          <w:i w:val="1"/>
          <w:iCs w:val="1"/>
          <w:color w:val="auto"/>
        </w:rPr>
        <w:t>(Default interest)</w:t>
      </w:r>
      <w:r>
        <w:rPr>
          <w:rFonts w:ascii="Arial" w:cs="Arial" w:eastAsia="Arial" w:hAnsi="Arial"/>
          <w:sz w:val="15"/>
          <w:szCs w:val="15"/>
          <w:color w:val="auto"/>
        </w:rPr>
        <w:t>.</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b w:val="1"/>
          <w:bCs w:val="1"/>
          <w:color w:val="auto"/>
        </w:rPr>
        <w:t>Exclusion of liability</w:t>
      </w:r>
    </w:p>
    <w:p>
      <w:pPr>
        <w:spacing w:after="0" w:line="245" w:lineRule="exact"/>
        <w:rPr>
          <w:sz w:val="20"/>
          <w:szCs w:val="20"/>
          <w:color w:val="auto"/>
        </w:rPr>
      </w:pPr>
    </w:p>
    <w:p>
      <w:pPr>
        <w:ind w:left="540" w:right="160"/>
        <w:spacing w:after="0" w:line="254" w:lineRule="auto"/>
        <w:rPr>
          <w:sz w:val="20"/>
          <w:szCs w:val="20"/>
          <w:color w:val="auto"/>
        </w:rPr>
      </w:pPr>
      <w:r>
        <w:rPr>
          <w:rFonts w:ascii="Arial" w:cs="Arial" w:eastAsia="Arial" w:hAnsi="Arial"/>
          <w:sz w:val="18"/>
          <w:szCs w:val="18"/>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and the provisions of the Third Parties Act.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Fax and email indemnity</w:t>
      </w:r>
    </w:p>
    <w:p>
      <w:pPr>
        <w:spacing w:after="0" w:line="258"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The Borrowers shall indemnify each Finance Party against any and all Losses together with any VAT thereon which any of the Finance Parties may sustain or incur as a consequence of any fax or email communication purporting to originate from the Borrowers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65" w:right="239" w:bottom="1440" w:gutter="0" w:footer="0" w:header="0"/>
        </w:sectPr>
      </w:pPr>
    </w:p>
    <w:bookmarkStart w:id="268" w:name="page269"/>
    <w:bookmarkEnd w:id="268"/>
    <w:p>
      <w:pPr>
        <w:spacing w:after="0"/>
        <w:tabs>
          <w:tab w:leader="none" w:pos="52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Waiver</w:t>
      </w:r>
    </w:p>
    <w:p>
      <w:pPr>
        <w:spacing w:after="0" w:line="245"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63" w:lineRule="exact"/>
        <w:rPr>
          <w:sz w:val="20"/>
          <w:szCs w:val="20"/>
          <w:color w:val="auto"/>
        </w:rPr>
      </w:pPr>
    </w:p>
    <w:p>
      <w:pPr>
        <w:ind w:right="9060" w:firstLine="8"/>
        <w:spacing w:after="0" w:line="541" w:lineRule="auto"/>
        <w:tabs>
          <w:tab w:leader="none" w:pos="5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 15.1 Mitigation</w:t>
      </w:r>
    </w:p>
    <w:p>
      <w:pPr>
        <w:spacing w:after="0" w:line="179" w:lineRule="exact"/>
        <w:rPr>
          <w:rFonts w:ascii="Arial" w:cs="Arial" w:eastAsia="Arial" w:hAnsi="Arial"/>
          <w:sz w:val="18"/>
          <w:szCs w:val="18"/>
          <w:b w:val="1"/>
          <w:bCs w:val="1"/>
          <w:color w:val="auto"/>
        </w:rPr>
      </w:pPr>
    </w:p>
    <w:p>
      <w:pPr>
        <w:ind w:left="1080" w:right="180" w:hanging="532"/>
        <w:spacing w:after="0" w:line="256" w:lineRule="auto"/>
        <w:tabs>
          <w:tab w:leader="none" w:pos="10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Limitation of liability</w:t>
      </w:r>
    </w:p>
    <w:p>
      <w:pPr>
        <w:spacing w:after="0" w:line="200" w:lineRule="exact"/>
        <w:rPr>
          <w:sz w:val="20"/>
          <w:szCs w:val="20"/>
          <w:color w:val="auto"/>
        </w:rPr>
      </w:pPr>
    </w:p>
    <w:p>
      <w:pPr>
        <w:spacing w:after="0" w:line="274" w:lineRule="exact"/>
        <w:rPr>
          <w:sz w:val="20"/>
          <w:szCs w:val="20"/>
          <w:color w:val="auto"/>
        </w:rPr>
      </w:pPr>
    </w:p>
    <w:p>
      <w:pPr>
        <w:ind w:left="1080" w:right="8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200" w:lineRule="exact"/>
        <w:rPr>
          <w:sz w:val="20"/>
          <w:szCs w:val="20"/>
          <w:color w:val="auto"/>
        </w:rPr>
      </w:pPr>
    </w:p>
    <w:p>
      <w:pPr>
        <w:spacing w:after="0" w:line="209" w:lineRule="exact"/>
        <w:rPr>
          <w:sz w:val="20"/>
          <w:szCs w:val="20"/>
          <w:color w:val="auto"/>
        </w:rPr>
      </w:pPr>
    </w:p>
    <w:p>
      <w:pPr>
        <w:ind w:right="9420" w:firstLine="8"/>
        <w:spacing w:after="0" w:line="576" w:lineRule="auto"/>
        <w:tabs>
          <w:tab w:leader="none" w:pos="54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16.1 Transaction expenses</w:t>
      </w:r>
    </w:p>
    <w:p>
      <w:pPr>
        <w:ind w:left="540" w:right="40"/>
        <w:spacing w:after="0" w:line="256" w:lineRule="auto"/>
        <w:rPr>
          <w:sz w:val="20"/>
          <w:szCs w:val="20"/>
          <w:color w:val="auto"/>
        </w:rPr>
      </w:pPr>
      <w:r>
        <w:rPr>
          <w:rFonts w:ascii="Arial" w:cs="Arial" w:eastAsia="Arial" w:hAnsi="Arial"/>
          <w:sz w:val="18"/>
          <w:szCs w:val="18"/>
          <w:color w:val="auto"/>
        </w:rPr>
        <w:t>The Borrowers shall promptly within five (5) Business Days of demand pay the Agent, the Arrangers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224" w:lineRule="exact"/>
        <w:rPr>
          <w:sz w:val="20"/>
          <w:szCs w:val="20"/>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Amendment costs</w:t>
      </w:r>
    </w:p>
    <w:p>
      <w:pPr>
        <w:spacing w:after="0" w:line="258"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If an Obligor requests an amendment, waiver or consent, the Borrowers shall, within five (5) Business Days of demand by the Agent, reimburse the Agent for the amount of all costs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69" w:name="page270"/>
    <w:bookmarkEnd w:id="269"/>
    <w:p>
      <w:pPr>
        <w:ind w:left="540" w:right="100"/>
        <w:spacing w:after="0" w:line="259" w:lineRule="auto"/>
        <w:rPr>
          <w:sz w:val="20"/>
          <w:szCs w:val="20"/>
          <w:color w:val="auto"/>
        </w:rPr>
      </w:pPr>
      <w:r>
        <w:rPr>
          <w:rFonts w:ascii="Arial" w:cs="Arial" w:eastAsia="Arial" w:hAnsi="Arial"/>
          <w:sz w:val="18"/>
          <w:szCs w:val="18"/>
          <w:color w:val="auto"/>
        </w:rPr>
        <w:t>expenses (including fees, costs and expenses of legal advisers and (subject to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insurance and other consultants and advisers) reasonably incurred by the Agent or the Security Agent (and by any Receiver or Delegate) in responding to, evaluating, negotiating or complying with that request or requirement.</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Valuations and inspection costs</w:t>
      </w:r>
    </w:p>
    <w:p>
      <w:pPr>
        <w:spacing w:after="0" w:line="245" w:lineRule="exact"/>
        <w:rPr>
          <w:sz w:val="20"/>
          <w:szCs w:val="20"/>
          <w:color w:val="auto"/>
        </w:rPr>
      </w:pPr>
    </w:p>
    <w:p>
      <w:pPr>
        <w:jc w:val="both"/>
        <w:ind w:left="540" w:right="160"/>
        <w:spacing w:after="0" w:line="335" w:lineRule="auto"/>
        <w:rPr>
          <w:sz w:val="20"/>
          <w:szCs w:val="20"/>
          <w:color w:val="auto"/>
        </w:rPr>
      </w:pPr>
      <w:r>
        <w:rPr>
          <w:rFonts w:ascii="Arial" w:cs="Arial" w:eastAsia="Arial" w:hAnsi="Arial"/>
          <w:sz w:val="15"/>
          <w:szCs w:val="15"/>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69" w:lineRule="exact"/>
        <w:rPr>
          <w:sz w:val="20"/>
          <w:szCs w:val="20"/>
          <w:color w:val="auto"/>
        </w:rPr>
      </w:pPr>
    </w:p>
    <w:p>
      <w:pPr>
        <w:ind w:left="108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inspection carried out under clause 23.8 (</w:t>
      </w:r>
      <w:r>
        <w:rPr>
          <w:rFonts w:ascii="Arial" w:cs="Arial" w:eastAsia="Arial" w:hAnsi="Arial"/>
          <w:sz w:val="16"/>
          <w:szCs w:val="16"/>
          <w:i w:val="1"/>
          <w:iCs w:val="1"/>
          <w:color w:val="auto"/>
        </w:rPr>
        <w:t>Inspection and notice of drydockings</w:t>
      </w:r>
      <w:r>
        <w:rPr>
          <w:rFonts w:ascii="Arial" w:cs="Arial" w:eastAsia="Arial" w:hAnsi="Arial"/>
          <w:sz w:val="16"/>
          <w:szCs w:val="16"/>
          <w:color w:val="auto"/>
        </w:rPr>
        <w:t>) or any survey carried out under clause 23.16 (</w:t>
      </w:r>
      <w:r>
        <w:rPr>
          <w:rFonts w:ascii="Arial" w:cs="Arial" w:eastAsia="Arial" w:hAnsi="Arial"/>
          <w:sz w:val="16"/>
          <w:szCs w:val="16"/>
          <w:i w:val="1"/>
          <w:iCs w:val="1"/>
          <w:color w:val="auto"/>
        </w:rPr>
        <w:t>Survey report</w:t>
      </w:r>
      <w:r>
        <w:rPr>
          <w:rFonts w:ascii="Arial" w:cs="Arial" w:eastAsia="Arial" w:hAnsi="Arial"/>
          <w:sz w:val="16"/>
          <w:szCs w:val="16"/>
          <w:color w:val="auto"/>
        </w:rPr>
        <w:t>).</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Enforcement and preservation costs</w:t>
      </w:r>
    </w:p>
    <w:p>
      <w:pPr>
        <w:spacing w:after="0" w:line="24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incurred by that Finance Party in connection with 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95" w:lineRule="exact"/>
        <w:rPr>
          <w:sz w:val="20"/>
          <w:szCs w:val="20"/>
          <w:color w:val="auto"/>
        </w:rPr>
      </w:pPr>
    </w:p>
    <w:p>
      <w:pPr>
        <w:jc w:val="both"/>
        <w:ind w:right="9060" w:firstLine="8"/>
        <w:spacing w:after="0" w:line="576" w:lineRule="auto"/>
        <w:tabs>
          <w:tab w:leader="none" w:pos="540"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Guarantee and indemnity 17.1 Guarantee and indemnity</w:t>
      </w: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Each Guarantor hereby irrevocably and unconditionally and jointly and severally with the other Guarantor:</w:t>
      </w:r>
    </w:p>
    <w:p>
      <w:pPr>
        <w:spacing w:after="0" w:line="238" w:lineRule="exact"/>
        <w:rPr>
          <w:rFonts w:ascii="Arial" w:cs="Arial" w:eastAsia="Arial" w:hAnsi="Arial"/>
          <w:sz w:val="16"/>
          <w:szCs w:val="16"/>
          <w:b w:val="1"/>
          <w:bCs w:val="1"/>
          <w:color w:val="auto"/>
        </w:rPr>
      </w:pPr>
    </w:p>
    <w:p>
      <w:pPr>
        <w:ind w:left="1080" w:right="60" w:hanging="532"/>
        <w:spacing w:after="0" w:line="268" w:lineRule="auto"/>
        <w:tabs>
          <w:tab w:leader="none" w:pos="10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207" w:lineRule="exact"/>
        <w:rPr>
          <w:rFonts w:ascii="Arial" w:cs="Arial" w:eastAsia="Arial" w:hAnsi="Arial"/>
          <w:sz w:val="18"/>
          <w:szCs w:val="18"/>
          <w:color w:val="auto"/>
        </w:rPr>
      </w:pPr>
    </w:p>
    <w:p>
      <w:pPr>
        <w:ind w:left="1080" w:right="760" w:hanging="532"/>
        <w:spacing w:after="0" w:line="331" w:lineRule="auto"/>
        <w:tabs>
          <w:tab w:leader="none" w:pos="108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370" w:lineRule="exact"/>
        <w:rPr>
          <w:rFonts w:ascii="Arial" w:cs="Arial" w:eastAsia="Arial" w:hAnsi="Arial"/>
          <w:sz w:val="16"/>
          <w:szCs w:val="16"/>
          <w:color w:val="auto"/>
        </w:rPr>
      </w:pPr>
    </w:p>
    <w:p>
      <w:pPr>
        <w:ind w:left="1620" w:hanging="532"/>
        <w:spacing w:after="0"/>
        <w:tabs>
          <w:tab w:leader="none" w:pos="162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  if any obligation guaranteed by it is or becomes unenforceable, invalid or illegal; or</w:t>
      </w:r>
    </w:p>
    <w:p>
      <w:pPr>
        <w:spacing w:after="0" w:line="200" w:lineRule="exact"/>
        <w:rPr>
          <w:sz w:val="20"/>
          <w:szCs w:val="20"/>
          <w:color w:val="auto"/>
        </w:rPr>
      </w:pPr>
    </w:p>
    <w:p>
      <w:pPr>
        <w:spacing w:after="0" w:line="268" w:lineRule="exact"/>
        <w:rPr>
          <w:sz w:val="20"/>
          <w:szCs w:val="20"/>
          <w:color w:val="auto"/>
        </w:rPr>
      </w:pPr>
    </w:p>
    <w:p>
      <w:pPr>
        <w:ind w:left="2160" w:hanging="532"/>
        <w:spacing w:after="0"/>
        <w:tabs>
          <w:tab w:leader="none" w:pos="2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70" w:name="page271"/>
    <w:bookmarkEnd w:id="270"/>
    <w:p>
      <w:pPr>
        <w:ind w:left="1620" w:right="420"/>
        <w:spacing w:after="0" w:line="331" w:lineRule="auto"/>
        <w:rPr>
          <w:sz w:val="20"/>
          <w:szCs w:val="20"/>
          <w:color w:val="auto"/>
        </w:rPr>
      </w:pPr>
      <w:r>
        <w:rPr>
          <w:rFonts w:ascii="Arial" w:cs="Arial" w:eastAsia="Arial" w:hAnsi="Arial"/>
          <w:sz w:val="16"/>
          <w:szCs w:val="16"/>
          <w:color w:val="auto"/>
        </w:rPr>
        <w:t>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168" w:lineRule="exact"/>
        <w:rPr>
          <w:sz w:val="20"/>
          <w:szCs w:val="20"/>
          <w:color w:val="auto"/>
        </w:rPr>
      </w:pPr>
    </w:p>
    <w:p>
      <w:pPr>
        <w:ind w:left="1620" w:right="20" w:hanging="532"/>
        <w:spacing w:after="0" w:line="256" w:lineRule="auto"/>
        <w:tabs>
          <w:tab w:leader="none" w:pos="16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 Law</w:t>
      </w:r>
      <w:r>
        <w:rPr>
          <w:rFonts w:ascii="Arial" w:cs="Arial" w:eastAsia="Arial" w:hAnsi="Arial"/>
          <w:sz w:val="18"/>
          <w:szCs w:val="18"/>
          <w:color w:val="auto"/>
        </w:rPr>
        <w:t>), there is a change in the currency, the value of the currency or the timing, place or manner in which any obligation guaranteed by a Guarantor is payable.</w:t>
      </w:r>
    </w:p>
    <w:p>
      <w:pPr>
        <w:spacing w:after="0" w:line="23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amount payable by a Guarantor under this indemnity: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hanging="532"/>
        <w:spacing w:after="0" w:line="331" w:lineRule="auto"/>
        <w:tabs>
          <w:tab w:leader="none" w:pos="216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67" w:lineRule="exact"/>
        <w:rPr>
          <w:rFonts w:ascii="Arial" w:cs="Arial" w:eastAsia="Arial" w:hAnsi="Arial"/>
          <w:sz w:val="16"/>
          <w:szCs w:val="16"/>
          <w:color w:val="auto"/>
        </w:rPr>
      </w:pPr>
    </w:p>
    <w:p>
      <w:pPr>
        <w:ind w:left="2160" w:right="20" w:hanging="532"/>
        <w:spacing w:after="0" w:line="254" w:lineRule="auto"/>
        <w:tabs>
          <w:tab w:leader="none" w:pos="21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as a result of a Change in Law.</w:t>
      </w:r>
    </w:p>
    <w:p>
      <w:pPr>
        <w:spacing w:after="0" w:line="200" w:lineRule="exact"/>
        <w:rPr>
          <w:sz w:val="20"/>
          <w:szCs w:val="20"/>
          <w:color w:val="auto"/>
        </w:rPr>
      </w:pPr>
    </w:p>
    <w:p>
      <w:pPr>
        <w:spacing w:after="0" w:line="257" w:lineRule="exact"/>
        <w:rPr>
          <w:sz w:val="20"/>
          <w:szCs w:val="20"/>
          <w:color w:val="auto"/>
        </w:rPr>
      </w:pPr>
    </w:p>
    <w:p>
      <w:pPr>
        <w:ind w:left="1620" w:right="40"/>
        <w:spacing w:after="0" w:line="291" w:lineRule="auto"/>
        <w:rPr>
          <w:sz w:val="20"/>
          <w:szCs w:val="20"/>
          <w:color w:val="auto"/>
        </w:rPr>
      </w:pPr>
      <w:r>
        <w:rPr>
          <w:rFonts w:ascii="Arial" w:cs="Arial" w:eastAsia="Arial" w:hAnsi="Arial"/>
          <w:sz w:val="16"/>
          <w:szCs w:val="16"/>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214" w:lineRule="exact"/>
        <w:rPr>
          <w:sz w:val="20"/>
          <w:szCs w:val="20"/>
          <w:color w:val="auto"/>
        </w:rPr>
      </w:pPr>
    </w:p>
    <w:p>
      <w:pPr>
        <w:ind w:left="1620"/>
        <w:spacing w:after="0" w:line="306" w:lineRule="auto"/>
        <w:rPr>
          <w:sz w:val="20"/>
          <w:szCs w:val="20"/>
          <w:color w:val="auto"/>
        </w:rPr>
      </w:pPr>
      <w:r>
        <w:rPr>
          <w:rFonts w:ascii="Arial" w:cs="Arial" w:eastAsia="Arial" w:hAnsi="Arial"/>
          <w:sz w:val="16"/>
          <w:szCs w:val="16"/>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Continuing guarantee</w:t>
      </w:r>
    </w:p>
    <w:p>
      <w:pPr>
        <w:spacing w:after="0" w:line="258"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5"/>
          <w:szCs w:val="15"/>
          <w:b w:val="1"/>
          <w:bCs w:val="1"/>
          <w:color w:val="auto"/>
        </w:rPr>
        <w:t>Reinstatement</w:t>
      </w:r>
    </w:p>
    <w:p>
      <w:pPr>
        <w:spacing w:after="0" w:line="24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92" w:right="219" w:bottom="1440" w:gutter="0" w:footer="0" w:header="0"/>
        </w:sectPr>
      </w:pPr>
    </w:p>
    <w:bookmarkStart w:id="271" w:name="page272"/>
    <w:bookmarkEnd w:id="271"/>
    <w:p>
      <w:pPr>
        <w:ind w:left="540" w:right="500"/>
        <w:spacing w:after="0" w:line="268" w:lineRule="auto"/>
        <w:rPr>
          <w:sz w:val="20"/>
          <w:szCs w:val="20"/>
          <w:color w:val="auto"/>
        </w:rPr>
      </w:pPr>
      <w:r>
        <w:rPr>
          <w:rFonts w:ascii="Arial" w:cs="Arial" w:eastAsia="Arial" w:hAnsi="Arial"/>
          <w:sz w:val="18"/>
          <w:szCs w:val="18"/>
          <w:color w:val="auto"/>
        </w:rPr>
        <w:t>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99" w:lineRule="exact"/>
        <w:rPr>
          <w:sz w:val="20"/>
          <w:szCs w:val="20"/>
          <w:color w:val="auto"/>
        </w:rPr>
      </w:pPr>
    </w:p>
    <w:p>
      <w:pPr>
        <w:ind w:left="1080" w:right="22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b w:val="1"/>
          <w:bCs w:val="1"/>
          <w:color w:val="auto"/>
        </w:rPr>
        <w:t>Waiver of defences</w:t>
      </w:r>
    </w:p>
    <w:p>
      <w:pPr>
        <w:spacing w:after="0" w:line="245" w:lineRule="exact"/>
        <w:rPr>
          <w:sz w:val="20"/>
          <w:szCs w:val="20"/>
          <w:color w:val="auto"/>
        </w:rPr>
      </w:pPr>
    </w:p>
    <w:p>
      <w:pPr>
        <w:ind w:left="540" w:right="160"/>
        <w:spacing w:after="0" w:line="331" w:lineRule="auto"/>
        <w:rPr>
          <w:sz w:val="20"/>
          <w:szCs w:val="20"/>
          <w:color w:val="auto"/>
        </w:rPr>
      </w:pPr>
      <w:r>
        <w:rPr>
          <w:rFonts w:ascii="Arial" w:cs="Arial" w:eastAsia="Arial" w:hAnsi="Arial"/>
          <w:sz w:val="16"/>
          <w:szCs w:val="16"/>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54" w:lineRule="exact"/>
        <w:rPr>
          <w:sz w:val="20"/>
          <w:szCs w:val="20"/>
          <w:color w:val="auto"/>
        </w:rPr>
      </w:pPr>
    </w:p>
    <w:p>
      <w:pPr>
        <w:ind w:left="1080" w:hanging="532"/>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release of any other Obligor or any other person under the terms of any composition or arrangement with any creditor of any other Obligor;</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incapacity or lack of power, authority or legal personality of or dissolution or change in the members or status of an Obligor or any other person;</w:t>
      </w:r>
    </w:p>
    <w:p>
      <w:pPr>
        <w:spacing w:after="0" w:line="275"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law of regulation of any jurisdiction or any other event affecting any term of the guaranteed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defense of the Guarantor;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5"/>
          <w:szCs w:val="15"/>
          <w:b w:val="1"/>
          <w:bCs w:val="1"/>
          <w:color w:val="auto"/>
        </w:rPr>
        <w:t>Immediate recourse</w:t>
      </w:r>
    </w:p>
    <w:p>
      <w:pPr>
        <w:spacing w:after="0" w:line="24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72" w:name="page273"/>
    <w:bookmarkEnd w:id="272"/>
    <w:p>
      <w:pPr>
        <w:spacing w:after="0"/>
        <w:tabs>
          <w:tab w:leader="none" w:pos="5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Appropriations</w:t>
      </w:r>
    </w:p>
    <w:p>
      <w:pPr>
        <w:spacing w:after="0" w:line="245"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213" w:lineRule="exact"/>
        <w:rPr>
          <w:sz w:val="20"/>
          <w:szCs w:val="20"/>
          <w:color w:val="auto"/>
        </w:rPr>
      </w:pPr>
    </w:p>
    <w:p>
      <w:pPr>
        <w:jc w:val="both"/>
        <w:ind w:left="1080" w:right="120" w:hanging="532"/>
        <w:spacing w:after="0" w:line="259"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hold in an interest-bearing suspense account any moneys received from any Guarantor or on account of a Guarantor's liability under this clause 17.</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Deferral of Guarantors' rights</w:t>
      </w:r>
    </w:p>
    <w:p>
      <w:pPr>
        <w:spacing w:after="0" w:line="245" w:lineRule="exact"/>
        <w:rPr>
          <w:sz w:val="20"/>
          <w:szCs w:val="20"/>
          <w:color w:val="auto"/>
        </w:rPr>
      </w:pPr>
    </w:p>
    <w:p>
      <w:pPr>
        <w:jc w:val="both"/>
        <w:ind w:left="540" w:right="140"/>
        <w:spacing w:after="0" w:line="306" w:lineRule="auto"/>
        <w:rPr>
          <w:sz w:val="20"/>
          <w:szCs w:val="20"/>
          <w:color w:val="auto"/>
        </w:rPr>
      </w:pPr>
      <w:r>
        <w:rPr>
          <w:rFonts w:ascii="Arial" w:cs="Arial" w:eastAsia="Arial" w:hAnsi="Arial"/>
          <w:sz w:val="16"/>
          <w:szCs w:val="16"/>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87" w:lineRule="exact"/>
        <w:rPr>
          <w:sz w:val="20"/>
          <w:szCs w:val="20"/>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38" w:lineRule="exact"/>
        <w:rPr>
          <w:rFonts w:ascii="Arial" w:cs="Arial" w:eastAsia="Arial" w:hAnsi="Arial"/>
          <w:sz w:val="18"/>
          <w:szCs w:val="18"/>
          <w:color w:val="auto"/>
        </w:rPr>
      </w:pPr>
    </w:p>
    <w:p>
      <w:pPr>
        <w:ind w:left="1080" w:right="500" w:hanging="532"/>
        <w:spacing w:after="0" w:line="331" w:lineRule="auto"/>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67"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79" w:lineRule="exact"/>
        <w:rPr>
          <w:rFonts w:ascii="Arial" w:cs="Arial" w:eastAsia="Arial" w:hAnsi="Arial"/>
          <w:sz w:val="18"/>
          <w:szCs w:val="18"/>
          <w:color w:val="auto"/>
        </w:rPr>
      </w:pPr>
    </w:p>
    <w:p>
      <w:pPr>
        <w:ind w:left="1080"/>
        <w:spacing w:after="0" w:line="259" w:lineRule="auto"/>
        <w:rPr>
          <w:rFonts w:ascii="Arial" w:cs="Arial" w:eastAsia="Arial" w:hAnsi="Arial"/>
          <w:sz w:val="18"/>
          <w:szCs w:val="18"/>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5"/>
          <w:szCs w:val="15"/>
          <w:b w:val="1"/>
          <w:bCs w:val="1"/>
          <w:color w:val="auto"/>
        </w:rPr>
        <w:t>Additional security</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guarantee is in addition to and is not in any way prejudiced by any other guarantee or security now or subsequently held by any Finance Party.</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5"/>
          <w:szCs w:val="15"/>
          <w:b w:val="1"/>
          <w:bCs w:val="1"/>
          <w:color w:val="auto"/>
        </w:rPr>
        <w:t>Guarantors' rights and obligations</w:t>
      </w:r>
    </w:p>
    <w:p>
      <w:pPr>
        <w:spacing w:after="0" w:line="200" w:lineRule="exact"/>
        <w:rPr>
          <w:sz w:val="20"/>
          <w:szCs w:val="20"/>
          <w:color w:val="auto"/>
        </w:rPr>
      </w:pPr>
    </w:p>
    <w:p>
      <w:pPr>
        <w:spacing w:after="0" w:line="288" w:lineRule="exact"/>
        <w:rPr>
          <w:sz w:val="20"/>
          <w:szCs w:val="20"/>
          <w:color w:val="auto"/>
        </w:rPr>
      </w:pPr>
    </w:p>
    <w:p>
      <w:pPr>
        <w:ind w:left="1080" w:right="600" w:hanging="532"/>
        <w:spacing w:after="0" w:line="331" w:lineRule="auto"/>
        <w:tabs>
          <w:tab w:leader="none" w:pos="10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73" w:name="page274"/>
    <w:bookmarkEnd w:id="273"/>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agrees that it is responsible for the performance of the obligations of the other Guarantor under the Guarantee and this Agreement;</w:t>
      </w:r>
    </w:p>
    <w:p>
      <w:pPr>
        <w:spacing w:after="0" w:line="261" w:lineRule="exact"/>
        <w:rPr>
          <w:rFonts w:ascii="Arial" w:cs="Arial" w:eastAsia="Arial" w:hAnsi="Arial"/>
          <w:sz w:val="16"/>
          <w:szCs w:val="16"/>
          <w:color w:val="auto"/>
        </w:rPr>
      </w:pPr>
    </w:p>
    <w:p>
      <w:pPr>
        <w:ind w:left="1620" w:right="40" w:hanging="532"/>
        <w:spacing w:after="0" w:line="268" w:lineRule="auto"/>
        <w:tabs>
          <w:tab w:leader="none" w:pos="16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99" w:lineRule="exact"/>
        <w:rPr>
          <w:rFonts w:ascii="Arial" w:cs="Arial" w:eastAsia="Arial" w:hAnsi="Arial"/>
          <w:sz w:val="18"/>
          <w:szCs w:val="18"/>
          <w:color w:val="auto"/>
        </w:rPr>
      </w:pPr>
    </w:p>
    <w:p>
      <w:pPr>
        <w:ind w:left="1620" w:right="100" w:hanging="532"/>
        <w:spacing w:after="0" w:line="317" w:lineRule="auto"/>
        <w:tabs>
          <w:tab w:leader="none" w:pos="1620" w:val="left"/>
        </w:tabs>
        <w:numPr>
          <w:ilvl w:val="1"/>
          <w:numId w:val="314"/>
        </w:numPr>
        <w:rPr>
          <w:rFonts w:ascii="Arial" w:cs="Arial" w:eastAsia="Arial" w:hAnsi="Arial"/>
          <w:sz w:val="15"/>
          <w:szCs w:val="15"/>
          <w:color w:val="auto"/>
        </w:rPr>
      </w:pPr>
      <w:r>
        <w:rPr>
          <w:rFonts w:ascii="Arial" w:cs="Arial" w:eastAsia="Arial" w:hAnsi="Arial"/>
          <w:sz w:val="15"/>
          <w:szCs w:val="15"/>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399" w:lineRule="exact"/>
        <w:rPr>
          <w:rFonts w:ascii="Arial" w:cs="Arial" w:eastAsia="Arial" w:hAnsi="Arial"/>
          <w:sz w:val="15"/>
          <w:szCs w:val="15"/>
          <w:color w:val="auto"/>
        </w:rPr>
      </w:pPr>
    </w:p>
    <w:p>
      <w:pPr>
        <w:ind w:left="1080" w:right="140" w:hanging="532"/>
        <w:spacing w:after="0" w:line="259"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200" w:lineRule="exact"/>
        <w:rPr>
          <w:sz w:val="20"/>
          <w:szCs w:val="20"/>
          <w:color w:val="auto"/>
        </w:rPr>
      </w:pPr>
    </w:p>
    <w:p>
      <w:pPr>
        <w:spacing w:after="0" w:line="217" w:lineRule="exact"/>
        <w:rPr>
          <w:sz w:val="20"/>
          <w:szCs w:val="20"/>
          <w:color w:val="auto"/>
        </w:rPr>
      </w:pPr>
    </w:p>
    <w:p>
      <w:pPr>
        <w:ind w:left="540" w:hanging="532"/>
        <w:spacing w:after="0"/>
        <w:tabs>
          <w:tab w:leader="none" w:pos="5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31" w:lineRule="exact"/>
        <w:rPr>
          <w:rFonts w:ascii="Arial" w:cs="Arial" w:eastAsia="Arial" w:hAnsi="Arial"/>
          <w:sz w:val="18"/>
          <w:szCs w:val="18"/>
          <w:b w:val="1"/>
          <w:bCs w:val="1"/>
          <w:color w:val="auto"/>
        </w:rPr>
      </w:pPr>
    </w:p>
    <w:p>
      <w:pPr>
        <w:ind w:left="54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Obligor makes and repeats the representations and warranties set out in this clause 18 to each Finance Party at the times specified in clause 18.33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5"/>
          <w:szCs w:val="15"/>
          <w:b w:val="1"/>
          <w:bCs w:val="1"/>
          <w:color w:val="auto"/>
        </w:rPr>
        <w:t>Status</w:t>
      </w:r>
    </w:p>
    <w:p>
      <w:pPr>
        <w:spacing w:after="0" w:line="200" w:lineRule="exact"/>
        <w:rPr>
          <w:sz w:val="20"/>
          <w:szCs w:val="20"/>
          <w:color w:val="auto"/>
        </w:rPr>
      </w:pPr>
    </w:p>
    <w:p>
      <w:pPr>
        <w:spacing w:after="0" w:line="288" w:lineRule="exact"/>
        <w:rPr>
          <w:sz w:val="20"/>
          <w:szCs w:val="20"/>
          <w:color w:val="auto"/>
        </w:rPr>
      </w:pPr>
    </w:p>
    <w:p>
      <w:pPr>
        <w:ind w:left="1080" w:right="60" w:hanging="532"/>
        <w:spacing w:after="0" w:line="256"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has no centre of main interests, permanent establishment or place of business outside the jurisdiction in which it is incorporated (save as notified to the Agent) and is in compliance with its Constitutional Documents.</w:t>
      </w:r>
    </w:p>
    <w:p>
      <w:pPr>
        <w:spacing w:after="0" w:line="210"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b w:val="1"/>
          <w:bCs w:val="1"/>
          <w:color w:val="auto"/>
        </w:rPr>
        <w:t>Binding obligations</w:t>
      </w:r>
    </w:p>
    <w:p>
      <w:pPr>
        <w:spacing w:after="0" w:line="24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Power and authority</w:t>
      </w:r>
    </w:p>
    <w:p>
      <w:pPr>
        <w:spacing w:after="0" w:line="200" w:lineRule="exact"/>
        <w:rPr>
          <w:sz w:val="20"/>
          <w:szCs w:val="20"/>
          <w:color w:val="auto"/>
        </w:rPr>
      </w:pPr>
    </w:p>
    <w:p>
      <w:pPr>
        <w:spacing w:after="0" w:line="288" w:lineRule="exact"/>
        <w:rPr>
          <w:sz w:val="20"/>
          <w:szCs w:val="20"/>
          <w:color w:val="auto"/>
        </w:rPr>
      </w:pPr>
    </w:p>
    <w:p>
      <w:pPr>
        <w:ind w:left="1080" w:right="420" w:hanging="532"/>
        <w:spacing w:after="0" w:line="268"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65" w:right="219" w:bottom="1440" w:gutter="0" w:footer="0" w:header="0"/>
        </w:sectPr>
      </w:pPr>
    </w:p>
    <w:bookmarkStart w:id="274" w:name="page275"/>
    <w:bookmarkEnd w:id="274"/>
    <w:p>
      <w:pPr>
        <w:ind w:left="1080" w:right="260"/>
        <w:spacing w:after="0" w:line="268" w:lineRule="auto"/>
        <w:rPr>
          <w:sz w:val="20"/>
          <w:szCs w:val="20"/>
          <w:color w:val="auto"/>
        </w:rPr>
      </w:pPr>
      <w:r>
        <w:rPr>
          <w:rFonts w:ascii="Arial" w:cs="Arial" w:eastAsia="Arial" w:hAnsi="Arial"/>
          <w:sz w:val="18"/>
          <w:szCs w:val="18"/>
          <w:color w:val="auto"/>
        </w:rPr>
        <w:t>into by it, all necessary action to authorise its entry into, each Finance Document and any Charter Document to which it is, or is to be a party and each of the transactions contemplated by those documents.</w:t>
      </w:r>
    </w:p>
    <w:p>
      <w:pPr>
        <w:spacing w:after="0" w:line="199" w:lineRule="exact"/>
        <w:rPr>
          <w:sz w:val="20"/>
          <w:szCs w:val="20"/>
          <w:color w:val="auto"/>
        </w:rPr>
      </w:pPr>
    </w:p>
    <w:p>
      <w:pPr>
        <w:ind w:left="1080" w:hanging="532"/>
        <w:spacing w:after="0" w:line="268" w:lineRule="auto"/>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Non-conflict</w:t>
      </w:r>
    </w:p>
    <w:p>
      <w:pPr>
        <w:spacing w:after="0" w:line="258" w:lineRule="exact"/>
        <w:rPr>
          <w:sz w:val="20"/>
          <w:szCs w:val="20"/>
          <w:color w:val="auto"/>
        </w:rPr>
      </w:pPr>
    </w:p>
    <w:p>
      <w:pPr>
        <w:ind w:left="540" w:right="620"/>
        <w:spacing w:after="0" w:line="331" w:lineRule="auto"/>
        <w:rPr>
          <w:sz w:val="20"/>
          <w:szCs w:val="20"/>
          <w:color w:val="auto"/>
        </w:rPr>
      </w:pPr>
      <w:r>
        <w:rPr>
          <w:rFonts w:ascii="Arial" w:cs="Arial" w:eastAsia="Arial" w:hAnsi="Arial"/>
          <w:sz w:val="16"/>
          <w:szCs w:val="16"/>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54" w:lineRule="exact"/>
        <w:rPr>
          <w:sz w:val="20"/>
          <w:szCs w:val="20"/>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w:t>
      </w:r>
    </w:p>
    <w:p>
      <w:pPr>
        <w:spacing w:after="0" w:line="225" w:lineRule="exact"/>
        <w:rPr>
          <w:sz w:val="20"/>
          <w:szCs w:val="20"/>
          <w:color w:val="auto"/>
        </w:rPr>
      </w:pPr>
    </w:p>
    <w:p>
      <w:pPr>
        <w:ind w:left="540" w:right="300"/>
        <w:spacing w:after="0" w:line="331" w:lineRule="auto"/>
        <w:rPr>
          <w:sz w:val="20"/>
          <w:szCs w:val="20"/>
          <w:color w:val="auto"/>
        </w:rPr>
      </w:pPr>
      <w:r>
        <w:rPr>
          <w:rFonts w:ascii="Arial" w:cs="Arial" w:eastAsia="Arial" w:hAnsi="Arial"/>
          <w:sz w:val="16"/>
          <w:szCs w:val="16"/>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5"/>
          <w:szCs w:val="15"/>
          <w:b w:val="1"/>
          <w:bCs w:val="1"/>
          <w:color w:val="auto"/>
        </w:rPr>
        <w:t>Validity and admissibility in evidence</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40" w:hanging="532"/>
        <w:spacing w:after="0" w:line="268" w:lineRule="auto"/>
        <w:tabs>
          <w:tab w:leader="none" w:pos="1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to make each Finance Document and any Charter Document to which it is a party admissible in evidence in its Relevant Jurisdiction;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to ensure that each of the Security Interests created under the Security Documents has the priority and ranking contemplated by them,</w:t>
      </w:r>
    </w:p>
    <w:p>
      <w:pPr>
        <w:spacing w:after="0" w:line="200" w:lineRule="exact"/>
        <w:rPr>
          <w:sz w:val="20"/>
          <w:szCs w:val="20"/>
          <w:color w:val="auto"/>
        </w:rPr>
      </w:pPr>
    </w:p>
    <w:p>
      <w:pPr>
        <w:spacing w:after="0" w:line="318" w:lineRule="exact"/>
        <w:rPr>
          <w:sz w:val="20"/>
          <w:szCs w:val="20"/>
          <w:color w:val="auto"/>
        </w:rPr>
      </w:pPr>
    </w:p>
    <w:p>
      <w:pPr>
        <w:jc w:val="both"/>
        <w:ind w:left="1080" w:right="120"/>
        <w:spacing w:after="0" w:line="259" w:lineRule="auto"/>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which authorisation or filing will be promptly obtained or effected within any applicable period.</w:t>
      </w:r>
    </w:p>
    <w:p>
      <w:pPr>
        <w:spacing w:after="0" w:line="207" w:lineRule="exact"/>
        <w:rPr>
          <w:sz w:val="20"/>
          <w:szCs w:val="20"/>
          <w:color w:val="auto"/>
        </w:rPr>
      </w:pPr>
    </w:p>
    <w:p>
      <w:pPr>
        <w:ind w:left="1080" w:right="160" w:hanging="532"/>
        <w:spacing w:after="0" w:line="331" w:lineRule="auto"/>
        <w:tabs>
          <w:tab w:leader="none" w:pos="10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Governing law and enforcement</w:t>
      </w:r>
    </w:p>
    <w:p>
      <w:pPr>
        <w:spacing w:after="0" w:line="200" w:lineRule="exact"/>
        <w:rPr>
          <w:sz w:val="20"/>
          <w:szCs w:val="20"/>
          <w:color w:val="auto"/>
        </w:rPr>
      </w:pPr>
    </w:p>
    <w:p>
      <w:pPr>
        <w:spacing w:after="0" w:line="288" w:lineRule="exact"/>
        <w:rPr>
          <w:sz w:val="20"/>
          <w:szCs w:val="20"/>
          <w:color w:val="auto"/>
        </w:rPr>
      </w:pPr>
    </w:p>
    <w:p>
      <w:pPr>
        <w:ind w:left="1080" w:right="260" w:hanging="532"/>
        <w:spacing w:after="0" w:line="268"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and any Charter Document will be recognised and enforced in each Obligor's Relevant Jurisdictions.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75" w:name="page276"/>
    <w:bookmarkEnd w:id="275"/>
    <w:p>
      <w:pPr>
        <w:ind w:left="1080" w:right="38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Information</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Information does not omit anything which could make the Information incomplete, untrue, inaccurate or misleading in any material respect.</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93" w:lineRule="exact"/>
        <w:rPr>
          <w:rFonts w:ascii="Arial" w:cs="Arial" w:eastAsia="Arial" w:hAnsi="Arial"/>
          <w:sz w:val="18"/>
          <w:szCs w:val="18"/>
          <w:color w:val="auto"/>
        </w:rPr>
      </w:pPr>
    </w:p>
    <w:p>
      <w:pPr>
        <w:ind w:left="1080" w:right="20" w:hanging="532"/>
        <w:spacing w:after="0" w:line="262"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200" w:lineRule="exact"/>
        <w:rPr>
          <w:sz w:val="20"/>
          <w:szCs w:val="20"/>
          <w:color w:val="auto"/>
        </w:rPr>
      </w:pP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Original Financial Statements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and the Group (consolidated in the case of the Group and the Guarantors) during the relevant financial year.</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since the date of the latest Financial Statements delivered under this Agreement to the Finance Parties which has had or might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Pari passu ranking</w:t>
      </w:r>
    </w:p>
    <w:p>
      <w:pPr>
        <w:spacing w:after="0" w:line="245" w:lineRule="exact"/>
        <w:rPr>
          <w:sz w:val="20"/>
          <w:szCs w:val="20"/>
          <w:color w:val="auto"/>
        </w:rPr>
      </w:pPr>
    </w:p>
    <w:p>
      <w:pPr>
        <w:ind w:left="540" w:right="360"/>
        <w:spacing w:after="0" w:line="331" w:lineRule="auto"/>
        <w:rPr>
          <w:sz w:val="20"/>
          <w:szCs w:val="20"/>
          <w:color w:val="auto"/>
        </w:rPr>
      </w:pPr>
      <w:r>
        <w:rPr>
          <w:rFonts w:ascii="Arial" w:cs="Arial" w:eastAsia="Arial" w:hAnsi="Arial"/>
          <w:sz w:val="16"/>
          <w:szCs w:val="16"/>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5"/>
          <w:szCs w:val="15"/>
          <w:b w:val="1"/>
          <w:bCs w:val="1"/>
          <w:color w:val="auto"/>
        </w:rPr>
        <w:t>Ranking and effectiveness of security</w:t>
      </w:r>
    </w:p>
    <w:p>
      <w:pPr>
        <w:spacing w:after="0" w:line="245"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precedent to first Utilisation and to each further Utilisation</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76" w:name="page277"/>
    <w:bookmarkEnd w:id="276"/>
    <w:p>
      <w:pPr>
        <w:spacing w:after="0"/>
        <w:tabs>
          <w:tab w:leader="none" w:pos="52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5"/>
          <w:szCs w:val="15"/>
          <w:b w:val="1"/>
          <w:bCs w:val="1"/>
          <w:color w:val="auto"/>
        </w:rPr>
        <w:t>No insolvency</w:t>
      </w:r>
    </w:p>
    <w:p>
      <w:pPr>
        <w:spacing w:after="0" w:line="24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No corporate action, legal proceeding or other procedure or step described in clause 29.9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29.10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29.8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5"/>
          <w:szCs w:val="15"/>
          <w:b w:val="1"/>
          <w:bCs w:val="1"/>
          <w:color w:val="auto"/>
        </w:rPr>
        <w:t>No filing or stamp taxes</w:t>
      </w:r>
    </w:p>
    <w:p>
      <w:pPr>
        <w:spacing w:after="0" w:line="258"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b w:val="1"/>
          <w:bCs w:val="1"/>
          <w:color w:val="auto"/>
        </w:rPr>
        <w:t>Tax</w:t>
      </w:r>
    </w:p>
    <w:p>
      <w:pPr>
        <w:spacing w:after="0" w:line="245" w:lineRule="exact"/>
        <w:rPr>
          <w:sz w:val="20"/>
          <w:szCs w:val="20"/>
          <w:color w:val="auto"/>
        </w:rPr>
      </w:pPr>
    </w:p>
    <w:p>
      <w:pPr>
        <w:ind w:left="540" w:right="140"/>
        <w:spacing w:after="0" w:line="331" w:lineRule="auto"/>
        <w:rPr>
          <w:sz w:val="20"/>
          <w:szCs w:val="20"/>
          <w:color w:val="auto"/>
        </w:rPr>
      </w:pPr>
      <w:r>
        <w:rPr>
          <w:rFonts w:ascii="Arial" w:cs="Arial" w:eastAsia="Arial" w:hAnsi="Arial"/>
          <w:sz w:val="16"/>
          <w:szCs w:val="16"/>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b w:val="1"/>
          <w:bCs w:val="1"/>
          <w:color w:val="auto"/>
        </w:rPr>
        <w:t>No Default</w:t>
      </w:r>
    </w:p>
    <w:p>
      <w:pPr>
        <w:spacing w:after="0" w:line="200" w:lineRule="exact"/>
        <w:rPr>
          <w:sz w:val="20"/>
          <w:szCs w:val="20"/>
          <w:color w:val="auto"/>
        </w:rPr>
      </w:pPr>
    </w:p>
    <w:p>
      <w:pPr>
        <w:spacing w:after="0" w:line="288" w:lineRule="exact"/>
        <w:rPr>
          <w:sz w:val="20"/>
          <w:szCs w:val="20"/>
          <w:color w:val="auto"/>
        </w:rPr>
      </w:pPr>
    </w:p>
    <w:p>
      <w:pPr>
        <w:ind w:left="1080" w:right="22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any Utilisation or the entry into, the performance of, or any transaction contemplated by, any Finance Document or any Charter Document.</w:t>
      </w:r>
    </w:p>
    <w:p>
      <w:pPr>
        <w:spacing w:after="0" w:line="199"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2017, which have had or might reasonably be expected to have a Material Adverse Effect.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5"/>
          <w:szCs w:val="15"/>
          <w:b w:val="1"/>
          <w:bCs w:val="1"/>
          <w:color w:val="auto"/>
        </w:rPr>
        <w:t>No proceedings pending or threatened</w:t>
      </w:r>
    </w:p>
    <w:p>
      <w:pPr>
        <w:spacing w:after="0" w:line="258" w:lineRule="exact"/>
        <w:rPr>
          <w:sz w:val="20"/>
          <w:szCs w:val="20"/>
          <w:color w:val="auto"/>
        </w:rPr>
      </w:pPr>
    </w:p>
    <w:p>
      <w:pPr>
        <w:ind w:left="540" w:right="400"/>
        <w:spacing w:after="0" w:line="306" w:lineRule="auto"/>
        <w:rPr>
          <w:sz w:val="20"/>
          <w:szCs w:val="20"/>
          <w:color w:val="auto"/>
        </w:rPr>
      </w:pPr>
      <w:r>
        <w:rPr>
          <w:rFonts w:ascii="Arial" w:cs="Arial" w:eastAsia="Arial" w:hAnsi="Arial"/>
          <w:sz w:val="16"/>
          <w:szCs w:val="16"/>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277" w:name="page278"/>
    <w:bookmarkEnd w:id="277"/>
    <w:p>
      <w:pPr>
        <w:spacing w:after="0"/>
        <w:tabs>
          <w:tab w:leader="none" w:pos="52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5"/>
          <w:szCs w:val="15"/>
          <w:b w:val="1"/>
          <w:bCs w:val="1"/>
          <w:color w:val="auto"/>
        </w:rPr>
        <w:t>No breach of laws</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68"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18.17</w:t>
      </w:r>
      <w:r>
        <w:rPr>
          <w:sz w:val="20"/>
          <w:szCs w:val="20"/>
          <w:color w:val="auto"/>
        </w:rPr>
        <w:tab/>
      </w:r>
      <w:r>
        <w:rPr>
          <w:rFonts w:ascii="Arial" w:cs="Arial" w:eastAsia="Arial" w:hAnsi="Arial"/>
          <w:sz w:val="16"/>
          <w:szCs w:val="16"/>
          <w:b w:val="1"/>
          <w:bCs w:val="1"/>
          <w:color w:val="auto"/>
        </w:rPr>
        <w:t>Environmental matters</w:t>
      </w:r>
    </w:p>
    <w:p>
      <w:pPr>
        <w:spacing w:after="0" w:line="200" w:lineRule="exact"/>
        <w:rPr>
          <w:sz w:val="20"/>
          <w:szCs w:val="20"/>
          <w:color w:val="auto"/>
        </w:rPr>
      </w:pPr>
    </w:p>
    <w:p>
      <w:pPr>
        <w:spacing w:after="0" w:line="288" w:lineRule="exact"/>
        <w:rPr>
          <w:sz w:val="20"/>
          <w:szCs w:val="20"/>
          <w:color w:val="auto"/>
        </w:rPr>
      </w:pPr>
    </w:p>
    <w:p>
      <w:pPr>
        <w:ind w:left="1080" w:right="320" w:hanging="532"/>
        <w:spacing w:after="0" w:line="268"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18.18</w:t>
      </w:r>
      <w:r>
        <w:rPr>
          <w:sz w:val="20"/>
          <w:szCs w:val="20"/>
          <w:color w:val="auto"/>
        </w:rPr>
        <w:tab/>
      </w:r>
      <w:r>
        <w:rPr>
          <w:rFonts w:ascii="Arial" w:cs="Arial" w:eastAsia="Arial" w:hAnsi="Arial"/>
          <w:sz w:val="15"/>
          <w:szCs w:val="15"/>
          <w:b w:val="1"/>
          <w:bCs w:val="1"/>
          <w:color w:val="auto"/>
        </w:rPr>
        <w:t>Tax compliance</w:t>
      </w:r>
    </w:p>
    <w:p>
      <w:pPr>
        <w:spacing w:after="0" w:line="200" w:lineRule="exact"/>
        <w:rPr>
          <w:sz w:val="20"/>
          <w:szCs w:val="20"/>
          <w:color w:val="auto"/>
        </w:rPr>
      </w:pPr>
    </w:p>
    <w:p>
      <w:pPr>
        <w:spacing w:after="0" w:line="288" w:lineRule="exact"/>
        <w:rPr>
          <w:sz w:val="20"/>
          <w:szCs w:val="20"/>
          <w:color w:val="auto"/>
        </w:rPr>
      </w:pPr>
    </w:p>
    <w:p>
      <w:pPr>
        <w:ind w:left="1080" w:right="46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w:t>
      </w:r>
    </w:p>
    <w:p>
      <w:pPr>
        <w:spacing w:after="0" w:line="199"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18.19</w:t>
      </w:r>
      <w:r>
        <w:rPr>
          <w:sz w:val="20"/>
          <w:szCs w:val="20"/>
          <w:color w:val="auto"/>
        </w:rPr>
        <w:tab/>
      </w:r>
      <w:r>
        <w:rPr>
          <w:rFonts w:ascii="Arial" w:cs="Arial" w:eastAsia="Arial" w:hAnsi="Arial"/>
          <w:sz w:val="16"/>
          <w:szCs w:val="16"/>
          <w:b w:val="1"/>
          <w:bCs w:val="1"/>
          <w:color w:val="auto"/>
        </w:rPr>
        <w:t>Anti-corruption law</w:t>
      </w:r>
    </w:p>
    <w:p>
      <w:pPr>
        <w:spacing w:after="0" w:line="24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18.20</w:t>
      </w:r>
      <w:r>
        <w:rPr>
          <w:sz w:val="20"/>
          <w:szCs w:val="20"/>
          <w:color w:val="auto"/>
        </w:rPr>
        <w:tab/>
      </w:r>
      <w:r>
        <w:rPr>
          <w:rFonts w:ascii="Arial" w:cs="Arial" w:eastAsia="Arial" w:hAnsi="Arial"/>
          <w:sz w:val="15"/>
          <w:szCs w:val="15"/>
          <w:b w:val="1"/>
          <w:bCs w:val="1"/>
          <w:color w:val="auto"/>
        </w:rPr>
        <w:t>Security and Financial Indebtedness</w:t>
      </w:r>
    </w:p>
    <w:p>
      <w:pPr>
        <w:spacing w:after="0" w:line="200" w:lineRule="exact"/>
        <w:rPr>
          <w:sz w:val="20"/>
          <w:szCs w:val="20"/>
          <w:color w:val="auto"/>
        </w:rPr>
      </w:pPr>
    </w:p>
    <w:p>
      <w:pPr>
        <w:spacing w:after="0" w:line="288" w:lineRule="exact"/>
        <w:rPr>
          <w:sz w:val="20"/>
          <w:szCs w:val="20"/>
          <w:color w:val="auto"/>
        </w:rPr>
      </w:pPr>
    </w:p>
    <w:p>
      <w:pPr>
        <w:ind w:left="1080" w:right="1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78" w:name="page279"/>
    <w:bookmarkEnd w:id="278"/>
    <w:p>
      <w:pPr>
        <w:spacing w:after="0"/>
        <w:tabs>
          <w:tab w:leader="none" w:pos="520" w:val="left"/>
        </w:tabs>
        <w:rPr>
          <w:sz w:val="20"/>
          <w:szCs w:val="20"/>
          <w:color w:val="auto"/>
        </w:rPr>
      </w:pPr>
      <w:r>
        <w:rPr>
          <w:rFonts w:ascii="Arial" w:cs="Arial" w:eastAsia="Arial" w:hAnsi="Arial"/>
          <w:sz w:val="18"/>
          <w:szCs w:val="18"/>
          <w:b w:val="1"/>
          <w:bCs w:val="1"/>
          <w:color w:val="auto"/>
        </w:rPr>
        <w:t>18.21</w:t>
      </w:r>
      <w:r>
        <w:rPr>
          <w:sz w:val="20"/>
          <w:szCs w:val="20"/>
          <w:color w:val="auto"/>
        </w:rPr>
        <w:tab/>
      </w:r>
      <w:r>
        <w:rPr>
          <w:rFonts w:ascii="Arial" w:cs="Arial" w:eastAsia="Arial" w:hAnsi="Arial"/>
          <w:sz w:val="15"/>
          <w:szCs w:val="15"/>
          <w:b w:val="1"/>
          <w:bCs w:val="1"/>
          <w:color w:val="auto"/>
        </w:rPr>
        <w:t>Ownership of assets</w:t>
      </w:r>
    </w:p>
    <w:p>
      <w:pPr>
        <w:spacing w:after="0" w:line="245"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18.22</w:t>
      </w:r>
      <w:r>
        <w:rPr>
          <w:sz w:val="20"/>
          <w:szCs w:val="20"/>
          <w:color w:val="auto"/>
        </w:rPr>
        <w:tab/>
      </w:r>
      <w:r>
        <w:rPr>
          <w:rFonts w:ascii="Arial" w:cs="Arial" w:eastAsia="Arial" w:hAnsi="Arial"/>
          <w:sz w:val="15"/>
          <w:szCs w:val="15"/>
          <w:b w:val="1"/>
          <w:bCs w:val="1"/>
          <w:color w:val="auto"/>
        </w:rPr>
        <w:t>Shares</w:t>
      </w:r>
    </w:p>
    <w:p>
      <w:pPr>
        <w:spacing w:after="0" w:line="25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The shares of each Owner are fully paid and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18.23</w:t>
      </w:r>
      <w:r>
        <w:rPr>
          <w:sz w:val="20"/>
          <w:szCs w:val="20"/>
          <w:color w:val="auto"/>
        </w:rPr>
        <w:tab/>
      </w:r>
      <w:r>
        <w:rPr>
          <w:rFonts w:ascii="Arial" w:cs="Arial" w:eastAsia="Arial" w:hAnsi="Arial"/>
          <w:sz w:val="15"/>
          <w:szCs w:val="15"/>
          <w:b w:val="1"/>
          <w:bCs w:val="1"/>
          <w:color w:val="auto"/>
        </w:rPr>
        <w:t>Accounting Reference Date</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18.24</w:t>
      </w:r>
      <w:r>
        <w:rPr>
          <w:sz w:val="20"/>
          <w:szCs w:val="20"/>
          <w:color w:val="auto"/>
        </w:rPr>
        <w:tab/>
      </w:r>
      <w:r>
        <w:rPr>
          <w:rFonts w:ascii="Arial" w:cs="Arial" w:eastAsia="Arial" w:hAnsi="Arial"/>
          <w:sz w:val="14"/>
          <w:szCs w:val="14"/>
          <w:b w:val="1"/>
          <w:bCs w:val="1"/>
          <w:color w:val="auto"/>
        </w:rPr>
        <w:t>No adverse consequences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238"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200" w:lineRule="exact"/>
        <w:rPr>
          <w:sz w:val="20"/>
          <w:szCs w:val="20"/>
          <w:color w:val="auto"/>
        </w:rPr>
      </w:pPr>
    </w:p>
    <w:p>
      <w:pPr>
        <w:spacing w:after="0" w:line="2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that any Finance Party should be licensed, qualified or otherwise entitled to carry on business in any of such Relevant Jurisdictions.</w:t>
      </w:r>
    </w:p>
    <w:p>
      <w:pPr>
        <w:spacing w:after="0" w:line="239" w:lineRule="exact"/>
        <w:rPr>
          <w:sz w:val="20"/>
          <w:szCs w:val="20"/>
          <w:color w:val="auto"/>
        </w:rPr>
      </w:pPr>
    </w:p>
    <w:p>
      <w:pPr>
        <w:ind w:left="1080" w:right="20" w:hanging="532"/>
        <w:spacing w:after="0" w:line="268" w:lineRule="auto"/>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18.25</w:t>
      </w:r>
      <w:r>
        <w:rPr>
          <w:sz w:val="20"/>
          <w:szCs w:val="20"/>
          <w:color w:val="auto"/>
        </w:rPr>
        <w:tab/>
      </w:r>
      <w:r>
        <w:rPr>
          <w:rFonts w:ascii="Arial" w:cs="Arial" w:eastAsia="Arial" w:hAnsi="Arial"/>
          <w:sz w:val="15"/>
          <w:szCs w:val="15"/>
          <w:b w:val="1"/>
          <w:bCs w:val="1"/>
          <w:color w:val="auto"/>
        </w:rPr>
        <w:t>Copies of documents</w:t>
      </w:r>
    </w:p>
    <w:p>
      <w:pPr>
        <w:spacing w:after="0" w:line="24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The copies of the Charter Documents and the Constitutional Documents of the Obligors delivered to the Agent under clause 4 (</w:t>
      </w:r>
      <w:r>
        <w:rPr>
          <w:rFonts w:ascii="Arial" w:cs="Arial" w:eastAsia="Arial" w:hAnsi="Arial"/>
          <w:sz w:val="16"/>
          <w:szCs w:val="16"/>
          <w:i w:val="1"/>
          <w:iCs w:val="1"/>
          <w:color w:val="auto"/>
        </w:rPr>
        <w:t>Conditions of Utilisation</w:t>
      </w:r>
      <w:r>
        <w:rPr>
          <w:rFonts w:ascii="Arial" w:cs="Arial" w:eastAsia="Arial" w:hAnsi="Arial"/>
          <w:sz w:val="16"/>
          <w:szCs w:val="16"/>
          <w:color w:val="auto"/>
        </w:rPr>
        <w:t>) will, as at their delivery dates, be true, complete and accurate copies of such documents and include all amendments and supplements to 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18.26</w:t>
      </w:r>
      <w:r>
        <w:rPr>
          <w:sz w:val="20"/>
          <w:szCs w:val="20"/>
          <w:color w:val="auto"/>
        </w:rPr>
        <w:tab/>
      </w:r>
      <w:r>
        <w:rPr>
          <w:rFonts w:ascii="Arial" w:cs="Arial" w:eastAsia="Arial" w:hAnsi="Arial"/>
          <w:sz w:val="16"/>
          <w:szCs w:val="16"/>
          <w:b w:val="1"/>
          <w:bCs w:val="1"/>
          <w:color w:val="auto"/>
        </w:rPr>
        <w:t>No breach of any Charter Document</w:t>
      </w:r>
    </w:p>
    <w:p>
      <w:pPr>
        <w:spacing w:after="0" w:line="258" w:lineRule="exact"/>
        <w:rPr>
          <w:sz w:val="20"/>
          <w:szCs w:val="20"/>
          <w:color w:val="auto"/>
        </w:rPr>
      </w:pPr>
    </w:p>
    <w:p>
      <w:pPr>
        <w:ind w:left="540" w:right="300"/>
        <w:spacing w:after="0" w:line="331" w:lineRule="auto"/>
        <w:rPr>
          <w:sz w:val="20"/>
          <w:szCs w:val="20"/>
          <w:color w:val="auto"/>
        </w:rPr>
      </w:pPr>
      <w:r>
        <w:rPr>
          <w:rFonts w:ascii="Arial" w:cs="Arial" w:eastAsia="Arial" w:hAnsi="Arial"/>
          <w:sz w:val="16"/>
          <w:szCs w:val="16"/>
          <w:color w:val="auto"/>
        </w:rPr>
        <w:t>No Obligor nor (so far as the Obligors are aware) any other person is in breach of any Charter Document to which it is a party nor has anything occurred which entitles or may entitle any party to any Charter Document to rescind or terminate it or decline to perform their obligations under 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79" w:name="page280"/>
    <w:bookmarkEnd w:id="279"/>
    <w:p>
      <w:pPr>
        <w:spacing w:after="0"/>
        <w:tabs>
          <w:tab w:leader="none" w:pos="520" w:val="left"/>
        </w:tabs>
        <w:rPr>
          <w:sz w:val="20"/>
          <w:szCs w:val="20"/>
          <w:color w:val="auto"/>
        </w:rPr>
      </w:pPr>
      <w:r>
        <w:rPr>
          <w:rFonts w:ascii="Arial" w:cs="Arial" w:eastAsia="Arial" w:hAnsi="Arial"/>
          <w:sz w:val="18"/>
          <w:szCs w:val="18"/>
          <w:b w:val="1"/>
          <w:bCs w:val="1"/>
          <w:color w:val="auto"/>
        </w:rPr>
        <w:t>18.27</w:t>
      </w:r>
      <w:r>
        <w:rPr>
          <w:sz w:val="20"/>
          <w:szCs w:val="20"/>
          <w:color w:val="auto"/>
        </w:rPr>
        <w:tab/>
      </w:r>
      <w:r>
        <w:rPr>
          <w:rFonts w:ascii="Arial" w:cs="Arial" w:eastAsia="Arial" w:hAnsi="Arial"/>
          <w:sz w:val="16"/>
          <w:szCs w:val="16"/>
          <w:b w:val="1"/>
          <w:bCs w:val="1"/>
          <w:color w:val="auto"/>
        </w:rPr>
        <w:t>No immunity</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18.28</w:t>
      </w:r>
      <w:r>
        <w:rPr>
          <w:sz w:val="20"/>
          <w:szCs w:val="20"/>
          <w:color w:val="auto"/>
        </w:rPr>
        <w:tab/>
      </w:r>
      <w:r>
        <w:rPr>
          <w:rFonts w:ascii="Arial" w:cs="Arial" w:eastAsia="Arial" w:hAnsi="Arial"/>
          <w:sz w:val="15"/>
          <w:szCs w:val="15"/>
          <w:b w:val="1"/>
          <w:bCs w:val="1"/>
          <w:color w:val="auto"/>
        </w:rPr>
        <w:t>Ship status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Ship will on the first day of the relevant Mortgage Period be: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registered in the name of the relevant Owner through the relevant Registry as a registered ship under the laws and flag of the relevant Flag State;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18.29</w:t>
      </w:r>
      <w:r>
        <w:rPr>
          <w:sz w:val="20"/>
          <w:szCs w:val="20"/>
          <w:color w:val="auto"/>
        </w:rPr>
        <w:tab/>
      </w:r>
      <w:r>
        <w:rPr>
          <w:rFonts w:ascii="Arial" w:cs="Arial" w:eastAsia="Arial" w:hAnsi="Arial"/>
          <w:sz w:val="15"/>
          <w:szCs w:val="15"/>
          <w:b w:val="1"/>
          <w:bCs w:val="1"/>
          <w:color w:val="auto"/>
        </w:rPr>
        <w:t>Ship's employment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On the first day of its Mortgage Period each Ship other than Ship A:</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its Charter; and</w:t>
      </w:r>
    </w:p>
    <w:p>
      <w:pPr>
        <w:spacing w:after="0" w:line="252" w:lineRule="exact"/>
        <w:rPr>
          <w:rFonts w:ascii="Arial" w:cs="Arial" w:eastAsia="Arial" w:hAnsi="Arial"/>
          <w:sz w:val="18"/>
          <w:szCs w:val="18"/>
          <w:color w:val="auto"/>
        </w:rPr>
      </w:pPr>
    </w:p>
    <w:p>
      <w:pPr>
        <w:ind w:left="1620" w:right="40" w:hanging="532"/>
        <w:spacing w:after="0" w:line="369" w:lineRule="auto"/>
        <w:tabs>
          <w:tab w:leader="none" w:pos="162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is free of any other charter commitment which, if entered into after that date, would require approval under the Finance Documents (except in the case of Ship A and only in respect of any Cool Pool Arrangements to which such Ship is subject and which are hereby approved).</w:t>
      </w:r>
    </w:p>
    <w:p>
      <w:pPr>
        <w:spacing w:after="0" w:line="347" w:lineRule="exact"/>
        <w:rPr>
          <w:rFonts w:ascii="Arial" w:cs="Arial" w:eastAsia="Arial" w:hAnsi="Arial"/>
          <w:sz w:val="15"/>
          <w:szCs w:val="15"/>
          <w:color w:val="auto"/>
        </w:rPr>
      </w:pPr>
    </w:p>
    <w:p>
      <w:pPr>
        <w:ind w:left="1080" w:hanging="532"/>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Ship A has been delivered for service under the Cool Pool Arrangements.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18.30</w:t>
      </w:r>
      <w:r>
        <w:rPr>
          <w:sz w:val="20"/>
          <w:szCs w:val="20"/>
          <w:color w:val="auto"/>
        </w:rPr>
        <w:tab/>
      </w:r>
      <w:r>
        <w:rPr>
          <w:rFonts w:ascii="Arial" w:cs="Arial" w:eastAsia="Arial" w:hAnsi="Arial"/>
          <w:sz w:val="15"/>
          <w:szCs w:val="15"/>
          <w:b w:val="1"/>
          <w:bCs w:val="1"/>
          <w:color w:val="auto"/>
        </w:rPr>
        <w:t>Address commission</w:t>
      </w:r>
    </w:p>
    <w:p>
      <w:pPr>
        <w:spacing w:after="0" w:line="24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Save for any brokerage fees paid to Poten &amp; Partners Inc. and Abacus Energy Enterprises Ltd., there are no rebates, commissions or other payments in connection with any Charter other than those referred to in it.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18.31</w:t>
      </w:r>
      <w:r>
        <w:rPr>
          <w:sz w:val="20"/>
          <w:szCs w:val="20"/>
          <w:color w:val="auto"/>
        </w:rPr>
        <w:tab/>
      </w:r>
      <w:r>
        <w:rPr>
          <w:rFonts w:ascii="Arial" w:cs="Arial" w:eastAsia="Arial" w:hAnsi="Arial"/>
          <w:sz w:val="16"/>
          <w:szCs w:val="16"/>
          <w:b w:val="1"/>
          <w:bCs w:val="1"/>
          <w:color w:val="auto"/>
        </w:rPr>
        <w:t>Money Laundering</w:t>
      </w:r>
    </w:p>
    <w:p>
      <w:pPr>
        <w:spacing w:after="0" w:line="258"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In relation to the borrowing by each Borrower of the Revolving Loans, the performance and discharge of its obligations and liabilities under the Finance Documents, and the transactions and other arrangements effected or contemplated by the Finance Documents to which each Borrower is a party, each Borrower confirms (a) that it is acting for its own account; (b) that it will use the proceeds of the Revolving Loans for its own benefit, under its full responsibility and exclusively for the purposes specified in this Agreement and (c)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18.32</w:t>
      </w:r>
      <w:r>
        <w:rPr>
          <w:sz w:val="20"/>
          <w:szCs w:val="20"/>
          <w:color w:val="auto"/>
        </w:rPr>
        <w:tab/>
      </w:r>
      <w:r>
        <w:rPr>
          <w:rFonts w:ascii="Arial" w:cs="Arial" w:eastAsia="Arial" w:hAnsi="Arial"/>
          <w:sz w:val="15"/>
          <w:szCs w:val="15"/>
          <w:b w:val="1"/>
          <w:bCs w:val="1"/>
          <w:color w:val="auto"/>
        </w:rPr>
        <w:t>Sanctions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No Ship is a vessel with which any individual, entity or any other person is prohibited or restricted from dealing with under any Sanctions;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Obligor, nor any of their respective directors or officers: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45" w:right="299" w:bottom="1440" w:gutter="0" w:footer="0" w:header="0"/>
        </w:sectPr>
      </w:pPr>
    </w:p>
    <w:bookmarkStart w:id="280" w:name="page281"/>
    <w:bookmarkEnd w:id="280"/>
    <w:p>
      <w:pPr>
        <w:ind w:left="1620" w:hanging="532"/>
        <w:spacing w:after="0" w:line="268" w:lineRule="auto"/>
        <w:tabs>
          <w:tab w:leader="none" w:pos="1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212" w:lineRule="exact"/>
        <w:rPr>
          <w:rFonts w:ascii="Arial" w:cs="Arial" w:eastAsia="Arial" w:hAnsi="Arial"/>
          <w:sz w:val="18"/>
          <w:szCs w:val="18"/>
          <w:color w:val="auto"/>
        </w:rPr>
      </w:pPr>
    </w:p>
    <w:p>
      <w:pPr>
        <w:ind w:left="1620" w:right="80" w:hanging="532"/>
        <w:spacing w:after="0" w:line="306" w:lineRule="auto"/>
        <w:tabs>
          <w:tab w:leader="none" w:pos="162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173" w:lineRule="exact"/>
        <w:rPr>
          <w:rFonts w:ascii="Arial" w:cs="Arial" w:eastAsia="Arial" w:hAnsi="Arial"/>
          <w:sz w:val="16"/>
          <w:szCs w:val="16"/>
          <w:color w:val="auto"/>
        </w:rPr>
      </w:pPr>
    </w:p>
    <w:p>
      <w:pPr>
        <w:ind w:left="1620" w:hanging="532"/>
        <w:spacing w:after="0"/>
        <w:tabs>
          <w:tab w:leader="none" w:pos="1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238" w:lineRule="exact"/>
        <w:rPr>
          <w:rFonts w:ascii="Arial" w:cs="Arial" w:eastAsia="Arial" w:hAnsi="Arial"/>
          <w:sz w:val="18"/>
          <w:szCs w:val="18"/>
          <w:color w:val="auto"/>
        </w:rPr>
      </w:pPr>
    </w:p>
    <w:p>
      <w:pPr>
        <w:ind w:left="1620" w:right="660" w:hanging="532"/>
        <w:spacing w:after="0" w:line="268" w:lineRule="auto"/>
        <w:tabs>
          <w:tab w:leader="none" w:pos="1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23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capitalised terms referred to in paragraphs (a) and (b) above shall have the meanings given to them in clause 21.11 (</w:t>
      </w:r>
      <w:r>
        <w:rPr>
          <w:rFonts w:ascii="Arial" w:cs="Arial" w:eastAsia="Arial" w:hAnsi="Arial"/>
          <w:sz w:val="16"/>
          <w:szCs w:val="16"/>
          <w:i w:val="1"/>
          <w:iCs w:val="1"/>
          <w:color w:val="auto"/>
        </w:rPr>
        <w:t>Sanctions</w:t>
      </w:r>
      <w:r>
        <w:rPr>
          <w:rFonts w:ascii="Arial" w:cs="Arial" w:eastAsia="Arial" w:hAnsi="Arial"/>
          <w:sz w:val="16"/>
          <w:szCs w:val="16"/>
          <w:color w:val="auto"/>
        </w:rPr>
        <w:t>).</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18.33</w:t>
      </w:r>
      <w:r>
        <w:rPr>
          <w:sz w:val="20"/>
          <w:szCs w:val="20"/>
          <w:color w:val="auto"/>
        </w:rPr>
        <w:tab/>
      </w:r>
      <w:r>
        <w:rPr>
          <w:rFonts w:ascii="Arial" w:cs="Arial" w:eastAsia="Arial" w:hAnsi="Arial"/>
          <w:sz w:val="15"/>
          <w:szCs w:val="15"/>
          <w:b w:val="1"/>
          <w:bCs w:val="1"/>
          <w:color w:val="auto"/>
        </w:rPr>
        <w:t>Times when representations are made</w:t>
      </w:r>
    </w:p>
    <w:p>
      <w:pPr>
        <w:spacing w:after="0" w:line="200" w:lineRule="exact"/>
        <w:rPr>
          <w:sz w:val="20"/>
          <w:szCs w:val="20"/>
          <w:color w:val="auto"/>
        </w:rPr>
      </w:pPr>
    </w:p>
    <w:p>
      <w:pPr>
        <w:spacing w:after="0" w:line="288" w:lineRule="exact"/>
        <w:rPr>
          <w:sz w:val="20"/>
          <w:szCs w:val="20"/>
          <w:color w:val="auto"/>
        </w:rPr>
      </w:pPr>
    </w:p>
    <w:p>
      <w:pPr>
        <w:ind w:left="1080" w:right="560" w:hanging="532"/>
        <w:spacing w:after="0" w:line="268"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99"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Facility.</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and repeated on the first day of the Mortgage Period for the relevant Ship.</w:t>
      </w:r>
    </w:p>
    <w:p>
      <w:pPr>
        <w:spacing w:after="0" w:line="238" w:lineRule="exact"/>
        <w:rPr>
          <w:rFonts w:ascii="Arial" w:cs="Arial" w:eastAsia="Arial" w:hAnsi="Arial"/>
          <w:sz w:val="18"/>
          <w:szCs w:val="18"/>
          <w:color w:val="auto"/>
        </w:rPr>
      </w:pPr>
    </w:p>
    <w:p>
      <w:pPr>
        <w:ind w:left="1080" w:right="260" w:hanging="532"/>
        <w:spacing w:after="0" w:line="331" w:lineRule="auto"/>
        <w:tabs>
          <w:tab w:leader="none" w:pos="10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364" w:lineRule="exact"/>
        <w:rPr>
          <w:sz w:val="20"/>
          <w:szCs w:val="20"/>
          <w:color w:val="auto"/>
        </w:rPr>
      </w:pPr>
    </w:p>
    <w:p>
      <w:pPr>
        <w:ind w:left="540" w:hanging="532"/>
        <w:spacing w:after="0"/>
        <w:tabs>
          <w:tab w:leader="none" w:pos="54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31" w:lineRule="exact"/>
        <w:rPr>
          <w:rFonts w:ascii="Arial" w:cs="Arial" w:eastAsia="Arial" w:hAnsi="Arial"/>
          <w:sz w:val="18"/>
          <w:szCs w:val="18"/>
          <w:b w:val="1"/>
          <w:bCs w:val="1"/>
          <w:color w:val="auto"/>
        </w:rPr>
      </w:pPr>
    </w:p>
    <w:p>
      <w:pPr>
        <w:ind w:left="540" w:right="4160"/>
        <w:spacing w:after="0" w:line="497" w:lineRule="auto"/>
        <w:rPr>
          <w:rFonts w:ascii="Arial" w:cs="Arial" w:eastAsia="Arial" w:hAnsi="Arial"/>
          <w:sz w:val="18"/>
          <w:szCs w:val="18"/>
          <w:b w:val="1"/>
          <w:bCs w:val="1"/>
          <w:color w:val="auto"/>
        </w:rPr>
      </w:pPr>
      <w:r>
        <w:rPr>
          <w:rFonts w:ascii="Arial" w:cs="Arial" w:eastAsia="Arial" w:hAnsi="Arial"/>
          <w:sz w:val="18"/>
          <w:szCs w:val="18"/>
          <w:color w:val="auto"/>
        </w:rPr>
        <w:t>Each Obligor undertakes that this clause 19 will be complied with throughout the Facility Period. In this clause 19:</w:t>
      </w:r>
    </w:p>
    <w:p>
      <w:pPr>
        <w:ind w:left="540" w:right="36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Borrowers and the Guarantors,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4" w:lineRule="exact"/>
        <w:rPr>
          <w:sz w:val="20"/>
          <w:szCs w:val="20"/>
          <w:color w:val="auto"/>
        </w:rPr>
      </w:pPr>
    </w:p>
    <w:p>
      <w:pPr>
        <w:ind w:left="540" w:right="40"/>
        <w:spacing w:after="0" w:line="275"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 the Group or GasLog</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281" w:name="page282"/>
    <w:bookmarkEnd w:id="281"/>
    <w:p>
      <w:pPr>
        <w:spacing w:after="0"/>
        <w:tabs>
          <w:tab w:leader="none" w:pos="5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88" w:lineRule="exact"/>
        <w:rPr>
          <w:sz w:val="20"/>
          <w:szCs w:val="20"/>
          <w:color w:val="auto"/>
        </w:rPr>
      </w:pPr>
    </w:p>
    <w:p>
      <w:pPr>
        <w:ind w:left="1080" w:right="420" w:hanging="532"/>
        <w:spacing w:after="0" w:line="331" w:lineRule="auto"/>
        <w:tabs>
          <w:tab w:leader="none" w:pos="10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Obligors shall supply to the Agent or, as the case may be, shall procure that the Agent is supplied with (and the Agent shall supply to each Lender), as soon as the same become available, but in any event within 150 days after the end of the relevant financial years:</w:t>
      </w:r>
    </w:p>
    <w:p>
      <w:pPr>
        <w:spacing w:after="0" w:line="370" w:lineRule="exact"/>
        <w:rPr>
          <w:rFonts w:ascii="Arial" w:cs="Arial" w:eastAsia="Arial" w:hAnsi="Arial"/>
          <w:sz w:val="16"/>
          <w:szCs w:val="16"/>
          <w:color w:val="auto"/>
        </w:rPr>
      </w:pPr>
    </w:p>
    <w:p>
      <w:pPr>
        <w:ind w:left="1620" w:hanging="532"/>
        <w:spacing w:after="0"/>
        <w:tabs>
          <w:tab w:leader="none" w:pos="16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unaudited financial statements (consolidated if appropriate) of each of the Borrowers and GasLog Holdings for that financial year.</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160" w:hanging="532"/>
        <w:spacing w:after="0" w:line="306" w:lineRule="auto"/>
        <w:tabs>
          <w:tab w:leader="none" w:pos="10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Obligors shall supply to the Agent or, as the case may be, shall procure that the Agent is supplied with, as soon as the same become available, but in any event within 120 days after the end of each half year to 30 June of the relevant financial year, the unaudited financial statements of the Group and GasLog Holdings for that financial half year (consolidated in the case of the Group only).</w:t>
      </w:r>
    </w:p>
    <w:p>
      <w:pPr>
        <w:spacing w:after="0" w:line="173"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Guarantors for such financial year.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Provision and contents of Compliance Certificate and valuations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a Compliance Certificate;</w:t>
      </w:r>
    </w:p>
    <w:p>
      <w:pPr>
        <w:spacing w:after="0" w:line="199"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valuations of each Mortgaged Ship, each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and showing the value of each such Mortgaged Ship.</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Compliance Certificate shall be signed by chief executive officer of the Parent or by the chief financial officer of the Parent or, in their absence, by any other director of the Parent.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5"/>
          <w:szCs w:val="15"/>
          <w:b w:val="1"/>
          <w:bCs w:val="1"/>
          <w:color w:val="auto"/>
        </w:rPr>
        <w:t>Requirements as to financial statements</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59" w:lineRule="auto"/>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shall be audited by the Auditors.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the case only of the Parent, be prepared in accordance with GAAP;</w:t>
      </w:r>
    </w:p>
    <w:p>
      <w:pPr>
        <w:spacing w:after="0" w:line="238"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 operations of the Group or (as the case may be) the relevant Obligor, as at the date as at which those financial statements were drawn up; 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282" w:name="page283"/>
    <w:bookmarkEnd w:id="282"/>
    <w:p>
      <w:pPr>
        <w:ind w:left="1620" w:hanging="532"/>
        <w:spacing w:after="0"/>
        <w:tabs>
          <w:tab w:leader="none" w:pos="16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in the case of the Parent,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99" w:lineRule="exact"/>
        <w:rPr>
          <w:sz w:val="20"/>
          <w:szCs w:val="20"/>
          <w:color w:val="auto"/>
        </w:rPr>
      </w:pPr>
    </w:p>
    <w:p>
      <w:pPr>
        <w:ind w:left="1620" w:right="340" w:hanging="532"/>
        <w:spacing w:after="0" w:line="259" w:lineRule="auto"/>
        <w:tabs>
          <w:tab w:leader="none" w:pos="16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200" w:lineRule="exact"/>
        <w:rPr>
          <w:sz w:val="20"/>
          <w:szCs w:val="20"/>
          <w:color w:val="auto"/>
        </w:rPr>
      </w:pPr>
    </w:p>
    <w:p>
      <w:pPr>
        <w:spacing w:after="0" w:line="264"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Year-end</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5"/>
          <w:szCs w:val="15"/>
          <w:b w:val="1"/>
          <w:bCs w:val="1"/>
          <w:color w:val="auto"/>
        </w:rPr>
        <w:t>Information: miscellaneous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239" w:lineRule="exact"/>
        <w:rPr>
          <w:sz w:val="20"/>
          <w:szCs w:val="20"/>
          <w:color w:val="auto"/>
        </w:rPr>
      </w:pPr>
    </w:p>
    <w:p>
      <w:pPr>
        <w:ind w:left="1080" w:right="300" w:hanging="532"/>
        <w:spacing w:after="0" w:line="268" w:lineRule="auto"/>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212"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20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 from time to time,</w:t>
      </w:r>
    </w:p>
    <w:p>
      <w:pPr>
        <w:spacing w:after="0" w:line="200" w:lineRule="exact"/>
        <w:rPr>
          <w:sz w:val="20"/>
          <w:szCs w:val="20"/>
          <w:color w:val="auto"/>
        </w:rPr>
      </w:pPr>
    </w:p>
    <w:p>
      <w:pPr>
        <w:spacing w:after="0" w:line="24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283" w:name="page284"/>
    <w:bookmarkEnd w:id="283"/>
    <w:p>
      <w:pPr>
        <w:spacing w:after="0"/>
        <w:tabs>
          <w:tab w:leader="none" w:pos="5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Default</w:t>
      </w:r>
    </w:p>
    <w:p>
      <w:pPr>
        <w:spacing w:after="0" w:line="245"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The Borrowers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5"/>
          <w:szCs w:val="15"/>
          <w:b w:val="1"/>
          <w:bCs w:val="1"/>
          <w:color w:val="auto"/>
        </w:rPr>
        <w:t>Sufficient copies</w:t>
      </w:r>
    </w:p>
    <w:p>
      <w:pPr>
        <w:spacing w:after="0" w:line="258"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5"/>
          <w:szCs w:val="15"/>
          <w:b w:val="1"/>
          <w:bCs w:val="1"/>
          <w:color w:val="auto"/>
        </w:rPr>
        <w:t>Use of websites</w:t>
      </w:r>
    </w:p>
    <w:p>
      <w:pPr>
        <w:spacing w:after="0" w:line="200" w:lineRule="exact"/>
        <w:rPr>
          <w:sz w:val="20"/>
          <w:szCs w:val="20"/>
          <w:color w:val="auto"/>
        </w:rPr>
      </w:pPr>
    </w:p>
    <w:p>
      <w:pPr>
        <w:spacing w:after="0" w:line="268" w:lineRule="exact"/>
        <w:rPr>
          <w:sz w:val="20"/>
          <w:szCs w:val="20"/>
          <w:color w:val="auto"/>
        </w:rPr>
      </w:pPr>
    </w:p>
    <w:p>
      <w:pPr>
        <w:ind w:left="1080" w:hanging="532"/>
        <w:spacing w:after="0" w:line="262" w:lineRule="auto"/>
        <w:tabs>
          <w:tab w:leader="none" w:pos="10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The Borrowers may satisfy their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xml:space="preserve">) who accept this method of communication by posting this information onto an electronic website designated by the Borrowers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620" w:hanging="532"/>
        <w:spacing w:after="0"/>
        <w:tabs>
          <w:tab w:leader="none" w:pos="162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Agent expressly agrees (after consultation with each of the Lenders) that it will accept communication of the information by this method;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both the Borrowers and the Agent are aware of the address of and any relevant password specifications for the Designated Website;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Borrowers and the Agent.</w:t>
      </w:r>
    </w:p>
    <w:p>
      <w:pPr>
        <w:spacing w:after="0" w:line="219" w:lineRule="exact"/>
        <w:rPr>
          <w:sz w:val="20"/>
          <w:szCs w:val="20"/>
          <w:color w:val="auto"/>
        </w:rPr>
      </w:pPr>
    </w:p>
    <w:p>
      <w:pPr>
        <w:jc w:val="both"/>
        <w:ind w:left="540" w:right="240"/>
        <w:spacing w:after="0" w:line="310" w:lineRule="auto"/>
        <w:rPr>
          <w:sz w:val="20"/>
          <w:szCs w:val="20"/>
          <w:color w:val="auto"/>
        </w:rPr>
      </w:pPr>
      <w:r>
        <w:rPr>
          <w:rFonts w:ascii="Arial" w:cs="Arial" w:eastAsia="Arial" w:hAnsi="Arial"/>
          <w:sz w:val="16"/>
          <w:szCs w:val="16"/>
          <w:color w:val="auto"/>
        </w:rPr>
        <w:t xml:space="preserve">If any Lender (a </w:t>
      </w:r>
      <w:r>
        <w:rPr>
          <w:rFonts w:ascii="Arial" w:cs="Arial" w:eastAsia="Arial" w:hAnsi="Arial"/>
          <w:sz w:val="16"/>
          <w:szCs w:val="16"/>
          <w:b w:val="1"/>
          <w:bCs w:val="1"/>
          <w:color w:val="auto"/>
        </w:rPr>
        <w:t>Paper Form Lender</w:t>
      </w:r>
      <w:r>
        <w:rPr>
          <w:rFonts w:ascii="Arial" w:cs="Arial" w:eastAsia="Arial" w:hAnsi="Arial"/>
          <w:sz w:val="16"/>
          <w:szCs w:val="16"/>
          <w:color w:val="auto"/>
        </w:rPr>
        <w:t>) does not agree to the delivery of information electronically then the Agent shall notify the Borrowers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84" w:lineRule="exact"/>
        <w:rPr>
          <w:sz w:val="20"/>
          <w:szCs w:val="20"/>
          <w:color w:val="auto"/>
        </w:rPr>
      </w:pPr>
    </w:p>
    <w:p>
      <w:pPr>
        <w:ind w:left="1080" w:right="360" w:hanging="532"/>
        <w:spacing w:after="0" w:line="268" w:lineRule="auto"/>
        <w:tabs>
          <w:tab w:leader="none" w:pos="10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Borrowers and the Agent.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Borrowers shall promptly upon any of them becoming aware of its occurrence notify the Agent (and the Agent shall notify each Lender) if:</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75" w:lineRule="exact"/>
        <w:rPr>
          <w:rFonts w:ascii="Arial" w:cs="Arial" w:eastAsia="Arial" w:hAnsi="Arial"/>
          <w:sz w:val="16"/>
          <w:szCs w:val="16"/>
          <w:color w:val="auto"/>
        </w:rPr>
      </w:pPr>
    </w:p>
    <w:p>
      <w:pPr>
        <w:ind w:left="1620" w:right="80" w:hanging="532"/>
        <w:spacing w:after="0" w:line="268" w:lineRule="auto"/>
        <w:tabs>
          <w:tab w:leader="none" w:pos="16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200" w:lineRule="exact"/>
        <w:rPr>
          <w:sz w:val="20"/>
          <w:szCs w:val="20"/>
          <w:color w:val="auto"/>
        </w:rPr>
      </w:pPr>
    </w:p>
    <w:p>
      <w:pPr>
        <w:spacing w:after="0" w:line="242"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If the Borrowers notify the Agent under paragraphs 19.8(c)(i) or (v) above, all information to be provided by the Borrowers under this Agreement after the date of that notice shall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284" w:name="page285"/>
    <w:bookmarkEnd w:id="284"/>
    <w:p>
      <w:pPr>
        <w:ind w:left="1080" w:right="20"/>
        <w:spacing w:after="0" w:line="268" w:lineRule="auto"/>
        <w:rPr>
          <w:sz w:val="20"/>
          <w:szCs w:val="20"/>
          <w:color w:val="auto"/>
        </w:rPr>
      </w:pPr>
      <w:r>
        <w:rPr>
          <w:rFonts w:ascii="Arial" w:cs="Arial" w:eastAsia="Arial" w:hAnsi="Arial"/>
          <w:sz w:val="18"/>
          <w:szCs w:val="18"/>
          <w:color w:val="auto"/>
        </w:rPr>
        <w:t>be supplied in paper form unless and until the Agent and each Website Lender is satisfied that the circumstances giving rise to the notification are no longer continuing.</w:t>
      </w:r>
    </w:p>
    <w:p>
      <w:pPr>
        <w:spacing w:after="0" w:line="199" w:lineRule="exact"/>
        <w:rPr>
          <w:sz w:val="20"/>
          <w:szCs w:val="20"/>
          <w:color w:val="auto"/>
        </w:rPr>
      </w:pPr>
    </w:p>
    <w:p>
      <w:pPr>
        <w:ind w:left="1080" w:right="340" w:hanging="532"/>
        <w:spacing w:after="0" w:line="331" w:lineRule="auto"/>
        <w:tabs>
          <w:tab w:leader="none" w:pos="10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"Know your customer" checks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any change in the status of an Obligor or the composition of the shareholders of an Obligor after the date of this Agreement;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51"/>
        </w:numPr>
        <w:rPr>
          <w:rFonts w:ascii="Arial" w:cs="Arial" w:eastAsia="Arial" w:hAnsi="Arial"/>
          <w:sz w:val="15"/>
          <w:szCs w:val="15"/>
          <w:color w:val="auto"/>
        </w:rPr>
      </w:pPr>
      <w:r>
        <w:rPr>
          <w:rFonts w:ascii="Arial" w:cs="Arial" w:eastAsia="Arial" w:hAnsi="Arial"/>
          <w:sz w:val="15"/>
          <w:szCs w:val="15"/>
          <w:color w:val="auto"/>
        </w:rPr>
        <w:t>a proposed assignment by a Lender of any of its rights under this Agreement to a party that is not already a Lender prior to such assignment,</w:t>
      </w:r>
    </w:p>
    <w:p>
      <w:pPr>
        <w:spacing w:after="0" w:line="200" w:lineRule="exact"/>
        <w:rPr>
          <w:sz w:val="20"/>
          <w:szCs w:val="20"/>
          <w:color w:val="auto"/>
        </w:rPr>
      </w:pPr>
    </w:p>
    <w:p>
      <w:pPr>
        <w:spacing w:after="0" w:line="316"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obliges the Agent, the Security Agent or any Lender (or, in the case of paragraph 19.9(a)(iii)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supply, or procure the supply of, such documentation and other evidence as is reasonably requested by the Agent (for itself or on behalf of any Lender or the Security Agent) or any Lender or the Security Agent (for itself or, in the case of the event described in paragraph 19.9(a)(iii) above, on behalf of any prospective new Lender or the Security Agent) in order for the Agent, the Security Agent or such Lender or, in the case of the event described in paragraph 19.9(a)(iii)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200" w:lineRule="exact"/>
        <w:rPr>
          <w:sz w:val="20"/>
          <w:szCs w:val="20"/>
          <w:color w:val="auto"/>
        </w:rPr>
      </w:pPr>
    </w:p>
    <w:p>
      <w:pPr>
        <w:ind w:left="1080" w:right="20" w:hanging="532"/>
        <w:spacing w:after="0" w:line="256" w:lineRule="auto"/>
        <w:tabs>
          <w:tab w:leader="none" w:pos="10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Money Laundering</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will:</w:t>
      </w:r>
    </w:p>
    <w:p>
      <w:pPr>
        <w:spacing w:after="0" w:line="239" w:lineRule="exact"/>
        <w:rPr>
          <w:sz w:val="20"/>
          <w:szCs w:val="20"/>
          <w:color w:val="auto"/>
        </w:rPr>
      </w:pPr>
    </w:p>
    <w:p>
      <w:pPr>
        <w:ind w:left="1080" w:right="220" w:hanging="532"/>
        <w:spacing w:after="0" w:line="306" w:lineRule="auto"/>
        <w:tabs>
          <w:tab w:leader="none" w:pos="10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6"/>
          <w:szCs w:val="16"/>
          <w:i w:val="1"/>
          <w:iCs w:val="1"/>
          <w:color w:val="auto"/>
        </w:rPr>
        <w:t>Bribery and corruption</w:t>
      </w:r>
      <w:r>
        <w:rPr>
          <w:rFonts w:ascii="Arial" w:cs="Arial" w:eastAsia="Arial" w:hAnsi="Arial"/>
          <w:sz w:val="16"/>
          <w:szCs w:val="16"/>
          <w:color w:val="auto"/>
        </w:rPr>
        <w:t>)) throughout the Facility Period; and</w:t>
      </w:r>
    </w:p>
    <w:p>
      <w:pPr>
        <w:spacing w:after="0" w:line="187"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w:t>
      </w:r>
      <w:r>
        <w:rPr>
          <w:rFonts w:ascii="Arial" w:cs="Arial" w:eastAsia="Arial" w:hAnsi="Arial"/>
          <w:sz w:val="18"/>
          <w:szCs w:val="18"/>
          <w:color w:val="auto"/>
        </w:rPr>
        <w:t xml:space="preserve"> </w:t>
      </w:r>
      <w:r>
        <w:rPr>
          <w:rFonts w:ascii="Arial" w:cs="Arial" w:eastAsia="Arial" w:hAnsi="Arial"/>
          <w:sz w:val="18"/>
          <w:szCs w:val="18"/>
          <w:i w:val="1"/>
          <w:iCs w:val="1"/>
          <w:color w:val="auto"/>
        </w:rPr>
        <w:t>corruption</w:t>
      </w:r>
      <w:r>
        <w:rPr>
          <w:rFonts w:ascii="Arial" w:cs="Arial" w:eastAsia="Arial" w:hAnsi="Arial"/>
          <w:sz w:val="18"/>
          <w:szCs w:val="18"/>
          <w:color w:val="auto"/>
        </w:rPr>
        <w:t>) may or is about to occur or that the person(s) who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85" w:name="page286"/>
    <w:bookmarkEnd w:id="285"/>
    <w:p>
      <w:pPr>
        <w:ind w:left="1080"/>
        <w:spacing w:after="0"/>
        <w:rPr>
          <w:sz w:val="20"/>
          <w:szCs w:val="20"/>
          <w:color w:val="auto"/>
        </w:rPr>
      </w:pPr>
      <w:r>
        <w:rPr>
          <w:rFonts w:ascii="Arial" w:cs="Arial" w:eastAsia="Arial" w:hAnsi="Arial"/>
          <w:sz w:val="18"/>
          <w:szCs w:val="18"/>
          <w:color w:val="auto"/>
        </w:rPr>
        <w:t>have or will receive the commercial benefit of this Agreement have changed from the date hereof.</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19.11</w:t>
      </w:r>
      <w:r>
        <w:rPr>
          <w:sz w:val="20"/>
          <w:szCs w:val="20"/>
          <w:color w:val="auto"/>
        </w:rPr>
        <w:tab/>
      </w:r>
      <w:r>
        <w:rPr>
          <w:rFonts w:ascii="Arial" w:cs="Arial" w:eastAsia="Arial" w:hAnsi="Arial"/>
          <w:sz w:val="16"/>
          <w:szCs w:val="16"/>
          <w:b w:val="1"/>
          <w:bCs w:val="1"/>
          <w:color w:val="auto"/>
        </w:rPr>
        <w:t>Liquidity</w:t>
      </w:r>
    </w:p>
    <w:p>
      <w:pPr>
        <w:spacing w:after="0" w:line="24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Obligors shall procure that there are maintained, at all times throughout the Mortgage Period of each Ship, in the Earnings Account of the Owner of that Ship, minimum cash balances of no less than $1,500,000 (namely, at all times $1,500,000 per Mortgaged Ship).</w:t>
      </w:r>
    </w:p>
    <w:p>
      <w:pPr>
        <w:spacing w:after="0" w:line="207" w:lineRule="exact"/>
        <w:rPr>
          <w:sz w:val="20"/>
          <w:szCs w:val="20"/>
          <w:color w:val="auto"/>
        </w:rPr>
      </w:pPr>
    </w:p>
    <w:p>
      <w:pPr>
        <w:ind w:left="540" w:hanging="532"/>
        <w:spacing w:after="0"/>
        <w:tabs>
          <w:tab w:leader="none" w:pos="54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covenants</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Each Obligor undertakes that this clause 20 will be complied with throughout the Facility Period.</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5"/>
          <w:szCs w:val="15"/>
          <w:b w:val="1"/>
          <w:bCs w:val="1"/>
          <w:color w:val="auto"/>
        </w:rPr>
        <w:t>Financial definitions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clause 20:</w:t>
      </w:r>
    </w:p>
    <w:p>
      <w:pPr>
        <w:spacing w:after="0" w:line="219"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means cash and cash equivalents and short term, investments as set forth in the Financial Statements of the Group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convertible into known amounts of cash with original maturities of six (6) months or less, but excluding, for the avoidance of doubt, in each case cash and amounts set forth as restricted cash in the Financial Statements of the Group.</w:t>
      </w:r>
    </w:p>
    <w:p>
      <w:pPr>
        <w:spacing w:after="0" w:line="186" w:lineRule="exact"/>
        <w:rPr>
          <w:sz w:val="20"/>
          <w:szCs w:val="20"/>
          <w:color w:val="auto"/>
        </w:rPr>
      </w:pPr>
    </w:p>
    <w:p>
      <w:pPr>
        <w:ind w:left="540" w:right="300"/>
        <w:spacing w:after="0" w:line="275" w:lineRule="auto"/>
        <w:rPr>
          <w:sz w:val="20"/>
          <w:szCs w:val="20"/>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means any of the Annual Financial Statements and the Semi-Annual Financial Statements of the Group referred to and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Free Liquidity </w:t>
      </w:r>
      <w:r>
        <w:rPr>
          <w:rFonts w:ascii="Arial" w:cs="Arial" w:eastAsia="Arial" w:hAnsi="Arial"/>
          <w:sz w:val="18"/>
          <w:szCs w:val="18"/>
          <w:color w:val="auto"/>
        </w:rPr>
        <w:t>means the aggregate of:</w:t>
      </w:r>
    </w:p>
    <w:p>
      <w:pPr>
        <w:spacing w:after="0" w:line="245" w:lineRule="exact"/>
        <w:rPr>
          <w:sz w:val="20"/>
          <w:szCs w:val="20"/>
          <w:color w:val="auto"/>
        </w:rPr>
      </w:pPr>
    </w:p>
    <w:p>
      <w:pPr>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Cash and Cash Equivalents; and</w:t>
      </w:r>
    </w:p>
    <w:p>
      <w:pPr>
        <w:spacing w:after="0" w:line="252"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amounts immediately available for drawing under committed revolving credit facilities, or other credit facilities for working capital purposes of the Group with remaining maturities of no less than (6) six months, made available by financial institutions (which, for avoidance of doubt, shall not include lines of credit provided by Affiliates of the Obligors), (provided that the relevant borrowing entity would meet the conditions precedent to which any such drawing is subject under the relevant credit facility and such drawing would not result in an event of default (as such term is defined therein) occurring under any other credit facility of the Group); and</w:t>
      </w:r>
    </w:p>
    <w:p>
      <w:pPr>
        <w:spacing w:after="0" w:line="214"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provided there is no Event of Default that is continuing, minimum cash balances standing to the credit of the Earnings Accounts as provided in clause 19.11.</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Maximum Leverage </w:t>
      </w:r>
      <w:r>
        <w:rPr>
          <w:rFonts w:ascii="Arial" w:cs="Arial" w:eastAsia="Arial" w:hAnsi="Arial"/>
          <w:sz w:val="18"/>
          <w:szCs w:val="18"/>
          <w:color w:val="auto"/>
        </w:rPr>
        <w:t>means, at any time, the figure calculated using the following formula:</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Total Indebtedness</w:t>
      </w:r>
    </w:p>
    <w:p>
      <w:pPr>
        <w:spacing w:after="0" w:line="11" w:lineRule="exact"/>
        <w:rPr>
          <w:sz w:val="20"/>
          <w:szCs w:val="20"/>
          <w:color w:val="auto"/>
        </w:rPr>
      </w:pPr>
    </w:p>
    <w:p>
      <w:pPr>
        <w:ind w:left="2920"/>
        <w:spacing w:after="0"/>
        <w:tabs>
          <w:tab w:leader="none" w:pos="5380" w:val="left"/>
        </w:tabs>
        <w:rPr>
          <w:sz w:val="20"/>
          <w:szCs w:val="20"/>
          <w:color w:val="auto"/>
        </w:rPr>
      </w:pPr>
      <w:r>
        <w:rPr>
          <w:rFonts w:ascii="Arial" w:cs="Arial" w:eastAsia="Arial" w:hAnsi="Arial"/>
          <w:sz w:val="18"/>
          <w:szCs w:val="18"/>
          <w:color w:val="auto"/>
        </w:rPr>
        <w:t>Maximum Leverage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-62865</wp:posOffset>
            </wp:positionV>
            <wp:extent cx="2108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b w:val="1"/>
          <w:bCs w:val="1"/>
          <w:color w:val="auto"/>
        </w:rPr>
        <w:t>Total Assets</w:t>
      </w:r>
    </w:p>
    <w:p>
      <w:pPr>
        <w:spacing w:after="0" w:line="205" w:lineRule="exact"/>
        <w:rPr>
          <w:sz w:val="20"/>
          <w:szCs w:val="20"/>
          <w:color w:val="auto"/>
        </w:rPr>
      </w:pPr>
    </w:p>
    <w:p>
      <w:pPr>
        <w:ind w:left="540" w:right="120"/>
        <w:spacing w:after="0" w:line="339" w:lineRule="auto"/>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16"/>
          <w:szCs w:val="16"/>
          <w:color w:val="auto"/>
        </w:rPr>
        <w:t>means, at any time, the amount of total assets of the Group on a consolidated basis as determined in accordance with GAAP and shown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then most recent Financial Statements and calculated in the same manner as shown in the Original Financial Statements of the Group.</w:t>
      </w:r>
    </w:p>
    <w:p>
      <w:pPr>
        <w:spacing w:after="0" w:line="128" w:lineRule="exact"/>
        <w:rPr>
          <w:sz w:val="20"/>
          <w:szCs w:val="20"/>
          <w:color w:val="auto"/>
        </w:rPr>
      </w:pPr>
    </w:p>
    <w:p>
      <w:pPr>
        <w:ind w:left="540" w:right="500"/>
        <w:spacing w:after="0" w:line="275" w:lineRule="auto"/>
        <w:rPr>
          <w:sz w:val="20"/>
          <w:szCs w:val="20"/>
          <w:color w:val="auto"/>
        </w:rPr>
      </w:pPr>
      <w:r>
        <w:rPr>
          <w:rFonts w:ascii="Arial" w:cs="Arial" w:eastAsia="Arial" w:hAnsi="Arial"/>
          <w:sz w:val="18"/>
          <w:szCs w:val="18"/>
          <w:b w:val="1"/>
          <w:bCs w:val="1"/>
          <w:color w:val="auto"/>
        </w:rPr>
        <w:t xml:space="preserve">Total Indebtedness </w:t>
      </w:r>
      <w:r>
        <w:rPr>
          <w:rFonts w:ascii="Arial" w:cs="Arial" w:eastAsia="Arial" w:hAnsi="Arial"/>
          <w:sz w:val="18"/>
          <w:szCs w:val="18"/>
          <w:color w:val="auto"/>
        </w:rPr>
        <w:t>means, at any time, the aggregate Financial Indebtedness (on a consolidated basis) of the Group as shown in the then most recent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86" w:name="page287"/>
    <w:bookmarkEnd w:id="286"/>
    <w:p>
      <w:pPr>
        <w:spacing w:after="0"/>
        <w:tabs>
          <w:tab w:leader="none" w:pos="5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Financial condition</w:t>
      </w:r>
    </w:p>
    <w:p>
      <w:pPr>
        <w:spacing w:after="0" w:line="200" w:lineRule="exact"/>
        <w:rPr>
          <w:sz w:val="20"/>
          <w:szCs w:val="20"/>
          <w:color w:val="auto"/>
        </w:rPr>
      </w:pPr>
    </w:p>
    <w:p>
      <w:pPr>
        <w:spacing w:after="0" w:line="282" w:lineRule="exact"/>
        <w:rPr>
          <w:sz w:val="20"/>
          <w:szCs w:val="20"/>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 xml:space="preserve">Leverage: </w:t>
      </w:r>
      <w:r>
        <w:rPr>
          <w:rFonts w:ascii="Arial" w:cs="Arial" w:eastAsia="Arial" w:hAnsi="Arial"/>
          <w:sz w:val="18"/>
          <w:szCs w:val="18"/>
          <w:color w:val="auto"/>
        </w:rPr>
        <w:t>Maximum Leverage shall be less than 65%;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 xml:space="preserve">Free Liquidity: </w:t>
      </w:r>
      <w:r>
        <w:rPr>
          <w:rFonts w:ascii="Arial" w:cs="Arial" w:eastAsia="Arial" w:hAnsi="Arial"/>
          <w:sz w:val="18"/>
          <w:szCs w:val="18"/>
          <w:color w:val="auto"/>
        </w:rPr>
        <w:t>Free Liquidity shall be at least $45,000,000.</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Financial testing</w:t>
      </w:r>
    </w:p>
    <w:p>
      <w:pPr>
        <w:spacing w:after="0" w:line="24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The financial covenants set out in clause 20.2 (</w:t>
      </w:r>
      <w:r>
        <w:rPr>
          <w:rFonts w:ascii="Arial" w:cs="Arial" w:eastAsia="Arial" w:hAnsi="Arial"/>
          <w:sz w:val="16"/>
          <w:szCs w:val="16"/>
          <w:i w:val="1"/>
          <w:iCs w:val="1"/>
          <w:color w:val="auto"/>
        </w:rPr>
        <w:t>Financial condition</w:t>
      </w:r>
      <w:r>
        <w:rPr>
          <w:rFonts w:ascii="Arial" w:cs="Arial" w:eastAsia="Arial" w:hAnsi="Arial"/>
          <w:sz w:val="16"/>
          <w:szCs w:val="16"/>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19.2 (</w:t>
      </w:r>
      <w:r>
        <w:rPr>
          <w:rFonts w:ascii="Arial" w:cs="Arial" w:eastAsia="Arial" w:hAnsi="Arial"/>
          <w:sz w:val="16"/>
          <w:szCs w:val="16"/>
          <w:i w:val="1"/>
          <w:iCs w:val="1"/>
          <w:color w:val="auto"/>
        </w:rPr>
        <w:t>Provision and contents of Compliance Certificate and valuations</w:t>
      </w:r>
      <w:r>
        <w:rPr>
          <w:rFonts w:ascii="Arial" w:cs="Arial" w:eastAsia="Arial" w:hAnsi="Arial"/>
          <w:sz w:val="16"/>
          <w:szCs w:val="16"/>
          <w:color w:val="auto"/>
        </w:rPr>
        <w:t>) together with such statements.</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General undertakings</w:t>
      </w:r>
    </w:p>
    <w:p>
      <w:pPr>
        <w:spacing w:after="0" w:line="231"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Each Obligor undertakes with each Finance Party that this clause 21 will be complied with throughout the Facility Period, except that the undertakings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Use of proceeds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Authorisations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239" w:lineRule="exact"/>
        <w:rPr>
          <w:sz w:val="20"/>
          <w:szCs w:val="20"/>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239" w:lineRule="exact"/>
        <w:rPr>
          <w:sz w:val="20"/>
          <w:szCs w:val="20"/>
          <w:color w:val="auto"/>
        </w:rPr>
      </w:pPr>
    </w:p>
    <w:p>
      <w:pPr>
        <w:ind w:left="1620" w:hanging="532"/>
        <w:spacing w:after="0"/>
        <w:tabs>
          <w:tab w:leader="none" w:pos="1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Compliance with laws</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 where failure to do so has, or might reasonably be expected to have, a Material Adverse Effect.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Tax Compliance</w:t>
      </w:r>
    </w:p>
    <w:p>
      <w:pPr>
        <w:spacing w:after="0" w:line="200" w:lineRule="exact"/>
        <w:rPr>
          <w:sz w:val="20"/>
          <w:szCs w:val="20"/>
          <w:color w:val="auto"/>
        </w:rPr>
      </w:pPr>
    </w:p>
    <w:p>
      <w:pPr>
        <w:spacing w:after="0" w:line="288" w:lineRule="exact"/>
        <w:rPr>
          <w:sz w:val="20"/>
          <w:szCs w:val="20"/>
          <w:color w:val="auto"/>
        </w:rPr>
      </w:pPr>
    </w:p>
    <w:p>
      <w:pPr>
        <w:ind w:left="1080" w:right="260" w:hanging="532"/>
        <w:spacing w:after="0" w:line="268" w:lineRule="auto"/>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87" w:name="page288"/>
    <w:bookmarkEnd w:id="287"/>
    <w:p>
      <w:pPr>
        <w:ind w:left="1620" w:right="620" w:hanging="532"/>
        <w:spacing w:after="0" w:line="268" w:lineRule="auto"/>
        <w:tabs>
          <w:tab w:leader="none" w:pos="16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00" w:lineRule="exact"/>
        <w:rPr>
          <w:sz w:val="20"/>
          <w:szCs w:val="20"/>
          <w:color w:val="auto"/>
        </w:rPr>
      </w:pPr>
    </w:p>
    <w:p>
      <w:pPr>
        <w:spacing w:after="0" w:line="255" w:lineRule="exact"/>
        <w:rPr>
          <w:sz w:val="20"/>
          <w:szCs w:val="20"/>
          <w:color w:val="auto"/>
        </w:rPr>
      </w:pPr>
    </w:p>
    <w:p>
      <w:pPr>
        <w:ind w:left="1080" w:hanging="532"/>
        <w:spacing w:after="0" w:line="268" w:lineRule="auto"/>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Change of business</w:t>
      </w:r>
    </w:p>
    <w:p>
      <w:pPr>
        <w:spacing w:after="0" w:line="245" w:lineRule="exact"/>
        <w:rPr>
          <w:sz w:val="20"/>
          <w:szCs w:val="20"/>
          <w:color w:val="auto"/>
        </w:rPr>
      </w:pPr>
    </w:p>
    <w:p>
      <w:pPr>
        <w:jc w:val="both"/>
        <w:ind w:left="540" w:right="60"/>
        <w:spacing w:after="0" w:line="256" w:lineRule="auto"/>
        <w:rPr>
          <w:sz w:val="20"/>
          <w:szCs w:val="20"/>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taken as a whole.</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5"/>
          <w:szCs w:val="15"/>
          <w:b w:val="1"/>
          <w:bCs w:val="1"/>
          <w:color w:val="auto"/>
        </w:rPr>
        <w:t>Merger and corporate reconstruction</w:t>
      </w:r>
    </w:p>
    <w:p>
      <w:pPr>
        <w:spacing w:after="0" w:line="258"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b w:val="1"/>
          <w:bCs w:val="1"/>
          <w:color w:val="auto"/>
        </w:rPr>
        <w:t>Further assurance</w:t>
      </w:r>
    </w:p>
    <w:p>
      <w:pPr>
        <w:spacing w:after="0" w:line="200" w:lineRule="exact"/>
        <w:rPr>
          <w:sz w:val="20"/>
          <w:szCs w:val="20"/>
          <w:color w:val="auto"/>
        </w:rPr>
      </w:pPr>
    </w:p>
    <w:p>
      <w:pPr>
        <w:spacing w:after="0" w:line="274" w:lineRule="exact"/>
        <w:rPr>
          <w:sz w:val="20"/>
          <w:szCs w:val="20"/>
          <w:color w:val="auto"/>
        </w:rPr>
      </w:pPr>
    </w:p>
    <w:p>
      <w:pPr>
        <w:ind w:left="1080" w:right="140" w:hanging="532"/>
        <w:spacing w:after="0" w:line="306" w:lineRule="auto"/>
        <w:tabs>
          <w:tab w:leader="none" w:pos="10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620" w:right="60" w:hanging="532"/>
        <w:spacing w:after="0" w:line="298" w:lineRule="auto"/>
        <w:tabs>
          <w:tab w:leader="none" w:pos="162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79" w:lineRule="exact"/>
        <w:rPr>
          <w:rFonts w:ascii="Arial" w:cs="Arial" w:eastAsia="Arial" w:hAnsi="Arial"/>
          <w:sz w:val="16"/>
          <w:szCs w:val="16"/>
          <w:color w:val="auto"/>
        </w:rPr>
      </w:pPr>
    </w:p>
    <w:p>
      <w:pPr>
        <w:ind w:left="1620" w:right="80" w:hanging="532"/>
        <w:spacing w:after="0" w:line="331" w:lineRule="auto"/>
        <w:tabs>
          <w:tab w:leader="none" w:pos="162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54" w:lineRule="exact"/>
        <w:rPr>
          <w:rFonts w:ascii="Arial" w:cs="Arial" w:eastAsia="Arial" w:hAnsi="Arial"/>
          <w:sz w:val="16"/>
          <w:szCs w:val="16"/>
          <w:color w:val="auto"/>
        </w:rPr>
      </w:pPr>
    </w:p>
    <w:p>
      <w:pPr>
        <w:ind w:left="1620" w:hanging="532"/>
        <w:spacing w:after="0"/>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252" w:lineRule="exact"/>
        <w:rPr>
          <w:rFonts w:ascii="Arial" w:cs="Arial" w:eastAsia="Arial" w:hAnsi="Arial"/>
          <w:sz w:val="18"/>
          <w:szCs w:val="18"/>
          <w:color w:val="auto"/>
        </w:rPr>
      </w:pPr>
    </w:p>
    <w:p>
      <w:pPr>
        <w:ind w:left="1620" w:right="680" w:hanging="532"/>
        <w:spacing w:after="0" w:line="268" w:lineRule="auto"/>
        <w:tabs>
          <w:tab w:leader="none" w:pos="16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30.1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288" w:name="page289"/>
    <w:bookmarkEnd w:id="288"/>
    <w:p>
      <w:pPr>
        <w:ind w:left="1080"/>
        <w:spacing w:after="0" w:line="268" w:lineRule="auto"/>
        <w:rPr>
          <w:sz w:val="20"/>
          <w:szCs w:val="20"/>
          <w:color w:val="auto"/>
        </w:rPr>
      </w:pPr>
      <w:r>
        <w:rPr>
          <w:rFonts w:ascii="Arial" w:cs="Arial" w:eastAsia="Arial" w:hAnsi="Arial"/>
          <w:sz w:val="18"/>
          <w:szCs w:val="18"/>
          <w:color w:val="auto"/>
        </w:rPr>
        <w:t>maintenance of any Security Interest (or the priority of any Security Interest) conferred or intended to be conferred on the Security Agent and/or any other Finance Party by or pursuant to the Finance Documents.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Negative pledge in respect of Charged Property or Borrower's shares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Obligor will grant or allow to exist any Security Interest over any of the shares in any of the Borrowers or over any of the rights deriving from or related to such shares.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Environmental matters</w:t>
      </w:r>
    </w:p>
    <w:p>
      <w:pPr>
        <w:spacing w:after="0" w:line="200" w:lineRule="exact"/>
        <w:rPr>
          <w:sz w:val="20"/>
          <w:szCs w:val="20"/>
          <w:color w:val="auto"/>
        </w:rPr>
      </w:pPr>
    </w:p>
    <w:p>
      <w:pPr>
        <w:spacing w:after="0" w:line="288" w:lineRule="exact"/>
        <w:rPr>
          <w:sz w:val="20"/>
          <w:szCs w:val="20"/>
          <w:color w:val="auto"/>
        </w:rPr>
      </w:pPr>
    </w:p>
    <w:p>
      <w:pPr>
        <w:ind w:left="1080" w:right="260" w:hanging="532"/>
        <w:spacing w:after="0" w:line="298" w:lineRule="auto"/>
        <w:tabs>
          <w:tab w:leader="none" w:pos="108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Obligors will notify the Agent as soon as reasonably practicable of any Environmental Claim being made against any Group Member or any Fleet Vessel or the owner of any Fleet Vessel or any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79"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5"/>
          <w:szCs w:val="15"/>
          <w:b w:val="1"/>
          <w:bCs w:val="1"/>
          <w:color w:val="auto"/>
        </w:rPr>
        <w:t>Pari Passu</w:t>
      </w:r>
    </w:p>
    <w:p>
      <w:pPr>
        <w:spacing w:after="0" w:line="258"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5"/>
          <w:szCs w:val="15"/>
          <w:b w:val="1"/>
          <w:bCs w:val="1"/>
          <w:color w:val="auto"/>
        </w:rPr>
        <w:t>Sanctions</w:t>
      </w:r>
    </w:p>
    <w:p>
      <w:pPr>
        <w:spacing w:after="0" w:line="200" w:lineRule="exact"/>
        <w:rPr>
          <w:sz w:val="20"/>
          <w:szCs w:val="20"/>
          <w:color w:val="auto"/>
        </w:rPr>
      </w:pPr>
    </w:p>
    <w:p>
      <w:pPr>
        <w:spacing w:after="0" w:line="274" w:lineRule="exact"/>
        <w:rPr>
          <w:sz w:val="20"/>
          <w:szCs w:val="20"/>
          <w:color w:val="auto"/>
        </w:rPr>
      </w:pPr>
    </w:p>
    <w:p>
      <w:pPr>
        <w:ind w:left="1080" w:right="60" w:hanging="532"/>
        <w:spacing w:after="0" w:line="259" w:lineRule="auto"/>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Revolving Loans available to, or for the benefit of, a Prohibited Person or permit or authorise any such proceeds to be applied in a manner or for a purpose prohibited by Sanctions or which would put any Finance Party in breach of any Sanctions.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will: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238" w:lineRule="exact"/>
        <w:rPr>
          <w:rFonts w:ascii="Arial" w:cs="Arial" w:eastAsia="Arial" w:hAnsi="Arial"/>
          <w:sz w:val="18"/>
          <w:szCs w:val="18"/>
          <w:color w:val="auto"/>
        </w:rPr>
      </w:pPr>
    </w:p>
    <w:p>
      <w:pPr>
        <w:ind w:left="1620" w:right="660" w:hanging="532"/>
        <w:spacing w:after="0" w:line="268" w:lineRule="auto"/>
        <w:tabs>
          <w:tab w:leader="none" w:pos="16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212"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289" w:name="page290"/>
    <w:bookmarkEnd w:id="289"/>
    <w:p>
      <w:pPr>
        <w:ind w:left="1080"/>
        <w:spacing w:after="0"/>
        <w:rPr>
          <w:sz w:val="20"/>
          <w:szCs w:val="20"/>
          <w:color w:val="auto"/>
        </w:rPr>
      </w:pPr>
      <w:r>
        <w:rPr>
          <w:rFonts w:ascii="Arial" w:cs="Arial" w:eastAsia="Arial" w:hAnsi="Arial"/>
          <w:sz w:val="16"/>
          <w:szCs w:val="16"/>
          <w:color w:val="auto"/>
        </w:rPr>
        <w:t>directly or indirectly on behalf of or for the benefit of, a Prohibited Person", where such chartering activity is not in breach of Sanctions);</w:t>
      </w:r>
    </w:p>
    <w:p>
      <w:pPr>
        <w:spacing w:after="0" w:line="262" w:lineRule="exact"/>
        <w:rPr>
          <w:sz w:val="20"/>
          <w:szCs w:val="20"/>
          <w:color w:val="auto"/>
        </w:rPr>
      </w:pPr>
    </w:p>
    <w:p>
      <w:pPr>
        <w:ind w:left="1080" w:hanging="532"/>
        <w:spacing w:after="0"/>
        <w:tabs>
          <w:tab w:leader="none" w:pos="10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00" w:hanging="532"/>
        <w:spacing w:after="0" w:line="331" w:lineRule="auto"/>
        <w:tabs>
          <w:tab w:leader="none" w:pos="10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by, or for the benefit of, any Prohibited Person or any person owned or controlled by any Prohibited Person (including from being sold, chartered, leased or otherwise provided directly or indirectly to any Prohibited Person) if such use would be in breach of Sanctions;</w:t>
      </w:r>
    </w:p>
    <w:p>
      <w:pPr>
        <w:spacing w:after="0" w:line="16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in any transport of any goods that are prohibited to be sold, supplied, transferred, purchased, exported or imported under any Sanctions.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right="40" w:hanging="532"/>
        <w:spacing w:after="0" w:line="294" w:lineRule="auto"/>
        <w:tabs>
          <w:tab w:leader="none" w:pos="5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Sanctions, it shall terminate as soon as possible and in any case within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196" w:lineRule="exact"/>
        <w:rPr>
          <w:rFonts w:ascii="Arial" w:cs="Arial" w:eastAsia="Arial" w:hAnsi="Arial"/>
          <w:sz w:val="16"/>
          <w:szCs w:val="16"/>
          <w:color w:val="auto"/>
        </w:rPr>
      </w:pPr>
    </w:p>
    <w:p>
      <w:pPr>
        <w:jc w:val="both"/>
        <w:ind w:left="540" w:right="400" w:hanging="532"/>
        <w:spacing w:after="0" w:line="369" w:lineRule="auto"/>
        <w:tabs>
          <w:tab w:leader="none" w:pos="5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131" w:lineRule="exact"/>
        <w:rPr>
          <w:rFonts w:ascii="Arial" w:cs="Arial" w:eastAsia="Arial" w:hAnsi="Arial"/>
          <w:sz w:val="15"/>
          <w:szCs w:val="15"/>
          <w:color w:val="auto"/>
        </w:rPr>
      </w:pPr>
    </w:p>
    <w:p>
      <w:pPr>
        <w:ind w:left="540" w:right="3660" w:hanging="532"/>
        <w:spacing w:after="0" w:line="726" w:lineRule="auto"/>
        <w:tabs>
          <w:tab w:leader="none" w:pos="5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 xml:space="preserve">For the purposes of this clause 21.11 the following words shall have the following meanings: </w:t>
      </w:r>
      <w:r>
        <w:rPr>
          <w:rFonts w:ascii="Arial" w:cs="Arial" w:eastAsia="Arial" w:hAnsi="Arial"/>
          <w:sz w:val="15"/>
          <w:szCs w:val="15"/>
          <w:b w:val="1"/>
          <w:bCs w:val="1"/>
          <w:color w:val="auto"/>
        </w:rPr>
        <w:t xml:space="preserve">Prohibited Person </w:t>
      </w:r>
      <w:r>
        <w:rPr>
          <w:rFonts w:ascii="Arial" w:cs="Arial" w:eastAsia="Arial" w:hAnsi="Arial"/>
          <w:sz w:val="15"/>
          <w:szCs w:val="15"/>
          <w:color w:val="auto"/>
        </w:rPr>
        <w:t>means any person with whom transactions are prohibited or restricted under:</w:t>
      </w:r>
    </w:p>
    <w:p>
      <w:pPr>
        <w:spacing w:after="0" w:line="104"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OFAC; or</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other United States of America government sanction,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73" w:lineRule="exact"/>
        <w:rPr>
          <w:rFonts w:ascii="Arial" w:cs="Arial" w:eastAsia="Arial" w:hAnsi="Arial"/>
          <w:sz w:val="16"/>
          <w:szCs w:val="16"/>
          <w:color w:val="auto"/>
        </w:rPr>
      </w:pPr>
    </w:p>
    <w:p>
      <w:pPr>
        <w:ind w:left="1080" w:right="40" w:hanging="532"/>
        <w:spacing w:after="0" w:line="335" w:lineRule="auto"/>
        <w:tabs>
          <w:tab w:leader="none" w:pos="1080" w:val="left"/>
        </w:tabs>
        <w:numPr>
          <w:ilvl w:val="0"/>
          <w:numId w:val="369"/>
        </w:numPr>
        <w:rPr>
          <w:rFonts w:ascii="Arial" w:cs="Arial" w:eastAsia="Arial" w:hAnsi="Arial"/>
          <w:sz w:val="15"/>
          <w:szCs w:val="15"/>
          <w:color w:val="auto"/>
        </w:rPr>
      </w:pPr>
      <w:r>
        <w:rPr>
          <w:rFonts w:ascii="Arial" w:cs="Arial" w:eastAsia="Arial" w:hAnsi="Arial"/>
          <w:sz w:val="15"/>
          <w:szCs w:val="15"/>
          <w:color w:val="auto"/>
        </w:rPr>
        <w:t>European Union sanctions laws,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4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80"/>
          </w:cols>
          <w:pgMar w:left="700" w:top="51" w:right="219" w:bottom="1440" w:gutter="0" w:footer="0" w:header="0"/>
        </w:sectPr>
      </w:pPr>
    </w:p>
    <w:bookmarkStart w:id="290" w:name="page291"/>
    <w:bookmarkEnd w:id="290"/>
    <w:p>
      <w:pPr>
        <w:ind w:left="1620" w:right="40" w:hanging="532"/>
        <w:spacing w:after="0" w:line="268" w:lineRule="auto"/>
        <w:tabs>
          <w:tab w:leader="none" w:pos="1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 and</w:t>
      </w:r>
    </w:p>
    <w:p>
      <w:pPr>
        <w:spacing w:after="0" w:line="199"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Swiss sanctions laws, including without limitation persons or organisations on the sanctions lists issued and administered by the State Secretariat for Economic Affairs of Switzerland,</w:t>
      </w:r>
    </w:p>
    <w:p>
      <w:pPr>
        <w:spacing w:after="0" w:line="200" w:lineRule="exact"/>
        <w:rPr>
          <w:sz w:val="20"/>
          <w:szCs w:val="20"/>
          <w:color w:val="auto"/>
        </w:rPr>
      </w:pP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273" w:lineRule="exact"/>
        <w:rPr>
          <w:sz w:val="20"/>
          <w:szCs w:val="20"/>
          <w:color w:val="auto"/>
        </w:rPr>
      </w:pPr>
    </w:p>
    <w:p>
      <w:pPr>
        <w:ind w:left="1080" w:right="540"/>
        <w:spacing w:after="0" w:line="275"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 by any Sanctions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00" w:lineRule="exact"/>
        <w:rPr>
          <w:sz w:val="20"/>
          <w:szCs w:val="20"/>
          <w:color w:val="auto"/>
        </w:rPr>
      </w:pPr>
    </w:p>
    <w:p>
      <w:pPr>
        <w:spacing w:after="0" w:line="261" w:lineRule="exact"/>
        <w:rPr>
          <w:sz w:val="20"/>
          <w:szCs w:val="20"/>
          <w:color w:val="auto"/>
        </w:rPr>
      </w:pPr>
    </w:p>
    <w:p>
      <w:pPr>
        <w:ind w:left="1620" w:hanging="532"/>
        <w:spacing w:after="0"/>
        <w:tabs>
          <w:tab w:leader="none" w:pos="1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European Union (and/or any member state thereof);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82" w:lineRule="exact"/>
        <w:rPr>
          <w:sz w:val="20"/>
          <w:szCs w:val="20"/>
          <w:color w:val="auto"/>
        </w:rPr>
      </w:pPr>
    </w:p>
    <w:p>
      <w:pPr>
        <w:ind w:left="1080" w:right="460"/>
        <w:spacing w:after="0" w:line="256"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 and the State Secretariat for Economic Affairs of Switzerland (</w:t>
      </w:r>
      <w:r>
        <w:rPr>
          <w:rFonts w:ascii="Arial" w:cs="Arial" w:eastAsia="Arial" w:hAnsi="Arial"/>
          <w:sz w:val="18"/>
          <w:szCs w:val="18"/>
          <w:b w:val="1"/>
          <w:bCs w:val="1"/>
          <w:color w:val="auto"/>
        </w:rPr>
        <w:t>SECO</w:t>
      </w:r>
      <w:r>
        <w:rPr>
          <w:rFonts w:ascii="Arial" w:cs="Arial" w:eastAsia="Arial" w:hAnsi="Arial"/>
          <w:sz w:val="18"/>
          <w:szCs w:val="18"/>
          <w:color w:val="auto"/>
        </w:rPr>
        <w:t>) and the Swiss Directorate of International Law (</w:t>
      </w:r>
      <w:r>
        <w:rPr>
          <w:rFonts w:ascii="Arial" w:cs="Arial" w:eastAsia="Arial" w:hAnsi="Arial"/>
          <w:sz w:val="18"/>
          <w:szCs w:val="18"/>
          <w:b w:val="1"/>
          <w:bCs w:val="1"/>
          <w:color w:val="auto"/>
        </w:rPr>
        <w:t>DIL</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5"/>
          <w:szCs w:val="15"/>
          <w:b w:val="1"/>
          <w:bCs w:val="1"/>
          <w:color w:val="auto"/>
        </w:rPr>
        <w:t>Borrowers' own account</w:t>
      </w:r>
    </w:p>
    <w:p>
      <w:pPr>
        <w:spacing w:after="0" w:line="245"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 including Article 305bis of the Swiss Penal Code.</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5"/>
          <w:szCs w:val="15"/>
          <w:b w:val="1"/>
          <w:bCs w:val="1"/>
          <w:color w:val="auto"/>
        </w:rPr>
        <w:t>Inspection</w:t>
      </w:r>
    </w:p>
    <w:p>
      <w:pPr>
        <w:spacing w:after="0" w:line="258"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91" w:name="page292"/>
    <w:bookmarkEnd w:id="291"/>
    <w:p>
      <w:pPr>
        <w:spacing w:after="0"/>
        <w:tabs>
          <w:tab w:leader="none" w:pos="52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color w:val="auto"/>
        </w:rPr>
        <w:t>Bribery and corruption</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500" w:hanging="532"/>
        <w:spacing w:after="0" w:line="268" w:lineRule="auto"/>
        <w:tabs>
          <w:tab w:leader="none" w:pos="16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60" w:hanging="532"/>
        <w:spacing w:after="0" w:line="331" w:lineRule="auto"/>
        <w:tabs>
          <w:tab w:leader="none" w:pos="10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273" w:lineRule="exact"/>
        <w:rPr>
          <w:rFonts w:ascii="Arial" w:cs="Arial" w:eastAsia="Arial" w:hAnsi="Arial"/>
          <w:sz w:val="18"/>
          <w:szCs w:val="18"/>
          <w:color w:val="auto"/>
        </w:rPr>
      </w:pPr>
    </w:p>
    <w:p>
      <w:pPr>
        <w:ind w:left="108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 influence the actions,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party.</w:t>
      </w:r>
    </w:p>
    <w:p>
      <w:pPr>
        <w:spacing w:after="0" w:line="214" w:lineRule="exact"/>
        <w:rPr>
          <w:rFonts w:ascii="Arial" w:cs="Arial" w:eastAsia="Arial" w:hAnsi="Arial"/>
          <w:sz w:val="18"/>
          <w:szCs w:val="18"/>
          <w:color w:val="auto"/>
        </w:rPr>
      </w:pPr>
    </w:p>
    <w:p>
      <w:pPr>
        <w:ind w:left="108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 influence the actions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party.</w:t>
      </w:r>
    </w:p>
    <w:p>
      <w:pPr>
        <w:spacing w:after="0" w:line="214" w:lineRule="exact"/>
        <w:rPr>
          <w:rFonts w:ascii="Arial" w:cs="Arial" w:eastAsia="Arial" w:hAnsi="Arial"/>
          <w:sz w:val="18"/>
          <w:szCs w:val="18"/>
          <w:color w:val="auto"/>
        </w:rPr>
      </w:pPr>
    </w:p>
    <w:p>
      <w:pPr>
        <w:ind w:left="1080" w:right="22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that party.</w:t>
      </w:r>
    </w:p>
    <w:p>
      <w:pPr>
        <w:spacing w:after="0" w:line="227" w:lineRule="exact"/>
        <w:rPr>
          <w:rFonts w:ascii="Arial" w:cs="Arial" w:eastAsia="Arial" w:hAnsi="Arial"/>
          <w:sz w:val="18"/>
          <w:szCs w:val="18"/>
          <w:color w:val="auto"/>
        </w:rPr>
      </w:pPr>
    </w:p>
    <w:p>
      <w:pPr>
        <w:ind w:left="1080" w:right="6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 that they are to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order to carry out terrorist acts.</w:t>
      </w:r>
    </w:p>
    <w:p>
      <w:pPr>
        <w:spacing w:after="0" w:line="214" w:lineRule="exact"/>
        <w:rPr>
          <w:rFonts w:ascii="Arial" w:cs="Arial" w:eastAsia="Arial" w:hAnsi="Arial"/>
          <w:sz w:val="18"/>
          <w:szCs w:val="18"/>
          <w:color w:val="auto"/>
        </w:rPr>
      </w:pPr>
    </w:p>
    <w:p>
      <w:pPr>
        <w:ind w:left="1080" w:right="320"/>
        <w:spacing w:after="0" w:line="572" w:lineRule="auto"/>
        <w:rPr>
          <w:rFonts w:ascii="Arial" w:cs="Arial" w:eastAsia="Arial" w:hAnsi="Arial"/>
          <w:sz w:val="18"/>
          <w:szCs w:val="18"/>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 by deception.</w:t>
      </w:r>
      <w:r>
        <w:rPr>
          <w:rFonts w:ascii="Arial" w:cs="Arial" w:eastAsia="Arial" w:hAnsi="Arial"/>
          <w:sz w:val="18"/>
          <w:szCs w:val="18"/>
          <w:b w:val="1"/>
          <w:bCs w:val="1"/>
          <w:color w:val="auto"/>
        </w:rPr>
        <w:t xml:space="preserve"> Money Laundering </w:t>
      </w:r>
      <w:r>
        <w:rPr>
          <w:rFonts w:ascii="Arial" w:cs="Arial" w:eastAsia="Arial" w:hAnsi="Arial"/>
          <w:sz w:val="18"/>
          <w:szCs w:val="18"/>
          <w:color w:val="auto"/>
        </w:rPr>
        <w:t>means:</w:t>
      </w:r>
    </w:p>
    <w:p>
      <w:pPr>
        <w:spacing w:after="0" w:line="167" w:lineRule="exact"/>
        <w:rPr>
          <w:sz w:val="20"/>
          <w:szCs w:val="20"/>
          <w:color w:val="auto"/>
        </w:rPr>
      </w:pPr>
    </w:p>
    <w:p>
      <w:pPr>
        <w:ind w:left="1620" w:right="140" w:hanging="532"/>
        <w:spacing w:after="0" w:line="331" w:lineRule="auto"/>
        <w:tabs>
          <w:tab w:leader="none" w:pos="16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54" w:lineRule="exact"/>
        <w:rPr>
          <w:rFonts w:ascii="Arial" w:cs="Arial" w:eastAsia="Arial" w:hAnsi="Arial"/>
          <w:sz w:val="16"/>
          <w:szCs w:val="16"/>
          <w:color w:val="auto"/>
        </w:rPr>
      </w:pPr>
    </w:p>
    <w:p>
      <w:pPr>
        <w:ind w:left="1620" w:right="300" w:hanging="532"/>
        <w:spacing w:after="0" w:line="268" w:lineRule="auto"/>
        <w:tabs>
          <w:tab w:leader="none" w:pos="16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200" w:lineRule="exact"/>
        <w:rPr>
          <w:sz w:val="20"/>
          <w:szCs w:val="20"/>
          <w:color w:val="auto"/>
        </w:rPr>
      </w:pPr>
    </w:p>
    <w:p>
      <w:pPr>
        <w:spacing w:after="0" w:line="249" w:lineRule="exact"/>
        <w:rPr>
          <w:sz w:val="20"/>
          <w:szCs w:val="20"/>
          <w:color w:val="auto"/>
        </w:rPr>
      </w:pPr>
    </w:p>
    <w:p>
      <w:pPr>
        <w:ind w:left="540" w:hanging="532"/>
        <w:spacing w:after="0"/>
        <w:tabs>
          <w:tab w:leader="none" w:pos="5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Dealings with Ship</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Each Borrower undertakes that this clause 22 will be complied with in relation to each Mortgaged Ship throughout the relevant Ship's Mortgage Period.</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60"/>
          </w:cols>
          <w:pgMar w:left="160" w:top="45" w:right="279" w:bottom="1440" w:gutter="0" w:footer="0" w:header="0"/>
        </w:sectPr>
      </w:pPr>
    </w:p>
    <w:bookmarkStart w:id="292" w:name="page293"/>
    <w:bookmarkEnd w:id="292"/>
    <w:p>
      <w:pPr>
        <w:spacing w:after="0"/>
        <w:tabs>
          <w:tab w:leader="none" w:pos="5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b w:val="1"/>
          <w:bCs w:val="1"/>
          <w:color w:val="auto"/>
        </w:rPr>
        <w:t>Ship's name and registration</w:t>
      </w:r>
    </w:p>
    <w:p>
      <w:pPr>
        <w:spacing w:after="0" w:line="200" w:lineRule="exact"/>
        <w:rPr>
          <w:sz w:val="20"/>
          <w:szCs w:val="20"/>
          <w:color w:val="auto"/>
        </w:rPr>
      </w:pPr>
    </w:p>
    <w:p>
      <w:pPr>
        <w:spacing w:after="0" w:line="288" w:lineRule="exact"/>
        <w:rPr>
          <w:sz w:val="20"/>
          <w:szCs w:val="20"/>
          <w:color w:val="auto"/>
        </w:rPr>
      </w:pPr>
    </w:p>
    <w:p>
      <w:pPr>
        <w:ind w:left="1080" w:right="200" w:hanging="532"/>
        <w:spacing w:after="0" w:line="268"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99" w:lineRule="exact"/>
        <w:rPr>
          <w:rFonts w:ascii="Arial" w:cs="Arial" w:eastAsia="Arial" w:hAnsi="Arial"/>
          <w:sz w:val="18"/>
          <w:szCs w:val="18"/>
          <w:color w:val="auto"/>
        </w:rPr>
      </w:pPr>
    </w:p>
    <w:p>
      <w:pPr>
        <w:ind w:left="1080" w:right="60" w:hanging="532"/>
        <w:spacing w:after="0" w:line="314" w:lineRule="auto"/>
        <w:tabs>
          <w:tab w:leader="none" w:pos="108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The Ship shall be permanently registered in the name of the relevant Owner with the relevant Registry under the laws of its Flag State.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71"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Sale or other disposal of Ship; refinancing</w:t>
      </w:r>
    </w:p>
    <w:p>
      <w:pPr>
        <w:spacing w:after="0" w:line="200" w:lineRule="exact"/>
        <w:rPr>
          <w:sz w:val="20"/>
          <w:szCs w:val="20"/>
          <w:color w:val="auto"/>
        </w:rPr>
      </w:pPr>
    </w:p>
    <w:p>
      <w:pPr>
        <w:spacing w:after="0" w:line="288" w:lineRule="exact"/>
        <w:rPr>
          <w:sz w:val="20"/>
          <w:szCs w:val="20"/>
          <w:color w:val="auto"/>
        </w:rPr>
      </w:pPr>
    </w:p>
    <w:p>
      <w:pPr>
        <w:ind w:left="1080" w:right="140" w:hanging="532"/>
        <w:spacing w:after="0" w:line="312" w:lineRule="auto"/>
        <w:tabs>
          <w:tab w:leader="none" w:pos="108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The Owners may sell or transfer a Ship, provided that the relevant Owner and the other Borrowers are in compliance with this clause 22.2 and clause 7.6 (</w:t>
      </w:r>
      <w:r>
        <w:rPr>
          <w:rFonts w:ascii="Arial" w:cs="Arial" w:eastAsia="Arial" w:hAnsi="Arial"/>
          <w:sz w:val="15"/>
          <w:szCs w:val="15"/>
          <w:i w:val="1"/>
          <w:iCs w:val="1"/>
          <w:color w:val="auto"/>
        </w:rPr>
        <w:t>Sale or Total Loss or Change of Control in respect of a Borrower</w:t>
      </w:r>
      <w:r>
        <w:rPr>
          <w:rFonts w:ascii="Arial" w:cs="Arial" w:eastAsia="Arial" w:hAnsi="Arial"/>
          <w:sz w:val="15"/>
          <w:szCs w:val="15"/>
          <w:color w:val="auto"/>
        </w:rPr>
        <w:t>) in respect of such sale or transfer and no Default has occurred and is continuing at the time of such sale or transfer. Upon such sale or transfer the Lenders will procure that upon the relevant cancellation and prepayment and the discharge of the other obligations of the Borrowers under this clause 22.2 and clause 7.6 (</w:t>
      </w:r>
      <w:r>
        <w:rPr>
          <w:rFonts w:ascii="Arial" w:cs="Arial" w:eastAsia="Arial" w:hAnsi="Arial"/>
          <w:sz w:val="15"/>
          <w:szCs w:val="15"/>
          <w:i w:val="1"/>
          <w:iCs w:val="1"/>
          <w:color w:val="auto"/>
        </w:rPr>
        <w:t>Sale or Total Loss or Change of</w:t>
      </w:r>
      <w:r>
        <w:rPr>
          <w:rFonts w:ascii="Arial" w:cs="Arial" w:eastAsia="Arial" w:hAnsi="Arial"/>
          <w:sz w:val="15"/>
          <w:szCs w:val="15"/>
          <w:color w:val="auto"/>
        </w:rPr>
        <w:t xml:space="preserve"> </w:t>
      </w:r>
      <w:r>
        <w:rPr>
          <w:rFonts w:ascii="Arial" w:cs="Arial" w:eastAsia="Arial" w:hAnsi="Arial"/>
          <w:sz w:val="15"/>
          <w:szCs w:val="15"/>
          <w:i w:val="1"/>
          <w:iCs w:val="1"/>
          <w:color w:val="auto"/>
        </w:rPr>
        <w:t>Control in respect of a Borrower</w:t>
      </w:r>
      <w:r>
        <w:rPr>
          <w:rFonts w:ascii="Arial" w:cs="Arial" w:eastAsia="Arial" w:hAnsi="Arial"/>
          <w:sz w:val="15"/>
          <w:szCs w:val="15"/>
          <w:color w:val="auto"/>
        </w:rPr>
        <w:t>), the Mortgage over that Ship will be discharged and the Deed of Covenant, the General Assignment, any Charter</w:t>
      </w:r>
      <w:r>
        <w:rPr>
          <w:rFonts w:ascii="Arial" w:cs="Arial" w:eastAsia="Arial" w:hAnsi="Arial"/>
          <w:sz w:val="15"/>
          <w:szCs w:val="15"/>
          <w:i w:val="1"/>
          <w:iCs w:val="1"/>
          <w:color w:val="auto"/>
        </w:rPr>
        <w:t xml:space="preserve"> </w:t>
      </w:r>
      <w:r>
        <w:rPr>
          <w:rFonts w:ascii="Arial" w:cs="Arial" w:eastAsia="Arial" w:hAnsi="Arial"/>
          <w:sz w:val="15"/>
          <w:szCs w:val="15"/>
          <w:color w:val="auto"/>
        </w:rPr>
        <w:t>Assignment, the Account Security and the Manager's Undertaking relating to that Ship will be released, and the relevant Owner will be released as Borrower under this Agreement, in each case pursuant to deeds of release in agreed form executed at the cost and expense of the Borrowers.</w:t>
      </w:r>
    </w:p>
    <w:p>
      <w:pPr>
        <w:spacing w:after="0" w:line="171" w:lineRule="exact"/>
        <w:rPr>
          <w:rFonts w:ascii="Arial" w:cs="Arial" w:eastAsia="Arial" w:hAnsi="Arial"/>
          <w:sz w:val="15"/>
          <w:szCs w:val="15"/>
          <w:color w:val="auto"/>
        </w:rPr>
      </w:pPr>
    </w:p>
    <w:p>
      <w:pPr>
        <w:ind w:left="1080" w:hanging="532"/>
        <w:spacing w:after="0" w:line="290" w:lineRule="auto"/>
        <w:tabs>
          <w:tab w:leader="none" w:pos="108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In any event, if at any time the Borrowers (i) prepay the Revolving Loans relevant to a Ship in full, (ii) reduce the relevant Ship Commitment to zero in accordance with clause 7.3(a)(ii) or (iii) (</w:t>
      </w:r>
      <w:r>
        <w:rPr>
          <w:rFonts w:ascii="Arial" w:cs="Arial" w:eastAsia="Arial" w:hAnsi="Arial"/>
          <w:sz w:val="16"/>
          <w:szCs w:val="16"/>
          <w:i w:val="1"/>
          <w:iCs w:val="1"/>
          <w:color w:val="auto"/>
        </w:rPr>
        <w:t>Voluntary cancellation</w:t>
      </w:r>
      <w:r>
        <w:rPr>
          <w:rFonts w:ascii="Arial" w:cs="Arial" w:eastAsia="Arial" w:hAnsi="Arial"/>
          <w:sz w:val="16"/>
          <w:szCs w:val="16"/>
          <w:color w:val="auto"/>
        </w:rPr>
        <w:t>) or clause 7.6 (</w:t>
      </w:r>
      <w:r>
        <w:rPr>
          <w:rFonts w:ascii="Arial" w:cs="Arial" w:eastAsia="Arial" w:hAnsi="Arial"/>
          <w:sz w:val="16"/>
          <w:szCs w:val="16"/>
          <w:i w:val="1"/>
          <w:iCs w:val="1"/>
          <w:color w:val="auto"/>
        </w:rPr>
        <w:t>Sale or Total Loss or Change of Control in respect of a Borrower</w:t>
      </w:r>
      <w:r>
        <w:rPr>
          <w:rFonts w:ascii="Arial" w:cs="Arial" w:eastAsia="Arial" w:hAnsi="Arial"/>
          <w:sz w:val="16"/>
          <w:szCs w:val="16"/>
          <w:color w:val="auto"/>
        </w:rPr>
        <w:t>), (iii) pay all other amounts owing and payable under this Agreement and the other Finance Documents at the time of such prepayment and cancellation and (iv) no Default has occurred and is continuing at the time, upon such prepayment and cancellation the Lenders shall consent to the discharge of the Mortgage, the Deed of Covenant, the General Assignment, the Manager's Undertaking, the Account Security and any Charter Assignment relating to the Ship, and the release of the Owner of that Ship under the Finance Documents, pursuant to deeds of release in agreed form executed at the cost and expense of the Borrowers.</w:t>
      </w:r>
    </w:p>
    <w:p>
      <w:pPr>
        <w:spacing w:after="0" w:line="3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Manager</w:t>
      </w:r>
    </w:p>
    <w:p>
      <w:pPr>
        <w:spacing w:after="0" w:line="258" w:lineRule="exact"/>
        <w:rPr>
          <w:sz w:val="20"/>
          <w:szCs w:val="20"/>
          <w:color w:val="auto"/>
        </w:rPr>
      </w:pPr>
    </w:p>
    <w:p>
      <w:pPr>
        <w:ind w:left="540" w:right="380"/>
        <w:spacing w:after="0" w:line="259" w:lineRule="auto"/>
        <w:rPr>
          <w:sz w:val="20"/>
          <w:szCs w:val="20"/>
          <w:color w:val="auto"/>
        </w:rPr>
      </w:pPr>
      <w:r>
        <w:rPr>
          <w:rFonts w:ascii="Arial" w:cs="Arial" w:eastAsia="Arial" w:hAnsi="Arial"/>
          <w:sz w:val="18"/>
          <w:szCs w:val="18"/>
          <w:color w:val="auto"/>
        </w:rPr>
        <w:t>A manager of the Ship (other than the Managers as at the date of this Agreement) shall not be appointed unless that manager and the terms of its appointment pursuant to the relevant Management Agreement are approved by the Majority Lenders (such approval not to be unreasonably withheld or delayed) and it has delivered a duly executed Manager's Undertaking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293" w:name="page294"/>
    <w:bookmarkEnd w:id="293"/>
    <w:p>
      <w:pPr>
        <w:ind w:left="540" w:right="280"/>
        <w:spacing w:after="0" w:line="331" w:lineRule="auto"/>
        <w:rPr>
          <w:sz w:val="20"/>
          <w:szCs w:val="20"/>
          <w:color w:val="auto"/>
        </w:rPr>
      </w:pPr>
      <w:r>
        <w:rPr>
          <w:rFonts w:ascii="Arial" w:cs="Arial" w:eastAsia="Arial" w:hAnsi="Arial"/>
          <w:sz w:val="16"/>
          <w:szCs w:val="16"/>
          <w:color w:val="auto"/>
        </w:rPr>
        <w:t>to the Security Agent. 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Copy of Mortgage on board</w:t>
      </w:r>
    </w:p>
    <w:p>
      <w:pPr>
        <w:spacing w:after="0" w:line="2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Notice of Mortgage</w:t>
      </w:r>
    </w:p>
    <w:p>
      <w:pPr>
        <w:spacing w:after="0" w:line="258"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 Ship. The notice must be in plain type and read as follows: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MORTGAGE</w:t>
      </w:r>
    </w:p>
    <w:p>
      <w:pPr>
        <w:spacing w:after="0" w:line="225" w:lineRule="exact"/>
        <w:rPr>
          <w:sz w:val="20"/>
          <w:szCs w:val="20"/>
          <w:color w:val="auto"/>
        </w:rPr>
      </w:pPr>
    </w:p>
    <w:p>
      <w:pPr>
        <w:jc w:val="both"/>
        <w:ind w:left="540" w:right="40"/>
        <w:spacing w:after="0" w:line="310" w:lineRule="auto"/>
        <w:rPr>
          <w:sz w:val="20"/>
          <w:szCs w:val="20"/>
          <w:color w:val="auto"/>
        </w:rPr>
      </w:pPr>
      <w:r>
        <w:rPr>
          <w:rFonts w:ascii="Arial" w:cs="Arial" w:eastAsia="Arial" w:hAnsi="Arial"/>
          <w:sz w:val="16"/>
          <w:szCs w:val="16"/>
          <w:color w:val="auto"/>
        </w:rPr>
        <w:t>This Ship is subject to a first mortgage in favour of [</w:t>
      </w:r>
      <w:r>
        <w:rPr>
          <w:rFonts w:ascii="Arial" w:cs="Arial" w:eastAsia="Arial" w:hAnsi="Arial"/>
          <w:sz w:val="16"/>
          <w:szCs w:val="16"/>
          <w:b w:val="1"/>
          <w:bCs w:val="1"/>
          <w:color w:val="auto"/>
        </w:rPr>
        <w:t>here insert name of mortgagee</w:t>
      </w:r>
      <w:r>
        <w:rPr>
          <w:rFonts w:ascii="Arial" w:cs="Arial" w:eastAsia="Arial" w:hAnsi="Arial"/>
          <w:sz w:val="16"/>
          <w:szCs w:val="16"/>
          <w:color w:val="auto"/>
        </w:rPr>
        <w:t>] of [</w:t>
      </w:r>
      <w:r>
        <w:rPr>
          <w:rFonts w:ascii="Arial" w:cs="Arial" w:eastAsia="Arial" w:hAnsi="Arial"/>
          <w:sz w:val="16"/>
          <w:szCs w:val="16"/>
          <w:b w:val="1"/>
          <w:bCs w:val="1"/>
          <w:color w:val="auto"/>
        </w:rPr>
        <w:t>here insert address of mortgagee</w:t>
      </w:r>
      <w:r>
        <w:rPr>
          <w:rFonts w:ascii="Arial" w:cs="Arial" w:eastAsia="Arial" w:hAnsi="Arial"/>
          <w:sz w:val="16"/>
          <w:szCs w:val="16"/>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57"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5"/>
          <w:szCs w:val="15"/>
          <w:b w:val="1"/>
          <w:bCs w:val="1"/>
          <w:color w:val="auto"/>
        </w:rPr>
        <w:t>Conveyance on default</w:t>
      </w:r>
    </w:p>
    <w:p>
      <w:pPr>
        <w:spacing w:after="0" w:line="245" w:lineRule="exact"/>
        <w:rPr>
          <w:sz w:val="20"/>
          <w:szCs w:val="20"/>
          <w:color w:val="auto"/>
        </w:rPr>
      </w:pPr>
    </w:p>
    <w:p>
      <w:pPr>
        <w:ind w:left="540" w:right="20"/>
        <w:spacing w:after="0" w:line="331" w:lineRule="auto"/>
        <w:rPr>
          <w:sz w:val="20"/>
          <w:szCs w:val="20"/>
          <w:color w:val="auto"/>
        </w:rPr>
      </w:pPr>
      <w:r>
        <w:rPr>
          <w:rFonts w:ascii="Arial" w:cs="Arial" w:eastAsia="Arial" w:hAnsi="Arial"/>
          <w:sz w:val="16"/>
          <w:szCs w:val="16"/>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Chartering</w:t>
      </w:r>
    </w:p>
    <w:p>
      <w:pPr>
        <w:spacing w:after="0" w:line="200" w:lineRule="exact"/>
        <w:rPr>
          <w:sz w:val="20"/>
          <w:szCs w:val="20"/>
          <w:color w:val="auto"/>
        </w:rPr>
      </w:pPr>
    </w:p>
    <w:p>
      <w:pPr>
        <w:spacing w:after="0" w:line="288" w:lineRule="exact"/>
        <w:rPr>
          <w:sz w:val="20"/>
          <w:szCs w:val="20"/>
          <w:color w:val="auto"/>
        </w:rPr>
      </w:pPr>
    </w:p>
    <w:p>
      <w:pPr>
        <w:ind w:left="1080" w:right="60" w:hanging="532"/>
        <w:spacing w:after="0" w:line="268" w:lineRule="auto"/>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Except with approval of the Majority Lenders, the relevant Owner shall not enter into any charter commitment for a Ship (except for the Charter for each Ship, where applicable), which is: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 (except where operational control is passed to the Ship's Technical Manager);</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 or</w:t>
      </w:r>
    </w:p>
    <w:p>
      <w:pPr>
        <w:spacing w:after="0" w:line="220" w:lineRule="exact"/>
        <w:rPr>
          <w:rFonts w:ascii="Arial" w:cs="Arial" w:eastAsia="Arial" w:hAnsi="Arial"/>
          <w:sz w:val="18"/>
          <w:szCs w:val="18"/>
          <w:color w:val="auto"/>
        </w:rPr>
      </w:pPr>
    </w:p>
    <w:p>
      <w:pPr>
        <w:ind w:left="1620" w:hanging="532"/>
        <w:spacing w:after="0"/>
        <w:tabs>
          <w:tab w:leader="none" w:pos="162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(with an Affiliate other than charters entered into at arm's length between the relevant Owner and the Parent or an Affiliate thereof.</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294" w:name="page295"/>
    <w:bookmarkEnd w:id="294"/>
    <w:p>
      <w:pPr>
        <w:ind w:left="1080" w:right="120" w:hanging="532"/>
        <w:spacing w:after="0" w:line="268" w:lineRule="auto"/>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relevant Owner shall:</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be permitted to pursue and contract for any charter business with any person other than one with a Non-Acceptable Charterer, provided that it advises the Agent promptly of any charter commitment in respect of its Ship which has an original term in excess of 36 calendar months (after taking into account any option to extend or renew contained therein), and the relevant Owner shall:</w:t>
      </w:r>
    </w:p>
    <w:p>
      <w:pPr>
        <w:spacing w:after="0" w:line="389" w:lineRule="exact"/>
        <w:rPr>
          <w:rFonts w:ascii="Arial" w:cs="Arial" w:eastAsia="Arial" w:hAnsi="Arial"/>
          <w:sz w:val="16"/>
          <w:szCs w:val="16"/>
          <w:color w:val="auto"/>
        </w:rPr>
      </w:pPr>
    </w:p>
    <w:p>
      <w:pPr>
        <w:ind w:left="2160" w:hanging="532"/>
        <w:spacing w:after="0"/>
        <w:tabs>
          <w:tab w:leader="none" w:pos="216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238" w:lineRule="exact"/>
        <w:rPr>
          <w:rFonts w:ascii="Arial" w:cs="Arial" w:eastAsia="Arial" w:hAnsi="Arial"/>
          <w:sz w:val="18"/>
          <w:szCs w:val="18"/>
          <w:color w:val="auto"/>
        </w:rPr>
      </w:pPr>
    </w:p>
    <w:p>
      <w:pPr>
        <w:ind w:left="2160" w:hanging="532"/>
        <w:spacing w:after="0"/>
        <w:tabs>
          <w:tab w:leader="none" w:pos="216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700" w:right="420" w:hanging="532"/>
        <w:spacing w:after="0" w:line="268" w:lineRule="auto"/>
        <w:tabs>
          <w:tab w:leader="none" w:pos="2700" w:val="left"/>
        </w:tabs>
        <w:numPr>
          <w:ilvl w:val="3"/>
          <w:numId w:val="378"/>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in favour of the Security Agent (in the same form as a Charter Assignment) and any notice of assignment required in connection therewith; and</w:t>
      </w:r>
    </w:p>
    <w:p>
      <w:pPr>
        <w:spacing w:after="0" w:line="199" w:lineRule="exact"/>
        <w:rPr>
          <w:rFonts w:ascii="Arial" w:cs="Arial" w:eastAsia="Arial" w:hAnsi="Arial"/>
          <w:sz w:val="18"/>
          <w:szCs w:val="18"/>
          <w:color w:val="auto"/>
        </w:rPr>
      </w:pPr>
    </w:p>
    <w:p>
      <w:pPr>
        <w:ind w:left="2700" w:right="700" w:hanging="532"/>
        <w:spacing w:after="0" w:line="331" w:lineRule="auto"/>
        <w:tabs>
          <w:tab w:leader="none" w:pos="2700" w:val="left"/>
        </w:tabs>
        <w:numPr>
          <w:ilvl w:val="3"/>
          <w:numId w:val="378"/>
        </w:numPr>
        <w:rPr>
          <w:rFonts w:ascii="Arial" w:cs="Arial" w:eastAsia="Arial" w:hAnsi="Arial"/>
          <w:sz w:val="16"/>
          <w:szCs w:val="16"/>
          <w:color w:val="auto"/>
        </w:rPr>
      </w:pPr>
      <w:r>
        <w:rPr>
          <w:rFonts w:ascii="Arial" w:cs="Arial" w:eastAsia="Arial" w:hAnsi="Arial"/>
          <w:sz w:val="16"/>
          <w:szCs w:val="16"/>
          <w:color w:val="auto"/>
        </w:rPr>
        <w:t>procure the service of any such notice of assignment on the relevant counterparty of the Owner under such charter commitment, and the acknowledgement (if received) of such notice by such counterparty;</w:t>
      </w:r>
    </w:p>
    <w:p>
      <w:pPr>
        <w:spacing w:after="0" w:line="370" w:lineRule="exact"/>
        <w:rPr>
          <w:rFonts w:ascii="Arial" w:cs="Arial" w:eastAsia="Arial" w:hAnsi="Arial"/>
          <w:sz w:val="16"/>
          <w:szCs w:val="16"/>
          <w:color w:val="auto"/>
        </w:rPr>
      </w:pPr>
    </w:p>
    <w:p>
      <w:pPr>
        <w:ind w:left="2160" w:right="80" w:hanging="532"/>
        <w:spacing w:after="0" w:line="259" w:lineRule="auto"/>
        <w:tabs>
          <w:tab w:leader="none" w:pos="216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 xml:space="preserve">deliver to the Agent such documents and evidence of the type referred to in Schedule 3 (Conditions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any such charter assignment or any other related matter referred to in this clause 22.7(b), as the Agent (acting on the instructions of the Majority Lenders in their sole discretion) shall require; and</w:t>
      </w:r>
    </w:p>
    <w:p>
      <w:pPr>
        <w:spacing w:after="0" w:line="220" w:lineRule="exact"/>
        <w:rPr>
          <w:rFonts w:ascii="Arial" w:cs="Arial" w:eastAsia="Arial" w:hAnsi="Arial"/>
          <w:sz w:val="18"/>
          <w:szCs w:val="18"/>
          <w:color w:val="auto"/>
        </w:rPr>
      </w:pPr>
    </w:p>
    <w:p>
      <w:pPr>
        <w:ind w:left="2160" w:right="60" w:hanging="532"/>
        <w:spacing w:after="0" w:line="259" w:lineRule="auto"/>
        <w:tabs>
          <w:tab w:leader="none" w:pos="216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22.7(b);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be permitted to place any Ship (in addition to Ship A) under the Cool Pool Arrangements provided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hanging="532"/>
        <w:spacing w:after="0"/>
        <w:tabs>
          <w:tab w:leader="none" w:pos="216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it provides evidence of such Ship's acceptance under the Cool Pool Arrangements; and</w:t>
      </w:r>
    </w:p>
    <w:p>
      <w:pPr>
        <w:spacing w:after="0" w:line="252" w:lineRule="exact"/>
        <w:rPr>
          <w:rFonts w:ascii="Arial" w:cs="Arial" w:eastAsia="Arial" w:hAnsi="Arial"/>
          <w:sz w:val="18"/>
          <w:szCs w:val="18"/>
          <w:color w:val="auto"/>
        </w:rPr>
      </w:pPr>
    </w:p>
    <w:p>
      <w:pPr>
        <w:ind w:left="2160" w:right="160" w:hanging="532"/>
        <w:spacing w:after="0" w:line="331" w:lineRule="auto"/>
        <w:tabs>
          <w:tab w:leader="none" w:pos="2160" w:val="left"/>
        </w:tabs>
        <w:numPr>
          <w:ilvl w:val="2"/>
          <w:numId w:val="378"/>
        </w:numPr>
        <w:rPr>
          <w:rFonts w:ascii="Arial" w:cs="Arial" w:eastAsia="Arial" w:hAnsi="Arial"/>
          <w:sz w:val="16"/>
          <w:szCs w:val="16"/>
          <w:color w:val="auto"/>
        </w:rPr>
      </w:pPr>
      <w:r>
        <w:rPr>
          <w:rFonts w:ascii="Arial" w:cs="Arial" w:eastAsia="Arial" w:hAnsi="Arial"/>
          <w:sz w:val="16"/>
          <w:szCs w:val="16"/>
          <w:color w:val="auto"/>
        </w:rPr>
        <w:t>it serves notice of assignment of the Earnings of such Ship pursuant to the relevant Deed of Covenant or General Assignment and delivers to the Agent the relevant acknowledgement of such notice in the required form on Cool Pool Ltd.</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Merchant use</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relevant Owner shall use the Ship only as a civil merchant trading ship.</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5"/>
          <w:szCs w:val="15"/>
          <w:b w:val="1"/>
          <w:bCs w:val="1"/>
          <w:color w:val="auto"/>
        </w:rPr>
        <w:t>Sharing of Earnings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relevant Owner shall not enter into any arrangement under which its Earnings from the Ship may be shared with anyone else except:</w:t>
      </w:r>
    </w:p>
    <w:p>
      <w:pPr>
        <w:spacing w:after="0" w:line="275" w:lineRule="exact"/>
        <w:rPr>
          <w:sz w:val="20"/>
          <w:szCs w:val="20"/>
          <w:color w:val="auto"/>
        </w:rPr>
      </w:pPr>
    </w:p>
    <w:p>
      <w:pPr>
        <w:ind w:left="1080" w:right="340" w:hanging="532"/>
        <w:spacing w:after="0" w:line="268"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under the operations of the Cool Pool Ltd, as those have been described in more detail by the Obligors to the Lenders in the negotiation of this Agreement (the </w:t>
      </w:r>
      <w:r>
        <w:rPr>
          <w:rFonts w:ascii="Arial" w:cs="Arial" w:eastAsia="Arial" w:hAnsi="Arial"/>
          <w:sz w:val="18"/>
          <w:szCs w:val="18"/>
          <w:b w:val="1"/>
          <w:bCs w:val="1"/>
          <w:color w:val="auto"/>
        </w:rPr>
        <w:t>Cool Pool Arrangements</w:t>
      </w:r>
      <w:r>
        <w:rPr>
          <w:rFonts w:ascii="Arial" w:cs="Arial" w:eastAsia="Arial" w:hAnsi="Arial"/>
          <w:sz w:val="18"/>
          <w:szCs w:val="18"/>
          <w:color w:val="auto"/>
        </w:rPr>
        <w:t>); or</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20"/>
          </w:cols>
          <w:pgMar w:left="160" w:top="65" w:right="319" w:bottom="1440" w:gutter="0" w:footer="0" w:header="0"/>
        </w:sectPr>
      </w:pPr>
    </w:p>
    <w:bookmarkStart w:id="295" w:name="page296"/>
    <w:bookmarkEnd w:id="295"/>
    <w:p>
      <w:pPr>
        <w:ind w:left="1080" w:hanging="532"/>
        <w:spacing w:after="0"/>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with the approval of the Majority Lenders.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5"/>
          <w:szCs w:val="15"/>
          <w:b w:val="1"/>
          <w:bCs w:val="1"/>
          <w:color w:val="auto"/>
        </w:rPr>
        <w:t>Payment of Earnings</w:t>
      </w:r>
    </w:p>
    <w:p>
      <w:pPr>
        <w:spacing w:after="0" w:line="258"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The relevant Owner's Earnings from the Ship shall be paid in the way required by the Ship's General Assignment, Deed of Covenant or any Charter Assignment. If any Earnings are held by brokers or other agents, they shall be paid to the Security Agent or the Agent (as the case may be), if it requires this after the Earnings have become payable to it under the Ship's General Assignment, Deed of Covenant or any Charter Assignment.</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Lay up</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233" w:lineRule="exact"/>
        <w:rPr>
          <w:sz w:val="20"/>
          <w:szCs w:val="20"/>
          <w:color w:val="auto"/>
        </w:rPr>
      </w:pPr>
    </w:p>
    <w:p>
      <w:pPr>
        <w:ind w:left="540" w:hanging="532"/>
        <w:spacing w:after="0"/>
        <w:tabs>
          <w:tab w:leader="none" w:pos="5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and operation of Ship</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Each Borrower undertakes that this clause 23 will be complied with in relation to each Mortgaged Ship throughout the relevant Ship's Mortgage Period.</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Defined terms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219" w:lineRule="exact"/>
        <w:rPr>
          <w:sz w:val="20"/>
          <w:szCs w:val="20"/>
          <w:color w:val="auto"/>
        </w:rPr>
      </w:pPr>
    </w:p>
    <w:p>
      <w:pPr>
        <w:ind w:left="540" w:right="600"/>
        <w:spacing w:after="0" w:line="275"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 operation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(including but not limited to those currently known as the ISM Code and the ISPS Code).</w:t>
      </w:r>
    </w:p>
    <w:p>
      <w:pPr>
        <w:spacing w:after="0" w:line="174" w:lineRule="exact"/>
        <w:rPr>
          <w:sz w:val="20"/>
          <w:szCs w:val="20"/>
          <w:color w:val="auto"/>
        </w:rPr>
      </w:pPr>
    </w:p>
    <w:p>
      <w:pPr>
        <w:ind w:left="540" w:right="140"/>
        <w:spacing w:after="0" w:line="275"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 apply to the Ship or to</w:t>
      </w:r>
      <w:r>
        <w:rPr>
          <w:rFonts w:ascii="Arial" w:cs="Arial" w:eastAsia="Arial" w:hAnsi="Arial"/>
          <w:sz w:val="18"/>
          <w:szCs w:val="18"/>
          <w:b w:val="1"/>
          <w:bCs w:val="1"/>
          <w:color w:val="auto"/>
        </w:rPr>
        <w:t xml:space="preserve"> </w:t>
      </w:r>
      <w:r>
        <w:rPr>
          <w:rFonts w:ascii="Arial" w:cs="Arial" w:eastAsia="Arial" w:hAnsi="Arial"/>
          <w:sz w:val="18"/>
          <w:szCs w:val="18"/>
          <w:color w:val="auto"/>
        </w:rPr>
        <w:t>its condition or operation at any relevant time.</w:t>
      </w:r>
    </w:p>
    <w:p>
      <w:pPr>
        <w:spacing w:after="0" w:line="174"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 be in force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any applicable code.</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Repair</w:t>
      </w:r>
    </w:p>
    <w:p>
      <w:pPr>
        <w:spacing w:after="0" w:line="24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Modification</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Removal of parts</w:t>
      </w:r>
    </w:p>
    <w:p>
      <w:pPr>
        <w:spacing w:after="0" w:line="258"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296" w:name="page297"/>
    <w:bookmarkEnd w:id="296"/>
    <w:p>
      <w:pPr>
        <w:spacing w:after="0"/>
        <w:tabs>
          <w:tab w:leader="none" w:pos="5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Third party owned equipment</w:t>
      </w:r>
    </w:p>
    <w:p>
      <w:pPr>
        <w:spacing w:after="0" w:line="24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5"/>
          <w:szCs w:val="15"/>
          <w:b w:val="1"/>
          <w:bCs w:val="1"/>
          <w:color w:val="auto"/>
        </w:rPr>
        <w:t>Maintenance of class; compliance with laws and codes</w:t>
      </w:r>
    </w:p>
    <w:p>
      <w:pPr>
        <w:spacing w:after="0" w:line="258"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Ship's class shall be the relevant Classification free of any overdue qualifications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one of DNV GL, American Bureau of Shipping or Lloyd's Register of Shipping).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Surveys</w:t>
      </w:r>
    </w:p>
    <w:p>
      <w:pPr>
        <w:spacing w:after="0" w:line="245" w:lineRule="exact"/>
        <w:rPr>
          <w:sz w:val="20"/>
          <w:szCs w:val="20"/>
          <w:color w:val="auto"/>
        </w:rPr>
      </w:pPr>
    </w:p>
    <w:p>
      <w:pPr>
        <w:ind w:left="540" w:right="500"/>
        <w:spacing w:after="0" w:line="268"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5"/>
          <w:szCs w:val="15"/>
          <w:b w:val="1"/>
          <w:bCs w:val="1"/>
          <w:color w:val="auto"/>
        </w:rPr>
        <w:t>Inspection and notice of drydockings</w:t>
      </w:r>
    </w:p>
    <w:p>
      <w:pPr>
        <w:spacing w:after="0" w:line="245"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The Agent (acting on the instructions of the Majority Lenders) and/or surveyors appointed by it for such purpose (in consultation with the Borrowers) shall be allowed to board the Ship at all times, subject to reasonable prior notice to the relevant Owner and without hindering the Ship's continuous, safe and efficient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 which is continuing or the inspection of the relevant Ship reveals issues in respect of the condition of the Ship that indicate a breach of clause 23.2 (</w:t>
      </w:r>
      <w:r>
        <w:rPr>
          <w:rFonts w:ascii="Arial" w:cs="Arial" w:eastAsia="Arial" w:hAnsi="Arial"/>
          <w:sz w:val="16"/>
          <w:szCs w:val="16"/>
          <w:i w:val="1"/>
          <w:iCs w:val="1"/>
          <w:color w:val="auto"/>
        </w:rPr>
        <w:t>Repair</w:t>
      </w:r>
      <w:r>
        <w:rPr>
          <w:rFonts w:ascii="Arial" w:cs="Arial" w:eastAsia="Arial" w:hAnsi="Arial"/>
          <w:sz w:val="16"/>
          <w:szCs w:val="16"/>
          <w:color w:val="auto"/>
        </w:rPr>
        <w:t>) or 23.6 (</w:t>
      </w:r>
      <w:r>
        <w:rPr>
          <w:rFonts w:ascii="Arial" w:cs="Arial" w:eastAsia="Arial" w:hAnsi="Arial"/>
          <w:sz w:val="16"/>
          <w:szCs w:val="16"/>
          <w:i w:val="1"/>
          <w:iCs w:val="1"/>
          <w:color w:val="auto"/>
        </w:rPr>
        <w:t>Maintenance of class; compliance with laws and codes</w:t>
      </w:r>
      <w:r>
        <w:rPr>
          <w:rFonts w:ascii="Arial" w:cs="Arial" w:eastAsia="Arial" w:hAnsi="Arial"/>
          <w:sz w:val="16"/>
          <w:szCs w:val="16"/>
          <w:color w:val="auto"/>
        </w:rPr>
        <w:t>).</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5"/>
          <w:szCs w:val="15"/>
          <w:b w:val="1"/>
          <w:bCs w:val="1"/>
          <w:color w:val="auto"/>
        </w:rPr>
        <w:t>Prevention of arrest</w:t>
      </w:r>
    </w:p>
    <w:p>
      <w:pPr>
        <w:spacing w:after="0" w:line="258"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5"/>
          <w:szCs w:val="15"/>
          <w:b w:val="1"/>
          <w:bCs w:val="1"/>
          <w:color w:val="auto"/>
        </w:rPr>
        <w:t>Release from arrest</w:t>
      </w:r>
    </w:p>
    <w:p>
      <w:pPr>
        <w:spacing w:after="0" w:line="24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97" w:name="page298"/>
    <w:bookmarkEnd w:id="297"/>
    <w:p>
      <w:pPr>
        <w:spacing w:after="0"/>
        <w:tabs>
          <w:tab w:leader="none" w:pos="52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Information about the Ship</w:t>
      </w:r>
    </w:p>
    <w:p>
      <w:pPr>
        <w:spacing w:after="0" w:line="24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Agent shall promptly be given any information which it may reasonably require about the Ship or its employment, position, use or operation, including details of towages and salvages, and copies of all its charter commitments (other than any Confidential Information in respect of the Cool Pool Arrangements) entered into by or on behalf of any Obligor or any Manager and copies of any applicable operating certificates.</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5"/>
          <w:szCs w:val="15"/>
          <w:b w:val="1"/>
          <w:bCs w:val="1"/>
          <w:color w:val="auto"/>
        </w:rPr>
        <w:t>Notification of certain events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promptly be notified of:</w:t>
      </w:r>
    </w:p>
    <w:p>
      <w:pPr>
        <w:spacing w:after="0" w:line="239" w:lineRule="exact"/>
        <w:rPr>
          <w:sz w:val="20"/>
          <w:szCs w:val="20"/>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arrest, hijacking or detention of the Ship or any exercise or purported exercise of a lien or other claim on the Ship or its Earnings or Insurances.</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5"/>
          <w:szCs w:val="15"/>
          <w:b w:val="1"/>
          <w:bCs w:val="1"/>
          <w:color w:val="auto"/>
        </w:rPr>
        <w:t>Payment of outgoings</w:t>
      </w:r>
    </w:p>
    <w:p>
      <w:pPr>
        <w:spacing w:after="0" w:line="258" w:lineRule="exact"/>
        <w:rPr>
          <w:sz w:val="20"/>
          <w:szCs w:val="20"/>
          <w:color w:val="auto"/>
        </w:rPr>
      </w:pPr>
    </w:p>
    <w:p>
      <w:pPr>
        <w:ind w:left="540" w:right="200"/>
        <w:spacing w:after="0" w:line="331" w:lineRule="auto"/>
        <w:rPr>
          <w:sz w:val="20"/>
          <w:szCs w:val="20"/>
          <w:color w:val="auto"/>
        </w:rPr>
      </w:pPr>
      <w:r>
        <w:rPr>
          <w:rFonts w:ascii="Arial" w:cs="Arial" w:eastAsia="Arial" w:hAnsi="Arial"/>
          <w:sz w:val="16"/>
          <w:szCs w:val="16"/>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5"/>
          <w:szCs w:val="15"/>
          <w:b w:val="1"/>
          <w:bCs w:val="1"/>
          <w:color w:val="auto"/>
        </w:rPr>
        <w:t>Evidence of payments</w:t>
      </w:r>
    </w:p>
    <w:p>
      <w:pPr>
        <w:spacing w:after="0" w:line="245" w:lineRule="exact"/>
        <w:rPr>
          <w:sz w:val="20"/>
          <w:szCs w:val="20"/>
          <w:color w:val="auto"/>
        </w:rPr>
      </w:pPr>
    </w:p>
    <w:p>
      <w:pPr>
        <w:jc w:val="both"/>
        <w:ind w:left="540" w:right="180"/>
        <w:spacing w:after="0" w:line="369" w:lineRule="auto"/>
        <w:rPr>
          <w:sz w:val="20"/>
          <w:szCs w:val="20"/>
          <w:color w:val="auto"/>
        </w:rPr>
      </w:pPr>
      <w:r>
        <w:rPr>
          <w:rFonts w:ascii="Arial" w:cs="Arial" w:eastAsia="Arial" w:hAnsi="Arial"/>
          <w:sz w:val="15"/>
          <w:szCs w:val="15"/>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131" w:lineRule="exact"/>
        <w:rPr>
          <w:sz w:val="20"/>
          <w:szCs w:val="20"/>
          <w:color w:val="auto"/>
        </w:rPr>
      </w:pPr>
    </w:p>
    <w:p>
      <w:pPr>
        <w:ind w:left="1080" w:hanging="532"/>
        <w:spacing w:after="0"/>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Ship's master has no claim for disbursements other than those incurred by him in the ordinary course of trading on the voyage then in progress.</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5"/>
          <w:szCs w:val="15"/>
          <w:b w:val="1"/>
          <w:bCs w:val="1"/>
          <w:color w:val="auto"/>
        </w:rPr>
        <w:t>Repairers' liens</w:t>
      </w:r>
    </w:p>
    <w:p>
      <w:pPr>
        <w:spacing w:after="0" w:line="25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Except with approval by the Majority Lenders, the Ship shall not be put into any other person's possession for work to be done on the Ship if the cost of that work will exceed or is likely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298" w:name="page299"/>
    <w:bookmarkEnd w:id="298"/>
    <w:p>
      <w:pPr>
        <w:jc w:val="both"/>
        <w:ind w:left="540" w:right="140"/>
        <w:spacing w:after="0" w:line="259" w:lineRule="auto"/>
        <w:rPr>
          <w:sz w:val="20"/>
          <w:szCs w:val="20"/>
          <w:color w:val="auto"/>
        </w:rPr>
      </w:pPr>
      <w:r>
        <w:rPr>
          <w:rFonts w:ascii="Arial" w:cs="Arial" w:eastAsia="Arial" w:hAnsi="Arial"/>
          <w:sz w:val="18"/>
          <w:szCs w:val="18"/>
          <w:color w:val="auto"/>
        </w:rPr>
        <w:t>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6"/>
          <w:szCs w:val="16"/>
          <w:b w:val="1"/>
          <w:bCs w:val="1"/>
          <w:color w:val="auto"/>
        </w:rPr>
        <w:t>Survey report</w:t>
      </w:r>
    </w:p>
    <w:p>
      <w:pPr>
        <w:spacing w:after="0" w:line="245" w:lineRule="exact"/>
        <w:rPr>
          <w:sz w:val="20"/>
          <w:szCs w:val="20"/>
          <w:color w:val="auto"/>
        </w:rPr>
      </w:pPr>
    </w:p>
    <w:p>
      <w:pPr>
        <w:ind w:left="540" w:right="300"/>
        <w:spacing w:after="0" w:line="306" w:lineRule="auto"/>
        <w:rPr>
          <w:sz w:val="20"/>
          <w:szCs w:val="20"/>
          <w:color w:val="auto"/>
        </w:rPr>
      </w:pPr>
      <w:r>
        <w:rPr>
          <w:rFonts w:ascii="Arial" w:cs="Arial" w:eastAsia="Arial" w:hAnsi="Arial"/>
          <w:sz w:val="16"/>
          <w:szCs w:val="16"/>
          <w:color w:val="auto"/>
        </w:rPr>
        <w:t>As soon as reasonably practicable after the Agent requests it and promptly after each inspection made pursuant to clause 23.8 (</w:t>
      </w:r>
      <w:r>
        <w:rPr>
          <w:rFonts w:ascii="Arial" w:cs="Arial" w:eastAsia="Arial" w:hAnsi="Arial"/>
          <w:sz w:val="16"/>
          <w:szCs w:val="16"/>
          <w:i w:val="1"/>
          <w:iCs w:val="1"/>
          <w:color w:val="auto"/>
        </w:rPr>
        <w:t>Inspection and notice of</w:t>
      </w:r>
      <w:r>
        <w:rPr>
          <w:rFonts w:ascii="Arial" w:cs="Arial" w:eastAsia="Arial" w:hAnsi="Arial"/>
          <w:sz w:val="16"/>
          <w:szCs w:val="16"/>
          <w:color w:val="auto"/>
        </w:rPr>
        <w:t xml:space="preserve"> </w:t>
      </w:r>
      <w:r>
        <w:rPr>
          <w:rFonts w:ascii="Arial" w:cs="Arial" w:eastAsia="Arial" w:hAnsi="Arial"/>
          <w:sz w:val="16"/>
          <w:szCs w:val="16"/>
          <w:i w:val="1"/>
          <w:iCs w:val="1"/>
          <w:color w:val="auto"/>
        </w:rPr>
        <w:t>drydockings</w:t>
      </w:r>
      <w:r>
        <w:rPr>
          <w:rFonts w:ascii="Arial" w:cs="Arial" w:eastAsia="Arial" w:hAnsi="Arial"/>
          <w:sz w:val="16"/>
          <w:szCs w:val="16"/>
          <w:color w:val="auto"/>
        </w:rPr>
        <w:t>), the Agent shall be given a report on the seaworthiness and/or safe operation of the Ship, from surveyors or inspectors approved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Lenders. If any recommendations are made in such a report they shall be complied with in the way and by the time recommended in the report.</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23.17</w:t>
      </w:r>
      <w:r>
        <w:rPr>
          <w:sz w:val="20"/>
          <w:szCs w:val="20"/>
          <w:color w:val="auto"/>
        </w:rPr>
        <w:tab/>
      </w:r>
      <w:r>
        <w:rPr>
          <w:rFonts w:ascii="Arial" w:cs="Arial" w:eastAsia="Arial" w:hAnsi="Arial"/>
          <w:sz w:val="16"/>
          <w:szCs w:val="16"/>
          <w:b w:val="1"/>
          <w:bCs w:val="1"/>
          <w:color w:val="auto"/>
        </w:rPr>
        <w:t>Lawful use</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Ship shall not be employed:</w:t>
      </w:r>
    </w:p>
    <w:p>
      <w:pPr>
        <w:spacing w:after="0" w:line="239" w:lineRule="exact"/>
        <w:rPr>
          <w:sz w:val="20"/>
          <w:szCs w:val="20"/>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2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23.18</w:t>
      </w:r>
      <w:r>
        <w:rPr>
          <w:sz w:val="20"/>
          <w:szCs w:val="20"/>
          <w:color w:val="auto"/>
        </w:rPr>
        <w:tab/>
      </w:r>
      <w:r>
        <w:rPr>
          <w:rFonts w:ascii="Arial" w:cs="Arial" w:eastAsia="Arial" w:hAnsi="Arial"/>
          <w:sz w:val="15"/>
          <w:szCs w:val="15"/>
          <w:b w:val="1"/>
          <w:bCs w:val="1"/>
          <w:color w:val="auto"/>
        </w:rPr>
        <w:t>War zones</w:t>
      </w:r>
    </w:p>
    <w:p>
      <w:pPr>
        <w:spacing w:after="0" w:line="24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218" w:lineRule="exact"/>
        <w:rPr>
          <w:sz w:val="20"/>
          <w:szCs w:val="20"/>
          <w:color w:val="auto"/>
        </w:rPr>
      </w:pPr>
    </w:p>
    <w:p>
      <w:pPr>
        <w:ind w:left="540" w:hanging="532"/>
        <w:spacing w:after="0"/>
        <w:tabs>
          <w:tab w:leader="none" w:pos="54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31" w:lineRule="exact"/>
        <w:rPr>
          <w:rFonts w:ascii="Arial" w:cs="Arial" w:eastAsia="Arial" w:hAnsi="Arial"/>
          <w:sz w:val="18"/>
          <w:szCs w:val="18"/>
          <w:b w:val="1"/>
          <w:bCs w:val="1"/>
          <w:color w:val="auto"/>
        </w:rPr>
      </w:pPr>
    </w:p>
    <w:p>
      <w:pPr>
        <w:ind w:left="54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24 shall be complied with in relation to each Mortgaged Ship and its Insurances throughout the relevant Ship's Mortgage Period.</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Insurance terms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clause 24:</w:t>
      </w:r>
    </w:p>
    <w:p>
      <w:pPr>
        <w:spacing w:after="0" w:line="219" w:lineRule="exact"/>
        <w:rPr>
          <w:sz w:val="20"/>
          <w:szCs w:val="20"/>
          <w:color w:val="auto"/>
        </w:rPr>
      </w:pPr>
    </w:p>
    <w:p>
      <w:pPr>
        <w:ind w:left="540" w:right="180"/>
        <w:spacing w:after="0" w:line="378" w:lineRule="auto"/>
        <w:rPr>
          <w:sz w:val="20"/>
          <w:szCs w:val="20"/>
          <w:color w:val="auto"/>
        </w:rPr>
      </w:pPr>
      <w:r>
        <w:rPr>
          <w:rFonts w:ascii="Arial" w:cs="Arial" w:eastAsia="Arial" w:hAnsi="Arial"/>
          <w:sz w:val="15"/>
          <w:szCs w:val="15"/>
          <w:b w:val="1"/>
          <w:bCs w:val="1"/>
          <w:color w:val="auto"/>
        </w:rPr>
        <w:t xml:space="preserve">excess risks </w:t>
      </w:r>
      <w:r>
        <w:rPr>
          <w:rFonts w:ascii="Arial" w:cs="Arial" w:eastAsia="Arial" w:hAnsi="Arial"/>
          <w:sz w:val="15"/>
          <w:szCs w:val="15"/>
          <w:color w:val="auto"/>
        </w:rPr>
        <w:t>means the proportion (if any) of claims for general average, collision liability, salvage and salvage charges not recoverable under the hull and</w:t>
      </w:r>
      <w:r>
        <w:rPr>
          <w:rFonts w:ascii="Arial" w:cs="Arial" w:eastAsia="Arial" w:hAnsi="Arial"/>
          <w:sz w:val="15"/>
          <w:szCs w:val="15"/>
          <w:b w:val="1"/>
          <w:bCs w:val="1"/>
          <w:color w:val="auto"/>
        </w:rPr>
        <w:t xml:space="preserve"> </w:t>
      </w:r>
      <w:r>
        <w:rPr>
          <w:rFonts w:ascii="Arial" w:cs="Arial" w:eastAsia="Arial" w:hAnsi="Arial"/>
          <w:sz w:val="15"/>
          <w:szCs w:val="15"/>
          <w:color w:val="auto"/>
        </w:rPr>
        <w:t>machinery insurances of a vessel in consequence of the value at which the vessel is assessed for the purpose of such claims exceeding its insured value.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299" w:name="page300"/>
    <w:bookmarkEnd w:id="299"/>
    <w:p>
      <w:pPr>
        <w:ind w:left="540" w:right="160"/>
        <w:spacing w:after="0" w:line="275"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 limited to) hull and</w:t>
      </w:r>
      <w:r>
        <w:rPr>
          <w:rFonts w:ascii="Arial" w:cs="Arial" w:eastAsia="Arial" w:hAnsi="Arial"/>
          <w:sz w:val="18"/>
          <w:szCs w:val="18"/>
          <w:b w:val="1"/>
          <w:bCs w:val="1"/>
          <w:color w:val="auto"/>
        </w:rPr>
        <w:t xml:space="preserve"> </w:t>
      </w:r>
      <w:r>
        <w:rPr>
          <w:rFonts w:ascii="Arial" w:cs="Arial" w:eastAsia="Arial" w:hAnsi="Arial"/>
          <w:sz w:val="18"/>
          <w:szCs w:val="18"/>
          <w:color w:val="auto"/>
        </w:rPr>
        <w:t>machinery, crew and protection and indemnity risks.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 (</w:t>
      </w:r>
      <w:r>
        <w:rPr>
          <w:rFonts w:ascii="Arial" w:cs="Arial" w:eastAsia="Arial" w:hAnsi="Arial"/>
          <w:sz w:val="18"/>
          <w:szCs w:val="18"/>
          <w:i w:val="1"/>
          <w:iCs w:val="1"/>
          <w:color w:val="auto"/>
        </w:rPr>
        <w:t>Coverage required</w:t>
      </w:r>
      <w:r>
        <w:rPr>
          <w:rFonts w:ascii="Arial" w:cs="Arial" w:eastAsia="Arial" w:hAnsi="Arial"/>
          <w:sz w:val="18"/>
          <w:szCs w:val="18"/>
          <w:color w:val="auto"/>
        </w:rPr>
        <w:t>).</w:t>
      </w:r>
    </w:p>
    <w:p>
      <w:pPr>
        <w:spacing w:after="0" w:line="225" w:lineRule="exact"/>
        <w:rPr>
          <w:sz w:val="20"/>
          <w:szCs w:val="20"/>
          <w:color w:val="auto"/>
        </w:rPr>
      </w:pPr>
    </w:p>
    <w:p>
      <w:pPr>
        <w:jc w:val="both"/>
        <w:ind w:left="540" w:right="180"/>
        <w:spacing w:after="0" w:line="262"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such proportion of the Available Facility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as is equal to the proportion which the market value of such Mortgaged Ship bears to the aggregate of the market values of all of the Mortgaged Ships at the relevant time.</w:t>
      </w:r>
    </w:p>
    <w:p>
      <w:pPr>
        <w:spacing w:after="0" w:line="186" w:lineRule="exact"/>
        <w:rPr>
          <w:sz w:val="20"/>
          <w:szCs w:val="20"/>
          <w:color w:val="auto"/>
        </w:rPr>
      </w:pPr>
    </w:p>
    <w:p>
      <w:pPr>
        <w:jc w:val="both"/>
        <w:ind w:left="540"/>
        <w:spacing w:after="0" w:line="258"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 association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Coverage required</w:t>
      </w:r>
    </w:p>
    <w:p>
      <w:pPr>
        <w:spacing w:after="0" w:line="24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The Ship (including its hull and machinery, hull interest, freight interest, disbursements and/or increased value) shall at all times be insured at the Ship's Owner's cost:</w:t>
      </w:r>
    </w:p>
    <w:p>
      <w:pPr>
        <w:spacing w:after="0" w:line="213" w:lineRule="exact"/>
        <w:rPr>
          <w:sz w:val="20"/>
          <w:szCs w:val="20"/>
          <w:color w:val="auto"/>
        </w:rPr>
      </w:pPr>
    </w:p>
    <w:p>
      <w:pPr>
        <w:ind w:left="1080" w:right="80" w:hanging="532"/>
        <w:spacing w:after="0" w:line="323" w:lineRule="auto"/>
        <w:tabs>
          <w:tab w:leader="none" w:pos="108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 balance of such agreed value may be covered by increased value insurance of which up to 33.33% may be represented by hull interest and freight interest);</w:t>
      </w:r>
    </w:p>
    <w:p>
      <w:pPr>
        <w:spacing w:after="0" w:line="164"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Placing of cover</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39" w:lineRule="exact"/>
        <w:rPr>
          <w:sz w:val="20"/>
          <w:szCs w:val="20"/>
          <w:color w:val="auto"/>
        </w:rPr>
      </w:pPr>
    </w:p>
    <w:p>
      <w:pPr>
        <w:ind w:left="1080" w:right="40" w:hanging="532"/>
        <w:spacing w:after="0" w:line="254" w:lineRule="auto"/>
        <w:tabs>
          <w:tab w:leader="none" w:pos="10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00" w:name="page301"/>
    <w:bookmarkEnd w:id="300"/>
    <w:p>
      <w:pPr>
        <w:ind w:left="1080" w:right="620"/>
        <w:spacing w:after="0" w:line="268" w:lineRule="auto"/>
        <w:rPr>
          <w:sz w:val="20"/>
          <w:szCs w:val="20"/>
          <w:color w:val="auto"/>
        </w:rPr>
      </w:pPr>
      <w:r>
        <w:rPr>
          <w:rFonts w:ascii="Arial" w:cs="Arial" w:eastAsia="Arial" w:hAnsi="Arial"/>
          <w:sz w:val="18"/>
          <w:szCs w:val="18"/>
          <w:color w:val="auto"/>
        </w:rPr>
        <w:t>other Finance Parties in an approved form and provided such supporting documents and opinions in relation to that assignment as the Agent requires);</w:t>
      </w:r>
    </w:p>
    <w:p>
      <w:pPr>
        <w:spacing w:after="0" w:line="199" w:lineRule="exact"/>
        <w:rPr>
          <w:sz w:val="20"/>
          <w:szCs w:val="20"/>
          <w:color w:val="auto"/>
        </w:rPr>
      </w:pPr>
    </w:p>
    <w:p>
      <w:pPr>
        <w:ind w:left="1080" w:hanging="532"/>
        <w:spacing w:after="0"/>
        <w:tabs>
          <w:tab w:leader="none" w:pos="10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52"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on terms approved by the Agent (acting reasonably) (and always applying the terms of the Institute Time Clauses 1/10/1983 or equivalent International Hull Clauses if available in the insurance market) and with insurers or associations approved by the Agent (acting on the instructions of the Majority Lenders).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Deductibles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aggregate amount of any excess or deductible under the Ship's hull cover shall not exceed $1,000,000 or any other approved amount.</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5"/>
          <w:szCs w:val="15"/>
          <w:b w:val="1"/>
          <w:bCs w:val="1"/>
          <w:color w:val="auto"/>
        </w:rPr>
        <w:t>Mortgagee's insurance</w:t>
      </w:r>
    </w:p>
    <w:p>
      <w:pPr>
        <w:spacing w:after="0" w:line="200" w:lineRule="exact"/>
        <w:rPr>
          <w:sz w:val="20"/>
          <w:szCs w:val="20"/>
          <w:color w:val="auto"/>
        </w:rPr>
      </w:pPr>
    </w:p>
    <w:p>
      <w:pPr>
        <w:spacing w:after="0" w:line="288" w:lineRule="exact"/>
        <w:rPr>
          <w:sz w:val="20"/>
          <w:szCs w:val="20"/>
          <w:color w:val="auto"/>
        </w:rPr>
      </w:pPr>
    </w:p>
    <w:p>
      <w:pPr>
        <w:ind w:left="1080" w:right="120" w:hanging="532"/>
        <w:spacing w:after="0" w:line="256" w:lineRule="auto"/>
        <w:tabs>
          <w:tab w:leader="none" w:pos="10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110% per cent of the Available Facility at such time.</w:t>
      </w:r>
    </w:p>
    <w:p>
      <w:pPr>
        <w:spacing w:after="0" w:line="210" w:lineRule="exact"/>
        <w:rPr>
          <w:rFonts w:ascii="Arial" w:cs="Arial" w:eastAsia="Arial" w:hAnsi="Arial"/>
          <w:sz w:val="18"/>
          <w:szCs w:val="18"/>
          <w:color w:val="auto"/>
        </w:rPr>
      </w:pPr>
    </w:p>
    <w:p>
      <w:pPr>
        <w:ind w:left="1080" w:right="300" w:hanging="532"/>
        <w:spacing w:after="0" w:line="331" w:lineRule="auto"/>
        <w:tabs>
          <w:tab w:leader="none" w:pos="108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Agent shall take out mortgagee's interest insurance (on the terms provided under clause 24.5(a)) prior to the first Utilisation for the Ship and keep such mortgagee's interest insurance in force in respect of the Ship throughout the Mortgage Period of that Ship.</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5"/>
          <w:szCs w:val="15"/>
          <w:b w:val="1"/>
          <w:bCs w:val="1"/>
          <w:color w:val="auto"/>
        </w:rPr>
        <w:t>Fleet liens, set off and cancellations</w:t>
      </w:r>
    </w:p>
    <w:p>
      <w:pPr>
        <w:spacing w:after="0" w:line="258"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207" w:lineRule="exact"/>
        <w:rPr>
          <w:sz w:val="20"/>
          <w:szCs w:val="20"/>
          <w:color w:val="auto"/>
        </w:rPr>
      </w:pPr>
    </w:p>
    <w:p>
      <w:pPr>
        <w:ind w:left="1080" w:right="500" w:hanging="532"/>
        <w:spacing w:after="0" w:line="268" w:lineRule="auto"/>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the Borrowers shall ensure that hull cover for the Ship and any other Mortgaged Ships is provided under a separate policy from any other vessels.</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5"/>
          <w:szCs w:val="15"/>
          <w:b w:val="1"/>
          <w:bCs w:val="1"/>
          <w:color w:val="auto"/>
        </w:rPr>
        <w:t>Payment of premiums</w:t>
      </w:r>
    </w:p>
    <w:p>
      <w:pPr>
        <w:spacing w:after="0" w:line="258"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01" w:name="page302"/>
    <w:bookmarkEnd w:id="301"/>
    <w:p>
      <w:pPr>
        <w:spacing w:after="0"/>
        <w:tabs>
          <w:tab w:leader="none" w:pos="5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5"/>
          <w:szCs w:val="15"/>
          <w:b w:val="1"/>
          <w:bCs w:val="1"/>
          <w:color w:val="auto"/>
        </w:rPr>
        <w:t>Details of proposed renewal of Insurances</w:t>
      </w:r>
    </w:p>
    <w:p>
      <w:pPr>
        <w:spacing w:after="0" w:line="245"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b w:val="1"/>
          <w:bCs w:val="1"/>
          <w:color w:val="auto"/>
        </w:rPr>
        <w:t>Instructions for renewal</w:t>
      </w:r>
    </w:p>
    <w:p>
      <w:pPr>
        <w:spacing w:after="0" w:line="258"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At least seven (7) days before any of the Ship's Insurances are due to expire, instructions shall be given to brokers, insurers and associations for them to be renewed or replaced on or before their expiry.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6"/>
          <w:szCs w:val="16"/>
          <w:b w:val="1"/>
          <w:bCs w:val="1"/>
          <w:color w:val="auto"/>
        </w:rPr>
        <w:t>Confirmation of renewal</w:t>
      </w:r>
    </w:p>
    <w:p>
      <w:pPr>
        <w:spacing w:after="0" w:line="24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five (5) days (or such shorter period as may be approved) before such expiry.</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24.11</w:t>
      </w:r>
      <w:r>
        <w:rPr>
          <w:sz w:val="20"/>
          <w:szCs w:val="20"/>
          <w:color w:val="auto"/>
        </w:rPr>
        <w:tab/>
      </w:r>
      <w:r>
        <w:rPr>
          <w:rFonts w:ascii="Arial" w:cs="Arial" w:eastAsia="Arial" w:hAnsi="Arial"/>
          <w:sz w:val="16"/>
          <w:szCs w:val="16"/>
          <w:b w:val="1"/>
          <w:bCs w:val="1"/>
          <w:color w:val="auto"/>
        </w:rPr>
        <w:t>P&amp;I guarantees</w:t>
      </w:r>
    </w:p>
    <w:p>
      <w:pPr>
        <w:spacing w:after="0" w:line="245"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24.12</w:t>
      </w:r>
      <w:r>
        <w:rPr>
          <w:sz w:val="20"/>
          <w:szCs w:val="20"/>
          <w:color w:val="auto"/>
        </w:rPr>
        <w:tab/>
      </w:r>
      <w:r>
        <w:rPr>
          <w:rFonts w:ascii="Arial" w:cs="Arial" w:eastAsia="Arial" w:hAnsi="Arial"/>
          <w:sz w:val="15"/>
          <w:szCs w:val="15"/>
          <w:b w:val="1"/>
          <w:bCs w:val="1"/>
          <w:color w:val="auto"/>
        </w:rPr>
        <w:t>Insurance documents</w:t>
      </w:r>
    </w:p>
    <w:p>
      <w:pPr>
        <w:spacing w:after="0" w:line="25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24.13</w:t>
      </w:r>
      <w:r>
        <w:rPr>
          <w:sz w:val="20"/>
          <w:szCs w:val="20"/>
          <w:color w:val="auto"/>
        </w:rPr>
        <w:tab/>
      </w:r>
      <w:r>
        <w:rPr>
          <w:rFonts w:ascii="Arial" w:cs="Arial" w:eastAsia="Arial" w:hAnsi="Arial"/>
          <w:sz w:val="16"/>
          <w:szCs w:val="16"/>
          <w:b w:val="1"/>
          <w:bCs w:val="1"/>
          <w:color w:val="auto"/>
        </w:rPr>
        <w:t>Letters of undertaking</w:t>
      </w:r>
    </w:p>
    <w:p>
      <w:pPr>
        <w:spacing w:after="0" w:line="24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24.14</w:t>
      </w:r>
      <w:r>
        <w:rPr>
          <w:sz w:val="20"/>
          <w:szCs w:val="20"/>
          <w:color w:val="auto"/>
        </w:rPr>
        <w:tab/>
      </w:r>
      <w:r>
        <w:rPr>
          <w:rFonts w:ascii="Arial" w:cs="Arial" w:eastAsia="Arial" w:hAnsi="Arial"/>
          <w:sz w:val="15"/>
          <w:szCs w:val="15"/>
          <w:b w:val="1"/>
          <w:bCs w:val="1"/>
          <w:color w:val="auto"/>
        </w:rPr>
        <w:t>Insurance Notices and Loss Payable Clauses</w:t>
      </w:r>
    </w:p>
    <w:p>
      <w:pPr>
        <w:spacing w:after="0" w:line="245" w:lineRule="exact"/>
        <w:rPr>
          <w:sz w:val="20"/>
          <w:szCs w:val="20"/>
          <w:color w:val="auto"/>
        </w:rPr>
      </w:pPr>
    </w:p>
    <w:p>
      <w:pPr>
        <w:ind w:left="540" w:right="60"/>
        <w:spacing w:after="0" w:line="335" w:lineRule="auto"/>
        <w:rPr>
          <w:sz w:val="20"/>
          <w:szCs w:val="20"/>
          <w:color w:val="auto"/>
        </w:rPr>
      </w:pPr>
      <w:r>
        <w:rPr>
          <w:rFonts w:ascii="Arial" w:cs="Arial" w:eastAsia="Arial" w:hAnsi="Arial"/>
          <w:sz w:val="15"/>
          <w:szCs w:val="15"/>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24.15</w:t>
      </w:r>
      <w:r>
        <w:rPr>
          <w:sz w:val="20"/>
          <w:szCs w:val="20"/>
          <w:color w:val="auto"/>
        </w:rPr>
        <w:tab/>
      </w:r>
      <w:r>
        <w:rPr>
          <w:rFonts w:ascii="Arial" w:cs="Arial" w:eastAsia="Arial" w:hAnsi="Arial"/>
          <w:sz w:val="15"/>
          <w:szCs w:val="15"/>
          <w:b w:val="1"/>
          <w:bCs w:val="1"/>
          <w:color w:val="auto"/>
        </w:rPr>
        <w:t>Insurance correspondence</w:t>
      </w:r>
    </w:p>
    <w:p>
      <w:pPr>
        <w:spacing w:after="0" w:line="258" w:lineRule="exact"/>
        <w:rPr>
          <w:sz w:val="20"/>
          <w:szCs w:val="20"/>
          <w:color w:val="auto"/>
        </w:rPr>
      </w:pPr>
    </w:p>
    <w:p>
      <w:pPr>
        <w:ind w:left="540" w:right="900"/>
        <w:spacing w:after="0" w:line="268" w:lineRule="auto"/>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302" w:name="page303"/>
    <w:bookmarkEnd w:id="302"/>
    <w:p>
      <w:pPr>
        <w:ind w:left="540"/>
        <w:spacing w:after="0"/>
        <w:rPr>
          <w:sz w:val="20"/>
          <w:szCs w:val="20"/>
          <w:color w:val="auto"/>
        </w:rPr>
      </w:pPr>
      <w:r>
        <w:rPr>
          <w:rFonts w:ascii="Arial" w:cs="Arial" w:eastAsia="Arial" w:hAnsi="Arial"/>
          <w:sz w:val="18"/>
          <w:szCs w:val="18"/>
          <w:color w:val="auto"/>
        </w:rPr>
        <w:t>brokers, insurers and associations relating to any of the Ship's Insurances as soon as they are available.</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24.16</w:t>
      </w:r>
      <w:r>
        <w:rPr>
          <w:sz w:val="20"/>
          <w:szCs w:val="20"/>
          <w:color w:val="auto"/>
        </w:rPr>
        <w:tab/>
      </w:r>
      <w:r>
        <w:rPr>
          <w:rFonts w:ascii="Arial" w:cs="Arial" w:eastAsia="Arial" w:hAnsi="Arial"/>
          <w:sz w:val="15"/>
          <w:szCs w:val="15"/>
          <w:b w:val="1"/>
          <w:bCs w:val="1"/>
          <w:color w:val="auto"/>
        </w:rPr>
        <w:t>Qualifications and exclusions</w:t>
      </w:r>
    </w:p>
    <w:p>
      <w:pPr>
        <w:spacing w:after="0" w:line="245"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24.17</w:t>
      </w:r>
      <w:r>
        <w:rPr>
          <w:sz w:val="20"/>
          <w:szCs w:val="20"/>
          <w:color w:val="auto"/>
        </w:rPr>
        <w:tab/>
      </w:r>
      <w:r>
        <w:rPr>
          <w:rFonts w:ascii="Arial" w:cs="Arial" w:eastAsia="Arial" w:hAnsi="Arial"/>
          <w:sz w:val="16"/>
          <w:szCs w:val="16"/>
          <w:b w:val="1"/>
          <w:bCs w:val="1"/>
          <w:color w:val="auto"/>
        </w:rPr>
        <w:t>Independent report</w:t>
      </w:r>
    </w:p>
    <w:p>
      <w:pPr>
        <w:spacing w:after="0" w:line="258" w:lineRule="exact"/>
        <w:rPr>
          <w:sz w:val="20"/>
          <w:szCs w:val="20"/>
          <w:color w:val="auto"/>
        </w:rPr>
      </w:pPr>
    </w:p>
    <w:p>
      <w:pPr>
        <w:ind w:left="540" w:right="260"/>
        <w:spacing w:after="0" w:line="254"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Borrowers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24.18</w:t>
      </w:r>
      <w:r>
        <w:rPr>
          <w:sz w:val="20"/>
          <w:szCs w:val="20"/>
          <w:color w:val="auto"/>
        </w:rPr>
        <w:tab/>
      </w:r>
      <w:r>
        <w:rPr>
          <w:rFonts w:ascii="Arial" w:cs="Arial" w:eastAsia="Arial" w:hAnsi="Arial"/>
          <w:sz w:val="15"/>
          <w:szCs w:val="15"/>
          <w:b w:val="1"/>
          <w:bCs w:val="1"/>
          <w:color w:val="auto"/>
        </w:rPr>
        <w:t>Collection of claims</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24.19</w:t>
      </w:r>
      <w:r>
        <w:rPr>
          <w:sz w:val="20"/>
          <w:szCs w:val="20"/>
          <w:color w:val="auto"/>
        </w:rPr>
        <w:tab/>
      </w:r>
      <w:r>
        <w:rPr>
          <w:rFonts w:ascii="Arial" w:cs="Arial" w:eastAsia="Arial" w:hAnsi="Arial"/>
          <w:sz w:val="15"/>
          <w:szCs w:val="15"/>
          <w:b w:val="1"/>
          <w:bCs w:val="1"/>
          <w:color w:val="auto"/>
        </w:rPr>
        <w:t>Employment of Ship</w:t>
      </w:r>
    </w:p>
    <w:p>
      <w:pPr>
        <w:spacing w:after="0" w:line="245" w:lineRule="exact"/>
        <w:rPr>
          <w:sz w:val="20"/>
          <w:szCs w:val="20"/>
          <w:color w:val="auto"/>
        </w:rPr>
      </w:pPr>
    </w:p>
    <w:p>
      <w:pPr>
        <w:ind w:left="540" w:right="120"/>
        <w:spacing w:after="0" w:line="331" w:lineRule="auto"/>
        <w:rPr>
          <w:sz w:val="20"/>
          <w:szCs w:val="20"/>
          <w:color w:val="auto"/>
        </w:rPr>
      </w:pPr>
      <w:r>
        <w:rPr>
          <w:rFonts w:ascii="Arial" w:cs="Arial" w:eastAsia="Arial" w:hAnsi="Arial"/>
          <w:sz w:val="16"/>
          <w:szCs w:val="16"/>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24.20</w:t>
      </w:r>
      <w:r>
        <w:rPr>
          <w:sz w:val="20"/>
          <w:szCs w:val="20"/>
          <w:color w:val="auto"/>
        </w:rPr>
        <w:tab/>
      </w:r>
      <w:r>
        <w:rPr>
          <w:rFonts w:ascii="Arial" w:cs="Arial" w:eastAsia="Arial" w:hAnsi="Arial"/>
          <w:sz w:val="15"/>
          <w:szCs w:val="15"/>
          <w:b w:val="1"/>
          <w:bCs w:val="1"/>
          <w:color w:val="auto"/>
        </w:rPr>
        <w:t>Declarations and returns</w:t>
      </w:r>
    </w:p>
    <w:p>
      <w:pPr>
        <w:spacing w:after="0" w:line="258"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24.21</w:t>
      </w:r>
      <w:r>
        <w:rPr>
          <w:sz w:val="20"/>
          <w:szCs w:val="20"/>
          <w:color w:val="auto"/>
        </w:rPr>
        <w:tab/>
      </w:r>
      <w:r>
        <w:rPr>
          <w:rFonts w:ascii="Arial" w:cs="Arial" w:eastAsia="Arial" w:hAnsi="Arial"/>
          <w:sz w:val="15"/>
          <w:szCs w:val="15"/>
          <w:b w:val="1"/>
          <w:bCs w:val="1"/>
          <w:color w:val="auto"/>
        </w:rPr>
        <w:t>Application of recoveries</w:t>
      </w:r>
    </w:p>
    <w:p>
      <w:pPr>
        <w:spacing w:after="0" w:line="2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24.22</w:t>
      </w:r>
      <w:r>
        <w:rPr>
          <w:sz w:val="20"/>
          <w:szCs w:val="20"/>
          <w:color w:val="auto"/>
        </w:rPr>
        <w:tab/>
      </w:r>
      <w:r>
        <w:rPr>
          <w:rFonts w:ascii="Arial" w:cs="Arial" w:eastAsia="Arial" w:hAnsi="Arial"/>
          <w:sz w:val="15"/>
          <w:szCs w:val="15"/>
          <w:b w:val="1"/>
          <w:bCs w:val="1"/>
          <w:color w:val="auto"/>
        </w:rPr>
        <w:t>Settlement of claims</w:t>
      </w:r>
    </w:p>
    <w:p>
      <w:pPr>
        <w:spacing w:after="0" w:line="24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Any claim under the Ship's Insurances for a Total Loss and any claim for Major Casualty shall only be settled, compromised or abandoned with prior approval of the Majority Lenders.</w:t>
      </w:r>
    </w:p>
    <w:p>
      <w:pPr>
        <w:spacing w:after="0" w:line="207" w:lineRule="exact"/>
        <w:rPr>
          <w:sz w:val="20"/>
          <w:szCs w:val="20"/>
          <w:color w:val="auto"/>
        </w:rPr>
      </w:pPr>
    </w:p>
    <w:p>
      <w:pPr>
        <w:ind w:left="540" w:hanging="532"/>
        <w:spacing w:after="0"/>
        <w:tabs>
          <w:tab w:leader="none" w:pos="5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Minimum security value</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25 will be complied with throughout the Facility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03" w:name="page304"/>
    <w:bookmarkEnd w:id="303"/>
    <w:p>
      <w:pPr>
        <w:spacing w:after="0"/>
        <w:tabs>
          <w:tab w:leader="none" w:pos="5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5"/>
          <w:szCs w:val="15"/>
          <w:b w:val="1"/>
          <w:bCs w:val="1"/>
          <w:color w:val="auto"/>
        </w:rPr>
        <w:t>Valuation of assets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the purpose of the Finance Documents, the value at any time of any Mortgaged Ship or a Ship before any Utilisation obtained under clause 4</w:t>
      </w:r>
    </w:p>
    <w:p>
      <w:pPr>
        <w:spacing w:after="0" w:line="38"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clause 25.13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will be its value as most recently determined in accordance with this clause 25 or, if no such value has been 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5"/>
          <w:szCs w:val="15"/>
          <w:b w:val="1"/>
          <w:bCs w:val="1"/>
          <w:color w:val="auto"/>
        </w:rPr>
        <w:t>Valuation frequency</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Borrowers shall provide valuations to the Agent at the following times for the purpose of determining the Margin: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in respect of the first Utilisation of each Revolving Loan Ship Tranche, dated not earlier than 90 days prior to that Utilisation; and</w:t>
      </w:r>
    </w:p>
    <w:p>
      <w:pPr>
        <w:spacing w:after="0" w:line="276" w:lineRule="exact"/>
        <w:rPr>
          <w:rFonts w:ascii="Arial" w:cs="Arial" w:eastAsia="Arial" w:hAnsi="Arial"/>
          <w:sz w:val="16"/>
          <w:szCs w:val="16"/>
          <w:color w:val="auto"/>
        </w:rPr>
      </w:pPr>
    </w:p>
    <w:p>
      <w:pPr>
        <w:ind w:left="1620" w:right="180" w:hanging="532"/>
        <w:spacing w:after="0" w:line="208" w:lineRule="auto"/>
        <w:tabs>
          <w:tab w:leader="none" w:pos="1620" w:val="left"/>
        </w:tabs>
        <w:numPr>
          <w:ilvl w:val="1"/>
          <w:numId w:val="392"/>
        </w:numPr>
        <w:rPr>
          <w:rFonts w:ascii="Arial" w:cs="Arial" w:eastAsia="Arial" w:hAnsi="Arial"/>
          <w:sz w:val="35"/>
          <w:szCs w:val="35"/>
          <w:color w:val="auto"/>
          <w:vertAlign w:val="superscript"/>
        </w:rPr>
      </w:pPr>
      <w:r>
        <w:rPr>
          <w:rFonts w:ascii="Arial" w:cs="Arial" w:eastAsia="Arial" w:hAnsi="Arial"/>
          <w:sz w:val="18"/>
          <w:szCs w:val="18"/>
          <w:color w:val="auto"/>
        </w:rPr>
        <w:t>and in any other case, valuations dated not later than the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December or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June of each calendar year and not earlier than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December or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June of such calendar year respectively,</w:t>
      </w:r>
    </w:p>
    <w:p>
      <w:pPr>
        <w:spacing w:after="0" w:line="90" w:lineRule="exact"/>
        <w:rPr>
          <w:rFonts w:ascii="Arial" w:cs="Arial" w:eastAsia="Arial" w:hAnsi="Arial"/>
          <w:sz w:val="35"/>
          <w:szCs w:val="35"/>
          <w:color w:val="auto"/>
          <w:vertAlign w:val="superscript"/>
        </w:rPr>
      </w:pPr>
    </w:p>
    <w:p>
      <w:pPr>
        <w:ind w:left="1620"/>
        <w:spacing w:after="0"/>
        <w:rPr>
          <w:rFonts w:ascii="Arial" w:cs="Arial" w:eastAsia="Arial" w:hAnsi="Arial"/>
          <w:sz w:val="35"/>
          <w:szCs w:val="35"/>
          <w:color w:val="auto"/>
          <w:vertAlign w:val="superscript"/>
        </w:rPr>
      </w:pPr>
      <w:r>
        <w:rPr>
          <w:rFonts w:ascii="Arial" w:cs="Arial" w:eastAsia="Arial" w:hAnsi="Arial"/>
          <w:sz w:val="18"/>
          <w:szCs w:val="18"/>
          <w:color w:val="auto"/>
        </w:rPr>
        <w:t>and in each case otherwise in accordance with this clause 25.</w:t>
      </w:r>
    </w:p>
    <w:p>
      <w:pPr>
        <w:spacing w:after="0" w:line="238" w:lineRule="exact"/>
        <w:rPr>
          <w:rFonts w:ascii="Arial" w:cs="Arial" w:eastAsia="Arial" w:hAnsi="Arial"/>
          <w:sz w:val="35"/>
          <w:szCs w:val="35"/>
          <w:color w:val="auto"/>
          <w:vertAlign w:val="superscript"/>
        </w:rPr>
      </w:pPr>
    </w:p>
    <w:p>
      <w:pPr>
        <w:ind w:left="1080" w:right="340" w:hanging="532"/>
        <w:spacing w:after="0" w:line="268" w:lineRule="auto"/>
        <w:tabs>
          <w:tab w:leader="none" w:pos="10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valuations provided pursuant to paragraph (a) above may be used for any other purpose for which valuations are required under the Finance Documents, provided that such valuations comply with the relevant requirements under this clause 25.</w:t>
      </w:r>
    </w:p>
    <w:p>
      <w:pPr>
        <w:spacing w:after="0" w:line="199"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In addition to the validations required pursuant to paragraph (a) above and clause 19.2(a) (</w:t>
      </w:r>
      <w:r>
        <w:rPr>
          <w:rFonts w:ascii="Arial" w:cs="Arial" w:eastAsia="Arial" w:hAnsi="Arial"/>
          <w:sz w:val="16"/>
          <w:szCs w:val="16"/>
          <w:i w:val="1"/>
          <w:iCs w:val="1"/>
          <w:color w:val="auto"/>
        </w:rPr>
        <w:t>Provision and contents of Compliance Certificates and</w:t>
      </w:r>
      <w:r>
        <w:rPr>
          <w:rFonts w:ascii="Arial" w:cs="Arial" w:eastAsia="Arial" w:hAnsi="Arial"/>
          <w:sz w:val="16"/>
          <w:szCs w:val="16"/>
          <w:color w:val="auto"/>
        </w:rPr>
        <w:t xml:space="preserve"> </w:t>
      </w:r>
      <w:r>
        <w:rPr>
          <w:rFonts w:ascii="Arial" w:cs="Arial" w:eastAsia="Arial" w:hAnsi="Arial"/>
          <w:sz w:val="16"/>
          <w:szCs w:val="16"/>
          <w:i w:val="1"/>
          <w:iCs w:val="1"/>
          <w:color w:val="auto"/>
        </w:rPr>
        <w:t>valuations</w:t>
      </w:r>
      <w:r>
        <w:rPr>
          <w:rFonts w:ascii="Arial" w:cs="Arial" w:eastAsia="Arial" w:hAnsi="Arial"/>
          <w:sz w:val="16"/>
          <w:szCs w:val="16"/>
          <w:color w:val="auto"/>
        </w:rPr>
        <w:t>), for the purpose of the Finance Documents (including for the purposes of clause 25.12 (</w:t>
      </w:r>
      <w:r>
        <w:rPr>
          <w:rFonts w:ascii="Arial" w:cs="Arial" w:eastAsia="Arial" w:hAnsi="Arial"/>
          <w:sz w:val="16"/>
          <w:szCs w:val="16"/>
          <w:i w:val="1"/>
          <w:iCs w:val="1"/>
          <w:color w:val="auto"/>
        </w:rPr>
        <w:t>Security shortfall</w:t>
      </w:r>
      <w:r>
        <w:rPr>
          <w:rFonts w:ascii="Arial" w:cs="Arial" w:eastAsia="Arial" w:hAnsi="Arial"/>
          <w:sz w:val="16"/>
          <w:szCs w:val="16"/>
          <w:color w:val="auto"/>
        </w:rPr>
        <w:t>)), valuation of each Mortgaged</w:t>
      </w:r>
      <w:r>
        <w:rPr>
          <w:rFonts w:ascii="Arial" w:cs="Arial" w:eastAsia="Arial" w:hAnsi="Arial"/>
          <w:sz w:val="16"/>
          <w:szCs w:val="16"/>
          <w:i w:val="1"/>
          <w:iCs w:val="1"/>
          <w:color w:val="auto"/>
        </w:rPr>
        <w:t xml:space="preserve"> </w:t>
      </w:r>
      <w:r>
        <w:rPr>
          <w:rFonts w:ascii="Arial" w:cs="Arial" w:eastAsia="Arial" w:hAnsi="Arial"/>
          <w:sz w:val="16"/>
          <w:szCs w:val="16"/>
          <w:color w:val="auto"/>
        </w:rPr>
        <w:t>Ship or (before any Utilisation) each Ship and each such other asset in accordance with this clause 25 may be required by the Majority Lenders at any time (but in any event not less frequently than twice per calendar year).</w:t>
      </w:r>
    </w:p>
    <w:p>
      <w:pPr>
        <w:spacing w:after="0" w:line="3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Expenses of valuation</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Borrowers shall bear, and reimburse to the Agent where incurred by the Agent, all costs and expenses of providing such a valuation under this clause 25</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(including for the purposes of determining the applicable Margin as and when required and referenced in the definition of "</w:t>
      </w:r>
      <w:r>
        <w:rPr>
          <w:rFonts w:ascii="Arial" w:cs="Arial" w:eastAsia="Arial" w:hAnsi="Arial"/>
          <w:sz w:val="16"/>
          <w:szCs w:val="16"/>
          <w:b w:val="1"/>
          <w:bCs w:val="1"/>
          <w:color w:val="auto"/>
        </w:rPr>
        <w:t>Margin</w:t>
      </w:r>
      <w:r>
        <w:rPr>
          <w:rFonts w:ascii="Arial" w:cs="Arial" w:eastAsia="Arial" w:hAnsi="Arial"/>
          <w:sz w:val="16"/>
          <w:szCs w:val="16"/>
          <w:color w:val="auto"/>
        </w:rPr>
        <w:t>" in clause 1.1</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Definitions</w:t>
      </w:r>
      <w:r>
        <w:rPr>
          <w:rFonts w:ascii="Arial" w:cs="Arial" w:eastAsia="Arial" w:hAnsi="Arial"/>
          <w:sz w:val="16"/>
          <w:szCs w:val="16"/>
          <w:color w:val="auto"/>
        </w:rPr>
        <w:t>)) and clause 19.2 (</w:t>
      </w:r>
      <w:r>
        <w:rPr>
          <w:rFonts w:ascii="Arial" w:cs="Arial" w:eastAsia="Arial" w:hAnsi="Arial"/>
          <w:sz w:val="16"/>
          <w:szCs w:val="16"/>
          <w:i w:val="1"/>
          <w:iCs w:val="1"/>
          <w:color w:val="auto"/>
        </w:rPr>
        <w:t>Provision and contents of Compliance Certificate and valuations</w:t>
      </w:r>
      <w:r>
        <w:rPr>
          <w:rFonts w:ascii="Arial" w:cs="Arial" w:eastAsia="Arial" w:hAnsi="Arial"/>
          <w:sz w:val="16"/>
          <w:szCs w:val="16"/>
          <w:color w:val="auto"/>
        </w:rPr>
        <w:t>) provided however that if no Event of Default has occurred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is continuing the Borrowers shall bear the cost of the valuations of each Mortgaged Ship only twice per calendar year (save for any valuations made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5"/>
          <w:szCs w:val="15"/>
          <w:b w:val="1"/>
          <w:bCs w:val="1"/>
          <w:color w:val="auto"/>
        </w:rPr>
        <w:t>Valuations procedure</w:t>
      </w:r>
    </w:p>
    <w:p>
      <w:pPr>
        <w:spacing w:after="0" w:line="200" w:lineRule="exact"/>
        <w:rPr>
          <w:sz w:val="20"/>
          <w:szCs w:val="20"/>
          <w:color w:val="auto"/>
        </w:rPr>
      </w:pPr>
    </w:p>
    <w:p>
      <w:pPr>
        <w:spacing w:after="0" w:line="274" w:lineRule="exact"/>
        <w:rPr>
          <w:sz w:val="20"/>
          <w:szCs w:val="20"/>
          <w:color w:val="auto"/>
        </w:rPr>
      </w:pPr>
    </w:p>
    <w:p>
      <w:pPr>
        <w:ind w:left="1080" w:hanging="532"/>
        <w:spacing w:after="0" w:line="331" w:lineRule="auto"/>
        <w:tabs>
          <w:tab w:leader="none" w:pos="108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value of (i) any Mortgaged Ship (namely, after the first Utilisation under this Agreement) and (ii) each Ship before the first Utilisation under this Agreement, shall be determined in accordance with, and by valuers approved and appointed in accordance with, this clause 25.</w:t>
      </w:r>
    </w:p>
    <w:p>
      <w:pPr>
        <w:spacing w:after="0" w:line="16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Additional security provided under clause 25.12(a)(i) (</w:t>
      </w:r>
      <w:r>
        <w:rPr>
          <w:rFonts w:ascii="Arial" w:cs="Arial" w:eastAsia="Arial" w:hAnsi="Arial"/>
          <w:sz w:val="18"/>
          <w:szCs w:val="18"/>
          <w:i w:val="1"/>
          <w:iCs w:val="1"/>
          <w:color w:val="auto"/>
        </w:rPr>
        <w:t>Security Shortfall</w:t>
      </w:r>
      <w:r>
        <w:rPr>
          <w:rFonts w:ascii="Arial" w:cs="Arial" w:eastAsia="Arial" w:hAnsi="Arial"/>
          <w:sz w:val="18"/>
          <w:szCs w:val="18"/>
          <w:color w:val="auto"/>
        </w:rPr>
        <w:t>) shall be valued in such a way, on such a basis and by such persons (including the Agent itself) as determined in accordance with clause 25.13(</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or as may otherwise be agreed in writing by the Borrowers and the Agent (on the instructions of all Lenders).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04" w:name="page305"/>
    <w:bookmarkEnd w:id="304"/>
    <w:p>
      <w:pPr>
        <w:spacing w:after="0"/>
        <w:tabs>
          <w:tab w:leader="none" w:pos="52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Currency of valuation</w:t>
      </w:r>
    </w:p>
    <w:p>
      <w:pPr>
        <w:spacing w:after="0" w:line="245" w:lineRule="exact"/>
        <w:rPr>
          <w:sz w:val="20"/>
          <w:szCs w:val="20"/>
          <w:color w:val="auto"/>
        </w:rPr>
      </w:pPr>
    </w:p>
    <w:p>
      <w:pPr>
        <w:ind w:left="540" w:right="320"/>
        <w:spacing w:after="0" w:line="306" w:lineRule="auto"/>
        <w:rPr>
          <w:sz w:val="20"/>
          <w:szCs w:val="20"/>
          <w:color w:val="auto"/>
        </w:rPr>
      </w:pPr>
      <w:r>
        <w:rPr>
          <w:rFonts w:ascii="Arial" w:cs="Arial" w:eastAsia="Arial" w:hAnsi="Arial"/>
          <w:sz w:val="16"/>
          <w:szCs w:val="16"/>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5"/>
          <w:szCs w:val="15"/>
          <w:b w:val="1"/>
          <w:bCs w:val="1"/>
          <w:color w:val="auto"/>
        </w:rPr>
        <w:t>Basis of valuation</w:t>
      </w:r>
    </w:p>
    <w:p>
      <w:pPr>
        <w:spacing w:after="0" w:line="258"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Unless otherwise approved in accordance with clause 25.4(b)(</w:t>
      </w:r>
      <w:r>
        <w:rPr>
          <w:rFonts w:ascii="Arial" w:cs="Arial" w:eastAsia="Arial" w:hAnsi="Arial"/>
          <w:sz w:val="18"/>
          <w:szCs w:val="18"/>
          <w:i w:val="1"/>
          <w:iCs w:val="1"/>
          <w:color w:val="auto"/>
        </w:rPr>
        <w:t>Valuations procedure</w:t>
      </w:r>
      <w:r>
        <w:rPr>
          <w:rFonts w:ascii="Arial" w:cs="Arial" w:eastAsia="Arial" w:hAnsi="Arial"/>
          <w:sz w:val="18"/>
          <w:szCs w:val="18"/>
          <w:color w:val="auto"/>
        </w:rPr>
        <w:t>) or clause 25.13(a)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each valuation will be addressed to the Agent in its capacity as such, it will be, not more than 90 days old from its delivery to the Agent or from the date on which it is to be delivered and made:</w:t>
      </w:r>
    </w:p>
    <w:p>
      <w:pPr>
        <w:spacing w:after="0" w:line="207" w:lineRule="exact"/>
        <w:rPr>
          <w:sz w:val="20"/>
          <w:szCs w:val="20"/>
          <w:color w:val="auto"/>
        </w:rPr>
      </w:pPr>
    </w:p>
    <w:p>
      <w:pPr>
        <w:ind w:left="1080" w:hanging="532"/>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b w:val="1"/>
          <w:bCs w:val="1"/>
          <w:color w:val="auto"/>
        </w:rPr>
        <w:t>Information required for valuation</w:t>
      </w:r>
    </w:p>
    <w:p>
      <w:pPr>
        <w:spacing w:after="0" w:line="245"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Approved Brokers</w:t>
      </w:r>
    </w:p>
    <w:p>
      <w:pPr>
        <w:spacing w:after="0" w:line="245"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25 and this Agreement, and the Majority Lenders may from time to time request the replacement of an Approved Broker.</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5"/>
          <w:szCs w:val="15"/>
          <w:b w:val="1"/>
          <w:bCs w:val="1"/>
          <w:color w:val="auto"/>
        </w:rPr>
        <w:t>Appointment of Approved Brokers</w:t>
      </w:r>
    </w:p>
    <w:p>
      <w:pPr>
        <w:spacing w:after="0" w:line="258"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When a valuation is required for the purposes of this clause 25, the Agent (acting on the instructions of the Majority Lenders) or, if so approved at that time, the Borrowers shall promptly appoint the relevant Approved Brokers to provide such a valuation. If the Borrowers are approved to appoint the relevant Approved Brokers but fail to do so promptly, the Agent may appoint the relevant Approved Brokers to provide that valuation.</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25.10</w:t>
      </w:r>
      <w:r>
        <w:rPr>
          <w:sz w:val="20"/>
          <w:szCs w:val="20"/>
          <w:color w:val="auto"/>
        </w:rPr>
        <w:tab/>
      </w:r>
      <w:r>
        <w:rPr>
          <w:rFonts w:ascii="Arial" w:cs="Arial" w:eastAsia="Arial" w:hAnsi="Arial"/>
          <w:sz w:val="16"/>
          <w:szCs w:val="16"/>
          <w:b w:val="1"/>
          <w:bCs w:val="1"/>
          <w:color w:val="auto"/>
        </w:rPr>
        <w:t>Number of valuers</w:t>
      </w:r>
    </w:p>
    <w:p>
      <w:pPr>
        <w:spacing w:after="0" w:line="200" w:lineRule="exact"/>
        <w:rPr>
          <w:sz w:val="20"/>
          <w:szCs w:val="20"/>
          <w:color w:val="auto"/>
        </w:rPr>
      </w:pPr>
    </w:p>
    <w:p>
      <w:pPr>
        <w:spacing w:after="0" w:line="274" w:lineRule="exact"/>
        <w:rPr>
          <w:sz w:val="20"/>
          <w:szCs w:val="20"/>
          <w:color w:val="auto"/>
        </w:rPr>
      </w:pPr>
    </w:p>
    <w:p>
      <w:pPr>
        <w:ind w:left="1080" w:right="40" w:hanging="532"/>
        <w:spacing w:after="0" w:line="268" w:lineRule="auto"/>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then a third Approved Broker must be nominated by the Borrowers to provide a valuation of such Ship. If the Borrowers fail to promptly nominate such third Approved Broker, then the Agent (acting on the instructions of the Majority Lenders) may nominate that third Approved Broker.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05" w:name="page306"/>
    <w:bookmarkEnd w:id="305"/>
    <w:p>
      <w:pPr>
        <w:spacing w:after="0"/>
        <w:tabs>
          <w:tab w:leader="none" w:pos="520" w:val="left"/>
        </w:tabs>
        <w:rPr>
          <w:sz w:val="20"/>
          <w:szCs w:val="20"/>
          <w:color w:val="auto"/>
        </w:rPr>
      </w:pPr>
      <w:r>
        <w:rPr>
          <w:rFonts w:ascii="Arial" w:cs="Arial" w:eastAsia="Arial" w:hAnsi="Arial"/>
          <w:sz w:val="18"/>
          <w:szCs w:val="18"/>
          <w:b w:val="1"/>
          <w:bCs w:val="1"/>
          <w:color w:val="auto"/>
        </w:rPr>
        <w:t>25.11</w:t>
      </w:r>
      <w:r>
        <w:rPr>
          <w:sz w:val="20"/>
          <w:szCs w:val="20"/>
          <w:color w:val="auto"/>
        </w:rPr>
        <w:tab/>
      </w:r>
      <w:r>
        <w:rPr>
          <w:rFonts w:ascii="Arial" w:cs="Arial" w:eastAsia="Arial" w:hAnsi="Arial"/>
          <w:sz w:val="15"/>
          <w:szCs w:val="15"/>
          <w:b w:val="1"/>
          <w:bCs w:val="1"/>
          <w:color w:val="auto"/>
        </w:rPr>
        <w:t>Differences in valuations</w:t>
      </w:r>
    </w:p>
    <w:p>
      <w:pPr>
        <w:spacing w:after="0" w:line="200" w:lineRule="exact"/>
        <w:rPr>
          <w:sz w:val="20"/>
          <w:szCs w:val="20"/>
          <w:color w:val="auto"/>
        </w:rPr>
      </w:pPr>
    </w:p>
    <w:p>
      <w:pPr>
        <w:spacing w:after="0" w:line="288" w:lineRule="exact"/>
        <w:rPr>
          <w:sz w:val="20"/>
          <w:szCs w:val="20"/>
          <w:color w:val="auto"/>
        </w:rPr>
      </w:pPr>
    </w:p>
    <w:p>
      <w:pPr>
        <w:ind w:left="1080" w:right="280" w:hanging="532"/>
        <w:spacing w:after="0" w:line="268"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valuations provided by different Approved Brokers differ, the value of the relevant Ship for the purposes of the Finance Documents will be the mean average of those valuations.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25.12</w:t>
      </w:r>
      <w:r>
        <w:rPr>
          <w:sz w:val="20"/>
          <w:szCs w:val="20"/>
          <w:color w:val="auto"/>
        </w:rPr>
        <w:tab/>
      </w:r>
      <w:r>
        <w:rPr>
          <w:rFonts w:ascii="Arial" w:cs="Arial" w:eastAsia="Arial" w:hAnsi="Arial"/>
          <w:sz w:val="15"/>
          <w:szCs w:val="15"/>
          <w:b w:val="1"/>
          <w:bCs w:val="1"/>
          <w:color w:val="auto"/>
        </w:rPr>
        <w:t>Security shortfall</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59" w:lineRule="auto"/>
        <w:tabs>
          <w:tab w:leader="none" w:pos="10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Borrowers require that such deficiency be remedied. The Borrowers shall then within 30 days of receipt of such notice ensure that the Security Value equals or exceeds the Minimum Value. For this purpose, the Borrowers may: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provide additional security over cash, and/or, following the approval of all Lenders, other assets, in accordance with this clause 25;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cancel (at the Borrowers' option) all or part of the Available Facility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prepay all or part of one or more Revolving Loans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carry out a combination of the above.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cancellation of part of the Available Facility pursuant to this clause 25.12 shall reduce the Total Commitments by the same amounts and all the Commitments and the Ship Commitments pro rata. Any cancellation or prepayment pursuant to clause 25.12(a)(ii), shall be made without any requirement as to any minimum amount required by clauses 7.3 (</w:t>
      </w:r>
      <w:r>
        <w:rPr>
          <w:rFonts w:ascii="Arial" w:cs="Arial" w:eastAsia="Arial" w:hAnsi="Arial"/>
          <w:sz w:val="16"/>
          <w:szCs w:val="16"/>
          <w:i w:val="1"/>
          <w:iCs w:val="1"/>
          <w:color w:val="auto"/>
        </w:rPr>
        <w:t>Voluntary cancellation</w:t>
      </w:r>
      <w:r>
        <w:rPr>
          <w:rFonts w:ascii="Arial" w:cs="Arial" w:eastAsia="Arial" w:hAnsi="Arial"/>
          <w:sz w:val="16"/>
          <w:szCs w:val="16"/>
          <w:color w:val="auto"/>
        </w:rPr>
        <w:t>) or 7.4 (</w:t>
      </w:r>
      <w:r>
        <w:rPr>
          <w:rFonts w:ascii="Arial" w:cs="Arial" w:eastAsia="Arial" w:hAnsi="Arial"/>
          <w:sz w:val="16"/>
          <w:szCs w:val="16"/>
          <w:i w:val="1"/>
          <w:iCs w:val="1"/>
          <w:color w:val="auto"/>
        </w:rPr>
        <w:t>Voluntary prepayment</w:t>
      </w:r>
      <w:r>
        <w:rPr>
          <w:rFonts w:ascii="Arial" w:cs="Arial" w:eastAsia="Arial" w:hAnsi="Arial"/>
          <w:sz w:val="16"/>
          <w:szCs w:val="16"/>
          <w:color w:val="auto"/>
        </w:rPr>
        <w: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25.13</w:t>
      </w:r>
      <w:r>
        <w:rPr>
          <w:sz w:val="20"/>
          <w:szCs w:val="20"/>
          <w:color w:val="auto"/>
        </w:rPr>
        <w:tab/>
      </w:r>
      <w:r>
        <w:rPr>
          <w:rFonts w:ascii="Arial" w:cs="Arial" w:eastAsia="Arial" w:hAnsi="Arial"/>
          <w:sz w:val="15"/>
          <w:szCs w:val="15"/>
          <w:b w:val="1"/>
          <w:bCs w:val="1"/>
          <w:color w:val="auto"/>
        </w:rPr>
        <w:t>Creation of additional security</w:t>
      </w:r>
    </w:p>
    <w:p>
      <w:pPr>
        <w:spacing w:after="0" w:line="25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value of any additional security which the Borrowers offer to provide to remedy all or part of a shortfall in the amount of the Security Value will only be taken into account for the purposes of determining the Security Value if and when:</w:t>
      </w:r>
    </w:p>
    <w:p>
      <w:pPr>
        <w:spacing w:after="0" w:line="199" w:lineRule="exact"/>
        <w:rPr>
          <w:sz w:val="20"/>
          <w:szCs w:val="20"/>
          <w:color w:val="auto"/>
        </w:rPr>
      </w:pPr>
    </w:p>
    <w:p>
      <w:pPr>
        <w:ind w:left="1080" w:right="100" w:hanging="532"/>
        <w:spacing w:after="0" w:line="268"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that additional security and the asset over which it is created, its value and the method of its valuation have been approved by all Lenders (except in the case of otherwise approved first ranking security over cash in Dollars which shall be valued at par);</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this Agreement has been unconditionally amended with such consequential amendments as required by the Agent acting reasonably; and</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that amendment and additional security and its execution and (if applicable) registration.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06" w:name="page307"/>
    <w:bookmarkEnd w:id="306"/>
    <w:p>
      <w:pPr>
        <w:spacing w:after="0"/>
        <w:tabs>
          <w:tab w:leader="none" w:pos="520" w:val="left"/>
        </w:tabs>
        <w:rPr>
          <w:sz w:val="20"/>
          <w:szCs w:val="20"/>
          <w:color w:val="auto"/>
        </w:rPr>
      </w:pPr>
      <w:r>
        <w:rPr>
          <w:rFonts w:ascii="Arial" w:cs="Arial" w:eastAsia="Arial" w:hAnsi="Arial"/>
          <w:sz w:val="18"/>
          <w:szCs w:val="18"/>
          <w:b w:val="1"/>
          <w:bCs w:val="1"/>
          <w:color w:val="auto"/>
        </w:rPr>
        <w:t>25.14</w:t>
      </w:r>
      <w:r>
        <w:rPr>
          <w:sz w:val="20"/>
          <w:szCs w:val="20"/>
          <w:color w:val="auto"/>
        </w:rPr>
        <w:tab/>
      </w:r>
      <w:r>
        <w:rPr>
          <w:rFonts w:ascii="Arial" w:cs="Arial" w:eastAsia="Arial" w:hAnsi="Arial"/>
          <w:sz w:val="15"/>
          <w:szCs w:val="15"/>
          <w:b w:val="1"/>
          <w:bCs w:val="1"/>
          <w:color w:val="auto"/>
        </w:rPr>
        <w:t>Security release</w:t>
      </w:r>
    </w:p>
    <w:p>
      <w:pPr>
        <w:spacing w:after="0" w:line="245"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If the Security Value shall at any time exceed the Minimum Value, and the Borrowers shall previously have provided further security to the Security Agent and/or the other Finance Parties pursuant to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 the Security Agent (on the instructions of the Agent) and the other Finance Parties shall, as soon as reasonably practicable after notice from the Borrowers to do so and subject to being indemnified to their satisfaction against the cost of doing so, procure the release of any such further security specified by the Borrowers provided that the Agent (acting on the instructions of the Majority Lenders) is satisfied that, immediately following such release, the Security Value will equal or exceed the Minimum Value and no other Event of Default shall have occurred and be continuing.</w:t>
      </w:r>
    </w:p>
    <w:p>
      <w:pPr>
        <w:spacing w:after="0" w:line="219" w:lineRule="exact"/>
        <w:rPr>
          <w:sz w:val="20"/>
          <w:szCs w:val="20"/>
          <w:color w:val="auto"/>
        </w:rPr>
      </w:pPr>
    </w:p>
    <w:p>
      <w:pPr>
        <w:ind w:left="540" w:hanging="532"/>
        <w:spacing w:after="0"/>
        <w:tabs>
          <w:tab w:leader="none" w:pos="5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Chartering undertakings</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Each Borrower undertakes that this clause 26 will be complied with in relation to each Mortgaged Ship throughout the relevant Ship's Mortgage Period.</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b w:val="1"/>
          <w:bCs w:val="1"/>
          <w:color w:val="auto"/>
        </w:rPr>
        <w:t>Variations</w:t>
      </w:r>
    </w:p>
    <w:p>
      <w:pPr>
        <w:spacing w:after="0" w:line="24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Except for variations which (a) reduce the tenor of a Charter, (b) reduce the applicable charter rate in respect of the firm tenor of a Charter, (c) result in a charter rate during an extension of the tenor of a Charter which is materially less beneficial to the relevant Owner than the terms which at the time could be reasonably expected to be obtained on the open market for vessels of the same age and type as the relevant Ship and for charter commitments of a similar type and period, (d) in connection with the extension of a Charter would result in the Charterer being a Non-Acceptable Charterer, (e) change the scheduled dates for payment of charter hire under a Charter by more than 30 days or change the payment terms to payments in arrear, (f) result in any assignment, transfer or novation of a Charter Document whether from the relevant Owner or the relevant Charterer (an Owner shall be entitled to novate a Charter Document to another Owner subject to the novatee assigning the benefit of such novated Charter Document to the Security Agent and satisfying the provisions of clauses 22.7(b) (</w:t>
      </w:r>
      <w:r>
        <w:rPr>
          <w:rFonts w:ascii="Arial" w:cs="Arial" w:eastAsia="Arial" w:hAnsi="Arial"/>
          <w:sz w:val="16"/>
          <w:szCs w:val="16"/>
          <w:i w:val="1"/>
          <w:iCs w:val="1"/>
          <w:color w:val="auto"/>
        </w:rPr>
        <w:t>Chartering</w:t>
      </w:r>
      <w:r>
        <w:rPr>
          <w:rFonts w:ascii="Arial" w:cs="Arial" w:eastAsia="Arial" w:hAnsi="Arial"/>
          <w:sz w:val="16"/>
          <w:szCs w:val="16"/>
          <w:color w:val="auto"/>
        </w:rPr>
        <w:t>) which shall apply to this clause mutatis mutandis as set out in full herein), (g) would result in the conversion of a Charter to a bareboat charter or an arrangement under which operational control over the Ship is passed to another person (unless operational control is passed to the Ship's Technical Manager) or (h) affect termination rights under a Charter, where, in each case, approval shall be required, each Owner shall be entitled to amend or vary a Charter without approval. The relevant Owner shall notify the Agent of any variation of a Charter promptly upon such variation having been effected.</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Releases and waivers</w:t>
      </w:r>
    </w:p>
    <w:p>
      <w:pPr>
        <w:spacing w:after="0" w:line="245"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Subject to clause 26.1(</w:t>
      </w:r>
      <w:r>
        <w:rPr>
          <w:rFonts w:ascii="Arial" w:cs="Arial" w:eastAsia="Arial" w:hAnsi="Arial"/>
          <w:sz w:val="18"/>
          <w:szCs w:val="18"/>
          <w:i w:val="1"/>
          <w:iCs w:val="1"/>
          <w:color w:val="auto"/>
        </w:rPr>
        <w:t>Variations</w:t>
      </w:r>
      <w:r>
        <w:rPr>
          <w:rFonts w:ascii="Arial" w:cs="Arial" w:eastAsia="Arial" w:hAnsi="Arial"/>
          <w:sz w:val="18"/>
          <w:szCs w:val="18"/>
          <w:color w:val="auto"/>
        </w:rPr>
        <w:t>), an Owner may release any obligation of any other person under the Charter Documents, waive any breach of any such obligation or consent to anything which would otherwise be such a breach.</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Termination by Owner</w:t>
      </w:r>
    </w:p>
    <w:p>
      <w:pPr>
        <w:spacing w:after="0" w:line="258" w:lineRule="exact"/>
        <w:rPr>
          <w:sz w:val="20"/>
          <w:szCs w:val="20"/>
          <w:color w:val="auto"/>
        </w:rPr>
      </w:pPr>
    </w:p>
    <w:p>
      <w:pPr>
        <w:ind w:left="540" w:right="420"/>
        <w:spacing w:after="0" w:line="331" w:lineRule="auto"/>
        <w:rPr>
          <w:sz w:val="20"/>
          <w:szCs w:val="20"/>
          <w:color w:val="auto"/>
        </w:rPr>
      </w:pPr>
      <w:r>
        <w:rPr>
          <w:rFonts w:ascii="Arial" w:cs="Arial" w:eastAsia="Arial" w:hAnsi="Arial"/>
          <w:sz w:val="16"/>
          <w:szCs w:val="16"/>
          <w:color w:val="auto"/>
        </w:rPr>
        <w:t>Subject to clause 29.21 (</w:t>
      </w:r>
      <w:r>
        <w:rPr>
          <w:rFonts w:ascii="Arial" w:cs="Arial" w:eastAsia="Arial" w:hAnsi="Arial"/>
          <w:sz w:val="16"/>
          <w:szCs w:val="16"/>
          <w:i w:val="1"/>
          <w:iCs w:val="1"/>
          <w:color w:val="auto"/>
        </w:rPr>
        <w:t>Charters</w:t>
      </w:r>
      <w:r>
        <w:rPr>
          <w:rFonts w:ascii="Arial" w:cs="Arial" w:eastAsia="Arial" w:hAnsi="Arial"/>
          <w:sz w:val="16"/>
          <w:szCs w:val="16"/>
          <w:color w:val="auto"/>
        </w:rPr>
        <w:t>) and unless an Event of Default has occurred and is continuing, each Owner shall be entitled, with prior notice to the Agent, to terminate or rescind any Charter Document or withdraw the Ship from service under the Charter or take any similar 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42"/>
        </w:trPr>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26.4</w:t>
            </w:r>
          </w:p>
        </w:tc>
        <w:tc>
          <w:tcPr>
            <w:tcW w:w="11000" w:type="dxa"/>
            <w:vAlign w:val="bottom"/>
          </w:tcPr>
          <w:p>
            <w:pPr>
              <w:ind w:left="100"/>
              <w:spacing w:after="0"/>
              <w:rPr>
                <w:sz w:val="20"/>
                <w:szCs w:val="20"/>
                <w:color w:val="auto"/>
              </w:rPr>
            </w:pPr>
            <w:r>
              <w:rPr>
                <w:rFonts w:ascii="Arial" w:cs="Arial" w:eastAsia="Arial" w:hAnsi="Arial"/>
                <w:sz w:val="18"/>
                <w:szCs w:val="18"/>
                <w:b w:val="1"/>
                <w:bCs w:val="1"/>
                <w:color w:val="auto"/>
              </w:rPr>
              <w:t>Charter performance</w:t>
            </w:r>
          </w:p>
        </w:tc>
      </w:tr>
      <w:tr>
        <w:trPr>
          <w:trHeight w:val="426"/>
        </w:trPr>
        <w:tc>
          <w:tcPr>
            <w:tcW w:w="440" w:type="dxa"/>
            <w:vAlign w:val="bottom"/>
          </w:tcPr>
          <w:p>
            <w:pPr>
              <w:spacing w:after="0"/>
              <w:rPr>
                <w:sz w:val="24"/>
                <w:szCs w:val="24"/>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88"/>
              </w:rPr>
              <w:t>The relevant Owner shall perform its obligations under the Charter Documents and use its reasonable endeavours to ensure that each other party to them</w:t>
            </w:r>
          </w:p>
        </w:tc>
      </w:tr>
      <w:tr>
        <w:trPr>
          <w:trHeight w:val="222"/>
        </w:trPr>
        <w:tc>
          <w:tcPr>
            <w:tcW w:w="440" w:type="dxa"/>
            <w:vAlign w:val="bottom"/>
          </w:tcPr>
          <w:p>
            <w:pPr>
              <w:spacing w:after="0"/>
              <w:rPr>
                <w:sz w:val="19"/>
                <w:szCs w:val="19"/>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rPr>
              <w:t>performs their obligations under the Charter Documents.</w:t>
            </w:r>
          </w:p>
        </w:tc>
      </w:tr>
      <w:tr>
        <w:trPr>
          <w:trHeight w:val="459"/>
        </w:trPr>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26.5</w:t>
            </w:r>
          </w:p>
        </w:tc>
        <w:tc>
          <w:tcPr>
            <w:tcW w:w="11000" w:type="dxa"/>
            <w:vAlign w:val="bottom"/>
          </w:tcPr>
          <w:p>
            <w:pPr>
              <w:ind w:left="100"/>
              <w:spacing w:after="0"/>
              <w:rPr>
                <w:sz w:val="20"/>
                <w:szCs w:val="20"/>
                <w:color w:val="auto"/>
              </w:rPr>
            </w:pPr>
            <w:r>
              <w:rPr>
                <w:rFonts w:ascii="Arial" w:cs="Arial" w:eastAsia="Arial" w:hAnsi="Arial"/>
                <w:sz w:val="18"/>
                <w:szCs w:val="18"/>
                <w:b w:val="1"/>
                <w:bCs w:val="1"/>
                <w:color w:val="auto"/>
              </w:rPr>
              <w:t>Notice of assignment</w:t>
            </w:r>
          </w:p>
        </w:tc>
      </w:tr>
      <w:tr>
        <w:trPr>
          <w:trHeight w:val="426"/>
        </w:trPr>
        <w:tc>
          <w:tcPr>
            <w:tcW w:w="440" w:type="dxa"/>
            <w:vAlign w:val="bottom"/>
          </w:tcPr>
          <w:p>
            <w:pPr>
              <w:spacing w:after="0"/>
              <w:rPr>
                <w:sz w:val="24"/>
                <w:szCs w:val="24"/>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2"/>
              </w:rPr>
              <w:t>The relevant Owner shall give notice of assignment of the Charter Documents to the other parties to such documents promptly upon execution of the</w:t>
            </w:r>
          </w:p>
        </w:tc>
      </w:tr>
      <w:tr>
        <w:trPr>
          <w:trHeight w:val="216"/>
        </w:trPr>
        <w:tc>
          <w:tcPr>
            <w:tcW w:w="440" w:type="dxa"/>
            <w:vAlign w:val="bottom"/>
          </w:tcPr>
          <w:p>
            <w:pPr>
              <w:spacing w:after="0"/>
              <w:rPr>
                <w:sz w:val="18"/>
                <w:szCs w:val="18"/>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88"/>
              </w:rPr>
              <w:t>relevant Charter Assignment in the form specified by the relevant Charter Assignment for that Ship and shall ensure that the Agent receives a copy of that</w:t>
            </w:r>
          </w:p>
        </w:tc>
      </w:tr>
      <w:tr>
        <w:trPr>
          <w:trHeight w:val="216"/>
        </w:trPr>
        <w:tc>
          <w:tcPr>
            <w:tcW w:w="440" w:type="dxa"/>
            <w:vAlign w:val="bottom"/>
          </w:tcPr>
          <w:p>
            <w:pPr>
              <w:spacing w:after="0"/>
              <w:rPr>
                <w:sz w:val="18"/>
                <w:szCs w:val="18"/>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87"/>
              </w:rPr>
              <w:t>notice acknowledged by each addressee in the form specified therein and any relevant Quiet Enjoyment Agreement as soon as practically possible after the</w:t>
            </w:r>
          </w:p>
        </w:tc>
      </w:tr>
      <w:tr>
        <w:trPr>
          <w:trHeight w:val="216"/>
        </w:trPr>
        <w:tc>
          <w:tcPr>
            <w:tcW w:w="440" w:type="dxa"/>
            <w:vAlign w:val="bottom"/>
          </w:tcPr>
          <w:p>
            <w:pPr>
              <w:spacing w:after="0"/>
              <w:rPr>
                <w:sz w:val="18"/>
                <w:szCs w:val="18"/>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0"/>
              </w:rPr>
              <w:t>relevant Charter Assignment has been executed by the Security Agent and any relevant counterparty to such documents, and in any event at the times</w:t>
            </w:r>
          </w:p>
        </w:tc>
      </w:tr>
      <w:tr>
        <w:trPr>
          <w:trHeight w:val="222"/>
        </w:trPr>
        <w:tc>
          <w:tcPr>
            <w:tcW w:w="440" w:type="dxa"/>
            <w:vAlign w:val="bottom"/>
          </w:tcPr>
          <w:p>
            <w:pPr>
              <w:spacing w:after="0"/>
              <w:rPr>
                <w:sz w:val="19"/>
                <w:szCs w:val="19"/>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0"/>
              </w:rPr>
              <w:t>required under clause 4.1 (</w:t>
            </w:r>
            <w:r>
              <w:rPr>
                <w:rFonts w:ascii="Arial" w:cs="Arial" w:eastAsia="Arial" w:hAnsi="Arial"/>
                <w:sz w:val="18"/>
                <w:szCs w:val="18"/>
                <w:i w:val="1"/>
                <w:iCs w:val="1"/>
                <w:color w:val="auto"/>
                <w:w w:val="90"/>
              </w:rPr>
              <w:t>Conditions precedent to first Utilisation and to each further Utilisations</w:t>
            </w:r>
            <w:r>
              <w:rPr>
                <w:rFonts w:ascii="Arial" w:cs="Arial" w:eastAsia="Arial" w:hAnsi="Arial"/>
                <w:sz w:val="18"/>
                <w:szCs w:val="18"/>
                <w:color w:val="auto"/>
                <w:w w:val="90"/>
              </w:rPr>
              <w:t>) and Schedule 3 (</w:t>
            </w:r>
            <w:r>
              <w:rPr>
                <w:rFonts w:ascii="Arial" w:cs="Arial" w:eastAsia="Arial" w:hAnsi="Arial"/>
                <w:sz w:val="18"/>
                <w:szCs w:val="18"/>
                <w:i w:val="1"/>
                <w:iCs w:val="1"/>
                <w:color w:val="auto"/>
                <w:w w:val="90"/>
              </w:rPr>
              <w:t>Conditions precedent</w:t>
            </w:r>
            <w:r>
              <w:rPr>
                <w:rFonts w:ascii="Arial" w:cs="Arial" w:eastAsia="Arial" w:hAnsi="Arial"/>
                <w:sz w:val="18"/>
                <w:szCs w:val="18"/>
                <w:color w:val="auto"/>
                <w:w w:val="90"/>
              </w:rPr>
              <w:t>) as applicable.</w:t>
            </w:r>
          </w:p>
        </w:tc>
      </w:tr>
      <w:tr>
        <w:trPr>
          <w:trHeight w:val="446"/>
        </w:trPr>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26.6</w:t>
            </w:r>
          </w:p>
        </w:tc>
        <w:tc>
          <w:tcPr>
            <w:tcW w:w="11000" w:type="dxa"/>
            <w:vAlign w:val="bottom"/>
          </w:tcPr>
          <w:p>
            <w:pPr>
              <w:ind w:left="100"/>
              <w:spacing w:after="0"/>
              <w:rPr>
                <w:sz w:val="20"/>
                <w:szCs w:val="20"/>
                <w:color w:val="auto"/>
              </w:rPr>
            </w:pPr>
            <w:r>
              <w:rPr>
                <w:rFonts w:ascii="Arial" w:cs="Arial" w:eastAsia="Arial" w:hAnsi="Arial"/>
                <w:sz w:val="18"/>
                <w:szCs w:val="18"/>
                <w:b w:val="1"/>
                <w:bCs w:val="1"/>
                <w:color w:val="auto"/>
              </w:rPr>
              <w:t>Payment of Charter Earnings</w:t>
            </w:r>
          </w:p>
        </w:tc>
      </w:tr>
      <w:tr>
        <w:trPr>
          <w:trHeight w:val="426"/>
        </w:trPr>
        <w:tc>
          <w:tcPr>
            <w:tcW w:w="440" w:type="dxa"/>
            <w:vAlign w:val="bottom"/>
          </w:tcPr>
          <w:p>
            <w:pPr>
              <w:spacing w:after="0"/>
              <w:rPr>
                <w:sz w:val="24"/>
                <w:szCs w:val="24"/>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1"/>
              </w:rPr>
              <w:t>All Earnings which the relevant Owner is entitled to receive under the Charter Documents shall be paid into the relevant Owner's Earnings Account or,</w:t>
            </w:r>
          </w:p>
        </w:tc>
      </w:tr>
      <w:tr>
        <w:trPr>
          <w:trHeight w:val="222"/>
        </w:trPr>
        <w:tc>
          <w:tcPr>
            <w:tcW w:w="440" w:type="dxa"/>
            <w:vAlign w:val="bottom"/>
          </w:tcPr>
          <w:p>
            <w:pPr>
              <w:spacing w:after="0"/>
              <w:rPr>
                <w:sz w:val="19"/>
                <w:szCs w:val="19"/>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rPr>
              <w:t>following an Event of Default, in the manner required by the Security Documents.</w:t>
            </w:r>
          </w:p>
        </w:tc>
      </w:tr>
      <w:tr>
        <w:trPr>
          <w:trHeight w:val="445"/>
        </w:trPr>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26.7</w:t>
            </w:r>
          </w:p>
        </w:tc>
        <w:tc>
          <w:tcPr>
            <w:tcW w:w="11000" w:type="dxa"/>
            <w:vAlign w:val="bottom"/>
          </w:tcPr>
          <w:p>
            <w:pPr>
              <w:ind w:left="100"/>
              <w:spacing w:after="0"/>
              <w:rPr>
                <w:sz w:val="20"/>
                <w:szCs w:val="20"/>
                <w:color w:val="auto"/>
              </w:rPr>
            </w:pPr>
            <w:r>
              <w:rPr>
                <w:rFonts w:ascii="Arial" w:cs="Arial" w:eastAsia="Arial" w:hAnsi="Arial"/>
                <w:sz w:val="18"/>
                <w:szCs w:val="18"/>
                <w:b w:val="1"/>
                <w:bCs w:val="1"/>
                <w:color w:val="auto"/>
              </w:rPr>
              <w:t>[Not used]</w:t>
            </w:r>
          </w:p>
        </w:tc>
      </w:tr>
      <w:tr>
        <w:trPr>
          <w:trHeight w:val="459"/>
        </w:trPr>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26.8</w:t>
            </w:r>
          </w:p>
        </w:tc>
        <w:tc>
          <w:tcPr>
            <w:tcW w:w="11000" w:type="dxa"/>
            <w:vAlign w:val="bottom"/>
          </w:tcPr>
          <w:p>
            <w:pPr>
              <w:ind w:left="100"/>
              <w:spacing w:after="0"/>
              <w:rPr>
                <w:sz w:val="20"/>
                <w:szCs w:val="20"/>
                <w:color w:val="auto"/>
              </w:rPr>
            </w:pPr>
            <w:r>
              <w:rPr>
                <w:rFonts w:ascii="Arial" w:cs="Arial" w:eastAsia="Arial" w:hAnsi="Arial"/>
                <w:sz w:val="18"/>
                <w:szCs w:val="18"/>
                <w:b w:val="1"/>
                <w:bCs w:val="1"/>
                <w:color w:val="auto"/>
              </w:rPr>
              <w:t>Quiet Enjoyment</w:t>
            </w:r>
          </w:p>
        </w:tc>
      </w:tr>
      <w:tr>
        <w:trPr>
          <w:trHeight w:val="426"/>
        </w:trPr>
        <w:tc>
          <w:tcPr>
            <w:tcW w:w="440" w:type="dxa"/>
            <w:vAlign w:val="bottom"/>
          </w:tcPr>
          <w:p>
            <w:pPr>
              <w:spacing w:after="0"/>
              <w:rPr>
                <w:sz w:val="24"/>
                <w:szCs w:val="24"/>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1"/>
              </w:rPr>
              <w:t xml:space="preserve">If required by the charterer of a replacement charter commitment referred to in clause 29.21(b) </w:t>
            </w:r>
            <w:r>
              <w:rPr>
                <w:rFonts w:ascii="Arial" w:cs="Arial" w:eastAsia="Arial" w:hAnsi="Arial"/>
                <w:sz w:val="18"/>
                <w:szCs w:val="18"/>
                <w:i w:val="1"/>
                <w:iCs w:val="1"/>
                <w:color w:val="auto"/>
                <w:w w:val="91"/>
              </w:rPr>
              <w:t>(Charters)</w:t>
            </w:r>
            <w:r>
              <w:rPr>
                <w:rFonts w:ascii="Arial" w:cs="Arial" w:eastAsia="Arial" w:hAnsi="Arial"/>
                <w:sz w:val="18"/>
                <w:szCs w:val="18"/>
                <w:color w:val="auto"/>
                <w:w w:val="91"/>
              </w:rPr>
              <w:t xml:space="preserve"> as a condition to entering into the same, the</w:t>
            </w:r>
          </w:p>
        </w:tc>
      </w:tr>
      <w:tr>
        <w:trPr>
          <w:trHeight w:val="216"/>
        </w:trPr>
        <w:tc>
          <w:tcPr>
            <w:tcW w:w="440" w:type="dxa"/>
            <w:vAlign w:val="bottom"/>
          </w:tcPr>
          <w:p>
            <w:pPr>
              <w:spacing w:after="0"/>
              <w:rPr>
                <w:sz w:val="18"/>
                <w:szCs w:val="18"/>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w w:val="90"/>
              </w:rPr>
              <w:t>Lenders agree to instruct the Security Agent to enter into a quiet enjoyment agreement with such charterer on substantially the same terms as the Quiet</w:t>
            </w:r>
          </w:p>
        </w:tc>
      </w:tr>
      <w:tr>
        <w:trPr>
          <w:trHeight w:val="222"/>
        </w:trPr>
        <w:tc>
          <w:tcPr>
            <w:tcW w:w="440" w:type="dxa"/>
            <w:vAlign w:val="bottom"/>
          </w:tcPr>
          <w:p>
            <w:pPr>
              <w:spacing w:after="0"/>
              <w:rPr>
                <w:sz w:val="19"/>
                <w:szCs w:val="19"/>
                <w:color w:val="auto"/>
              </w:rPr>
            </w:pPr>
          </w:p>
        </w:tc>
        <w:tc>
          <w:tcPr>
            <w:tcW w:w="11000" w:type="dxa"/>
            <w:vAlign w:val="bottom"/>
          </w:tcPr>
          <w:p>
            <w:pPr>
              <w:ind w:left="100"/>
              <w:spacing w:after="0"/>
              <w:rPr>
                <w:sz w:val="20"/>
                <w:szCs w:val="20"/>
                <w:color w:val="auto"/>
              </w:rPr>
            </w:pPr>
            <w:r>
              <w:rPr>
                <w:rFonts w:ascii="Arial" w:cs="Arial" w:eastAsia="Arial" w:hAnsi="Arial"/>
                <w:sz w:val="18"/>
                <w:szCs w:val="18"/>
                <w:color w:val="auto"/>
              </w:rPr>
              <w:t>Enjoyment Agreements in respect of any such replacement charter commitment.</w:t>
            </w:r>
          </w:p>
        </w:tc>
      </w:tr>
    </w:tbl>
    <w:p>
      <w:pPr>
        <w:spacing w:after="0" w:line="217" w:lineRule="exact"/>
        <w:rPr>
          <w:sz w:val="20"/>
          <w:szCs w:val="20"/>
          <w:color w:val="auto"/>
        </w:rPr>
      </w:pPr>
    </w:p>
    <w:p>
      <w:pPr>
        <w:ind w:left="540" w:hanging="532"/>
        <w:spacing w:after="0"/>
        <w:tabs>
          <w:tab w:leader="none" w:pos="5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27 will be complied with throughout the Facility Period.</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5"/>
          <w:szCs w:val="15"/>
          <w:b w:val="1"/>
          <w:bCs w:val="1"/>
          <w:color w:val="auto"/>
        </w:rPr>
        <w:t>Earnings Accounts</w:t>
      </w:r>
    </w:p>
    <w:p>
      <w:pPr>
        <w:spacing w:after="0" w:line="200" w:lineRule="exact"/>
        <w:rPr>
          <w:sz w:val="20"/>
          <w:szCs w:val="20"/>
          <w:color w:val="auto"/>
        </w:rPr>
      </w:pPr>
    </w:p>
    <w:p>
      <w:pPr>
        <w:spacing w:after="0" w:line="282" w:lineRule="exact"/>
        <w:rPr>
          <w:sz w:val="20"/>
          <w:szCs w:val="20"/>
          <w:color w:val="auto"/>
        </w:rPr>
      </w:pPr>
    </w:p>
    <w:p>
      <w:pPr>
        <w:ind w:left="1080" w:hanging="532"/>
        <w:spacing w:after="0" w:line="275" w:lineRule="auto"/>
        <w:tabs>
          <w:tab w:leader="none" w:pos="10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93"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Earnings of the Mortgaged Ships and all moneys payable to the relevant Owner under the Ship's Insurances shall be paid by the persons from whom they are due to an Earnings Account unless required to be paid to the Security Agent under the relevant Finance Documents.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relevant Account Holder(s) shall not withdraw amounts standing to the credit of an Earnings Account except as permitted by clause 27.1(d).</w:t>
      </w:r>
    </w:p>
    <w:p>
      <w:pPr>
        <w:spacing w:after="0" w:line="275" w:lineRule="exact"/>
        <w:rPr>
          <w:rFonts w:ascii="Arial" w:cs="Arial" w:eastAsia="Arial" w:hAnsi="Arial"/>
          <w:sz w:val="16"/>
          <w:szCs w:val="16"/>
          <w:color w:val="auto"/>
        </w:rPr>
      </w:pPr>
    </w:p>
    <w:p>
      <w:pPr>
        <w:ind w:left="1080" w:right="500" w:hanging="532"/>
        <w:spacing w:after="0" w:line="331" w:lineRule="auto"/>
        <w:tabs>
          <w:tab w:leader="none" w:pos="10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If there is no Event of Default which is continuing, amounts standing to the credit of the Earnings Accounts shall be at the free disposal of the relevant Account Holder(s) and the relevant Account Holder(s) may withdraw moneys from an Earnings Account for any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308" w:name="page309"/>
    <w:bookmarkEnd w:id="308"/>
    <w:p>
      <w:pPr>
        <w:ind w:left="1080" w:right="180"/>
        <w:spacing w:after="0" w:line="268" w:lineRule="auto"/>
        <w:rPr>
          <w:sz w:val="20"/>
          <w:szCs w:val="20"/>
          <w:color w:val="auto"/>
        </w:rPr>
      </w:pPr>
      <w:r>
        <w:rPr>
          <w:rFonts w:ascii="Arial" w:cs="Arial" w:eastAsia="Arial" w:hAnsi="Arial"/>
          <w:sz w:val="18"/>
          <w:szCs w:val="18"/>
          <w:color w:val="auto"/>
        </w:rPr>
        <w:t>purpose whatsoever which is permitted (or not prohibited) by the terms of this Agreement and the Finance Documents and for as long as any such withdrawal will not result in the Borrowers being in breach of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99" w:lineRule="exact"/>
        <w:rPr>
          <w:sz w:val="20"/>
          <w:szCs w:val="20"/>
          <w:color w:val="auto"/>
        </w:rPr>
      </w:pPr>
    </w:p>
    <w:p>
      <w:pPr>
        <w:ind w:left="1080" w:hanging="532"/>
        <w:spacing w:after="0"/>
        <w:tabs>
          <w:tab w:leader="none" w:pos="108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Owners may place sums standing to the credit of their Earnings Accounts on deposit for a fixed period of up to three (3) months.</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b w:val="1"/>
          <w:bCs w:val="1"/>
          <w:color w:val="auto"/>
        </w:rPr>
        <w:t>Cash Collateral Account</w:t>
      </w:r>
    </w:p>
    <w:p>
      <w:pPr>
        <w:spacing w:after="0" w:line="200" w:lineRule="exact"/>
        <w:rPr>
          <w:sz w:val="20"/>
          <w:szCs w:val="20"/>
          <w:color w:val="auto"/>
        </w:rPr>
      </w:pPr>
    </w:p>
    <w:p>
      <w:pPr>
        <w:spacing w:after="0" w:line="288" w:lineRule="exact"/>
        <w:rPr>
          <w:sz w:val="20"/>
          <w:szCs w:val="20"/>
          <w:color w:val="auto"/>
        </w:rPr>
      </w:pPr>
    </w:p>
    <w:p>
      <w:pPr>
        <w:ind w:left="1080" w:right="240" w:hanging="532"/>
        <w:spacing w:after="0" w:line="369" w:lineRule="auto"/>
        <w:tabs>
          <w:tab w:leader="none" w:pos="108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xml:space="preserve">To the extent the Borrowers elect to provide additional cash collateral pursuant to clause 29.21(a)(ii) (Charters), each relevant Owner shall be the holder of one or more Accounts with an Account Bank which is designated as a </w:t>
      </w:r>
      <w:r>
        <w:rPr>
          <w:rFonts w:ascii="Arial" w:cs="Arial" w:eastAsia="Arial" w:hAnsi="Arial"/>
          <w:sz w:val="15"/>
          <w:szCs w:val="15"/>
          <w:b w:val="1"/>
          <w:bCs w:val="1"/>
          <w:color w:val="auto"/>
        </w:rPr>
        <w:t>Cash Collateral Account</w:t>
      </w:r>
      <w:r>
        <w:rPr>
          <w:rFonts w:ascii="Arial" w:cs="Arial" w:eastAsia="Arial" w:hAnsi="Arial"/>
          <w:sz w:val="15"/>
          <w:szCs w:val="15"/>
          <w:color w:val="auto"/>
        </w:rPr>
        <w:t xml:space="preserve"> for the purposes of this Agreement.</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amounts due under clause 29.21(a)(ii) (</w:t>
      </w:r>
      <w:r>
        <w:rPr>
          <w:rFonts w:ascii="Arial" w:cs="Arial" w:eastAsia="Arial" w:hAnsi="Arial"/>
          <w:sz w:val="18"/>
          <w:szCs w:val="18"/>
          <w:i w:val="1"/>
          <w:iCs w:val="1"/>
          <w:color w:val="auto"/>
        </w:rPr>
        <w:t>Charters</w:t>
      </w:r>
      <w:r>
        <w:rPr>
          <w:rFonts w:ascii="Arial" w:cs="Arial" w:eastAsia="Arial" w:hAnsi="Arial"/>
          <w:sz w:val="18"/>
          <w:szCs w:val="18"/>
          <w:color w:val="auto"/>
        </w:rPr>
        <w:t>) will be paid into the relevant Cash Collateral Account.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relevant Account Holder(s) shall not, without approval, withdraw amounts standing to the credit of a Cash Collateral Account.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5"/>
          <w:szCs w:val="15"/>
          <w:b w:val="1"/>
          <w:bCs w:val="1"/>
          <w:color w:val="auto"/>
        </w:rPr>
        <w:t>Other provisions</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it is situated in London, England, in Oslo, Norway or in any other jurisdiction acceptable to the Lenders;</w:t>
      </w:r>
    </w:p>
    <w:p>
      <w:pPr>
        <w:spacing w:after="0" w:line="238" w:lineRule="exact"/>
        <w:rPr>
          <w:rFonts w:ascii="Arial" w:cs="Arial" w:eastAsia="Arial" w:hAnsi="Arial"/>
          <w:sz w:val="18"/>
          <w:szCs w:val="18"/>
          <w:color w:val="auto"/>
        </w:rPr>
      </w:pPr>
    </w:p>
    <w:p>
      <w:pPr>
        <w:ind w:left="1620" w:right="60" w:hanging="532"/>
        <w:spacing w:after="0" w:line="331" w:lineRule="auto"/>
        <w:tabs>
          <w:tab w:leader="none" w:pos="162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154" w:lineRule="exact"/>
        <w:rPr>
          <w:rFonts w:ascii="Arial" w:cs="Arial" w:eastAsia="Arial" w:hAnsi="Arial"/>
          <w:sz w:val="16"/>
          <w:szCs w:val="16"/>
          <w:color w:val="auto"/>
        </w:rPr>
      </w:pPr>
    </w:p>
    <w:p>
      <w:pPr>
        <w:ind w:left="1620" w:right="280" w:hanging="532"/>
        <w:spacing w:after="0" w:line="268" w:lineRule="auto"/>
        <w:tabs>
          <w:tab w:leader="none" w:pos="16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212"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99" w:lineRule="exact"/>
        <w:rPr>
          <w:rFonts w:ascii="Arial" w:cs="Arial" w:eastAsia="Arial" w:hAnsi="Arial"/>
          <w:sz w:val="18"/>
          <w:szCs w:val="18"/>
          <w:color w:val="auto"/>
        </w:rPr>
      </w:pPr>
    </w:p>
    <w:p>
      <w:pPr>
        <w:jc w:val="both"/>
        <w:ind w:left="1620" w:right="100" w:hanging="532"/>
        <w:spacing w:after="0" w:line="259" w:lineRule="auto"/>
        <w:tabs>
          <w:tab w:leader="none" w:pos="16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xml:space="preserve"> in relation to the Account and the relevant Account Security.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(subject to clause 27.1(e) (</w:t>
      </w:r>
      <w:r>
        <w:rPr>
          <w:rFonts w:ascii="Arial" w:cs="Arial" w:eastAsia="Arial" w:hAnsi="Arial"/>
          <w:sz w:val="16"/>
          <w:szCs w:val="16"/>
          <w:i w:val="1"/>
          <w:iCs w:val="1"/>
          <w:color w:val="auto"/>
        </w:rPr>
        <w:t>Earnings Accounts</w:t>
      </w:r>
      <w:r>
        <w:rPr>
          <w:rFonts w:ascii="Arial" w:cs="Arial" w:eastAsia="Arial" w:hAnsi="Arial"/>
          <w:sz w:val="16"/>
          <w:szCs w:val="16"/>
          <w:color w:val="auto"/>
        </w:rPr>
        <w:t>)) until the relevant Account Security has become enforceable and the Security Agent directs otherwise.</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99" w:lineRule="exact"/>
        <w:rPr>
          <w:rFonts w:ascii="Arial" w:cs="Arial" w:eastAsia="Arial" w:hAnsi="Arial"/>
          <w:sz w:val="18"/>
          <w:szCs w:val="18"/>
          <w:color w:val="auto"/>
        </w:rPr>
      </w:pPr>
    </w:p>
    <w:p>
      <w:pPr>
        <w:ind w:left="1080" w:right="560" w:hanging="532"/>
        <w:spacing w:after="0" w:line="331" w:lineRule="auto"/>
        <w:tabs>
          <w:tab w:leader="none" w:pos="10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09" w:name="page310"/>
    <w:bookmarkEnd w:id="309"/>
    <w:p>
      <w:pPr>
        <w:ind w:left="1080"/>
        <w:spacing w:after="0"/>
        <w:rPr>
          <w:sz w:val="20"/>
          <w:szCs w:val="20"/>
          <w:color w:val="auto"/>
        </w:rPr>
      </w:pPr>
      <w:r>
        <w:rPr>
          <w:rFonts w:ascii="Arial" w:cs="Arial" w:eastAsia="Arial" w:hAnsi="Arial"/>
          <w:sz w:val="18"/>
          <w:szCs w:val="18"/>
          <w:color w:val="auto"/>
        </w:rPr>
        <w:t>other party and provide the Agent with any other information it may request concerning any Account.</w:t>
      </w:r>
    </w:p>
    <w:p>
      <w:pPr>
        <w:spacing w:after="0" w:line="239" w:lineRule="exact"/>
        <w:rPr>
          <w:sz w:val="20"/>
          <w:szCs w:val="20"/>
          <w:color w:val="auto"/>
        </w:rPr>
      </w:pPr>
    </w:p>
    <w:p>
      <w:pPr>
        <w:ind w:left="1080" w:right="20" w:hanging="532"/>
        <w:spacing w:after="0" w:line="306" w:lineRule="auto"/>
        <w:tabs>
          <w:tab w:leader="none" w:pos="108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87"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Borrowers shall, within 18 months from the date of this Agreement, make best efforts to migrate all Accounts opened or to be opened in accordance with this clause 27 (</w:t>
      </w:r>
      <w:r>
        <w:rPr>
          <w:rFonts w:ascii="Arial" w:cs="Arial" w:eastAsia="Arial" w:hAnsi="Arial"/>
          <w:sz w:val="18"/>
          <w:szCs w:val="18"/>
          <w:i w:val="1"/>
          <w:iCs w:val="1"/>
          <w:color w:val="auto"/>
        </w:rPr>
        <w:t>Bank accounts</w:t>
      </w:r>
      <w:r>
        <w:rPr>
          <w:rFonts w:ascii="Arial" w:cs="Arial" w:eastAsia="Arial" w:hAnsi="Arial"/>
          <w:sz w:val="18"/>
          <w:szCs w:val="18"/>
          <w:color w:val="auto"/>
        </w:rPr>
        <w:t>) from Citibank N.A. to one of the Arrangers (or an Affiliate thereof) and Citibank, N.A. (and its Affiliates) shall cease to be an Account Bank from the date that migration is complete.</w:t>
      </w:r>
    </w:p>
    <w:p>
      <w:pPr>
        <w:spacing w:after="0" w:line="200" w:lineRule="exact"/>
        <w:rPr>
          <w:sz w:val="20"/>
          <w:szCs w:val="20"/>
          <w:color w:val="auto"/>
        </w:rPr>
      </w:pPr>
    </w:p>
    <w:p>
      <w:pPr>
        <w:spacing w:after="0" w:line="217" w:lineRule="exact"/>
        <w:rPr>
          <w:sz w:val="20"/>
          <w:szCs w:val="20"/>
          <w:color w:val="auto"/>
        </w:rPr>
      </w:pPr>
    </w:p>
    <w:p>
      <w:pPr>
        <w:ind w:left="540" w:hanging="532"/>
        <w:spacing w:after="0"/>
        <w:tabs>
          <w:tab w:leader="none" w:pos="5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restrictions</w:t>
      </w:r>
    </w:p>
    <w:p>
      <w:pPr>
        <w:spacing w:after="0" w:line="231" w:lineRule="exact"/>
        <w:rPr>
          <w:rFonts w:ascii="Arial" w:cs="Arial" w:eastAsia="Arial" w:hAnsi="Arial"/>
          <w:sz w:val="18"/>
          <w:szCs w:val="18"/>
          <w:b w:val="1"/>
          <w:bCs w:val="1"/>
          <w:color w:val="auto"/>
        </w:rPr>
      </w:pPr>
    </w:p>
    <w:p>
      <w:pPr>
        <w:ind w:left="54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to which each of the provisions below is expressed to apply.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5"/>
          <w:szCs w:val="15"/>
          <w:b w:val="1"/>
          <w:bCs w:val="1"/>
          <w:color w:val="auto"/>
        </w:rPr>
        <w:t>General negative pledge</w:t>
      </w:r>
    </w:p>
    <w:p>
      <w:pPr>
        <w:spacing w:after="0" w:line="200" w:lineRule="exact"/>
        <w:rPr>
          <w:sz w:val="20"/>
          <w:szCs w:val="20"/>
          <w:color w:val="auto"/>
        </w:rPr>
      </w:pPr>
    </w:p>
    <w:p>
      <w:pPr>
        <w:spacing w:after="0" w:line="282" w:lineRule="exact"/>
        <w:rPr>
          <w:sz w:val="20"/>
          <w:szCs w:val="20"/>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w:t>
      </w:r>
    </w:p>
    <w:p>
      <w:pPr>
        <w:spacing w:after="0" w:line="244"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no Borrower shall: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620" w:right="560" w:hanging="532"/>
        <w:spacing w:after="0" w:line="268" w:lineRule="auto"/>
        <w:tabs>
          <w:tab w:leader="none" w:pos="16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99" w:lineRule="exact"/>
        <w:rPr>
          <w:rFonts w:ascii="Arial" w:cs="Arial" w:eastAsia="Arial" w:hAnsi="Arial"/>
          <w:sz w:val="18"/>
          <w:szCs w:val="18"/>
          <w:color w:val="auto"/>
        </w:rPr>
      </w:pPr>
    </w:p>
    <w:p>
      <w:pPr>
        <w:ind w:left="1620" w:right="640" w:hanging="532"/>
        <w:spacing w:after="0" w:line="268" w:lineRule="auto"/>
        <w:tabs>
          <w:tab w:leader="none" w:pos="16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00" w:lineRule="exact"/>
        <w:rPr>
          <w:sz w:val="20"/>
          <w:szCs w:val="20"/>
          <w:color w:val="auto"/>
        </w:rPr>
      </w:pPr>
    </w:p>
    <w:p>
      <w:pPr>
        <w:spacing w:after="0" w:line="282"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99" w:lineRule="exact"/>
        <w:rPr>
          <w:sz w:val="20"/>
          <w:szCs w:val="20"/>
          <w:color w:val="auto"/>
        </w:rPr>
      </w:pPr>
    </w:p>
    <w:p>
      <w:pPr>
        <w:ind w:left="1080" w:hanging="532"/>
        <w:spacing w:after="0"/>
        <w:tabs>
          <w:tab w:leader="none" w:pos="10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 and</w:t>
      </w:r>
    </w:p>
    <w:p>
      <w:pPr>
        <w:spacing w:after="0" w:line="25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those granted in connection with the Existing Indebtedness until the Existing Indebtedness is refinanced in full and in any event not later than the first Utilisation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10" w:name="page311"/>
    <w:bookmarkEnd w:id="310"/>
    <w:p>
      <w:pPr>
        <w:spacing w:after="0"/>
        <w:tabs>
          <w:tab w:leader="none" w:pos="52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Financial Indebtedness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252" w:lineRule="exact"/>
        <w:rPr>
          <w:sz w:val="20"/>
          <w:szCs w:val="20"/>
          <w:color w:val="auto"/>
        </w:rPr>
      </w:pPr>
    </w:p>
    <w:p>
      <w:pPr>
        <w:ind w:left="1080" w:hanging="532"/>
        <w:spacing w:after="0"/>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Financial Indebtedness owed to another Obligor (provided that any such Financial Indebtedness owed by an Owner is unsecured and is subordinated to the Finance Documents on terms approved by the Majority Lenders and which (for the avoidance of doubt) will include provisions restricting any payments being made in relation to such Financial Indebtedness whilst an Event of Default is continuing);</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the Existing Indebtedness until such Existing Indebtedness is refinanced in full and in any event not later than the first Utilisation Date.</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Guarantees</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213" w:lineRule="exact"/>
        <w:rPr>
          <w:sz w:val="20"/>
          <w:szCs w:val="20"/>
          <w:color w:val="auto"/>
        </w:rPr>
      </w:pPr>
    </w:p>
    <w:p>
      <w:pPr>
        <w:ind w:left="1080" w:hanging="532"/>
        <w:spacing w:after="0"/>
        <w:tabs>
          <w:tab w:leader="none" w:pos="10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Loans and credit</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239" w:lineRule="exact"/>
        <w:rPr>
          <w:sz w:val="20"/>
          <w:szCs w:val="20"/>
          <w:color w:val="auto"/>
        </w:rPr>
      </w:pPr>
    </w:p>
    <w:p>
      <w:pPr>
        <w:ind w:left="1080" w:hanging="532"/>
        <w:spacing w:after="0"/>
        <w:tabs>
          <w:tab w:leader="none" w:pos="10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Bank accounts, operating leases and other financial transactions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w:t>
      </w:r>
    </w:p>
    <w:p>
      <w:pPr>
        <w:spacing w:after="0" w:line="239" w:lineRule="exact"/>
        <w:rPr>
          <w:sz w:val="20"/>
          <w:szCs w:val="20"/>
          <w:color w:val="auto"/>
        </w:rPr>
      </w:pPr>
    </w:p>
    <w:p>
      <w:pPr>
        <w:ind w:left="1080" w:right="220" w:hanging="532"/>
        <w:spacing w:after="0" w:line="306" w:lineRule="auto"/>
        <w:tabs>
          <w:tab w:leader="none" w:pos="108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maintain any current or deposit account with a bank or financial institution except for the Accounts (or any dormant accounts opened prior to this Agreement in connection with the Existing Indebtedness and until their gradual closure following the first Utilisation) and the deposit of money, operation of current accounts and the conduct of electronic banking operations through the Accounts;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11" w:name="page312"/>
    <w:bookmarkEnd w:id="311"/>
    <w:p>
      <w:pPr>
        <w:ind w:left="1080" w:hanging="532"/>
        <w:spacing w:after="0"/>
        <w:tabs>
          <w:tab w:leader="none" w:pos="108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be party to any banking or financial transaction, whether on or off balance sheet, that is not expressly permitted under this clause 28.</w:t>
      </w:r>
    </w:p>
    <w:p>
      <w:pPr>
        <w:spacing w:after="0" w:line="200" w:lineRule="exact"/>
        <w:rPr>
          <w:sz w:val="20"/>
          <w:szCs w:val="20"/>
          <w:color w:val="auto"/>
        </w:rPr>
      </w:pP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Disposals</w:t>
      </w:r>
    </w:p>
    <w:p>
      <w:pPr>
        <w:spacing w:after="0" w:line="258"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54" w:lineRule="exact"/>
        <w:rPr>
          <w:sz w:val="20"/>
          <w:szCs w:val="20"/>
          <w:color w:val="auto"/>
        </w:rPr>
      </w:pPr>
    </w:p>
    <w:p>
      <w:pPr>
        <w:ind w:left="1080" w:hanging="532"/>
        <w:spacing w:after="0"/>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disposals permitted by clauses 28.1 (</w:t>
      </w:r>
      <w:r>
        <w:rPr>
          <w:rFonts w:ascii="Arial" w:cs="Arial" w:eastAsia="Arial" w:hAnsi="Arial"/>
          <w:sz w:val="18"/>
          <w:szCs w:val="18"/>
          <w:i w:val="1"/>
          <w:iCs w:val="1"/>
          <w:color w:val="auto"/>
        </w:rPr>
        <w:t>General negative pledge</w:t>
      </w:r>
      <w:r>
        <w:rPr>
          <w:rFonts w:ascii="Arial" w:cs="Arial" w:eastAsia="Arial" w:hAnsi="Arial"/>
          <w:sz w:val="18"/>
          <w:szCs w:val="18"/>
          <w:color w:val="auto"/>
        </w:rPr>
        <w:t>),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22.2 (</w:t>
      </w:r>
      <w:r>
        <w:rPr>
          <w:rFonts w:ascii="Arial" w:cs="Arial" w:eastAsia="Arial" w:hAnsi="Arial"/>
          <w:sz w:val="18"/>
          <w:szCs w:val="18"/>
          <w:i w:val="1"/>
          <w:iCs w:val="1"/>
          <w:color w:val="auto"/>
        </w:rPr>
        <w:t>Sale or other disposal of a Ship; refinancing</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5"/>
          <w:szCs w:val="15"/>
          <w:b w:val="1"/>
          <w:bCs w:val="1"/>
          <w:color w:val="auto"/>
        </w:rPr>
        <w:t>Contracts and arrangements with Affiliates</w:t>
      </w:r>
    </w:p>
    <w:p>
      <w:pPr>
        <w:spacing w:after="0" w:line="245" w:lineRule="exact"/>
        <w:rPr>
          <w:sz w:val="20"/>
          <w:szCs w:val="20"/>
          <w:color w:val="auto"/>
        </w:rPr>
      </w:pPr>
    </w:p>
    <w:p>
      <w:pPr>
        <w:ind w:left="540" w:right="460"/>
        <w:spacing w:after="0" w:line="331" w:lineRule="auto"/>
        <w:rPr>
          <w:sz w:val="20"/>
          <w:szCs w:val="20"/>
          <w:color w:val="auto"/>
        </w:rPr>
      </w:pPr>
      <w:r>
        <w:rPr>
          <w:rFonts w:ascii="Arial" w:cs="Arial" w:eastAsia="Arial" w:hAnsi="Arial"/>
          <w:sz w:val="16"/>
          <w:szCs w:val="16"/>
          <w:color w:val="auto"/>
        </w:rPr>
        <w:t>No Borrower shall be party to any arrangement or contract with any of its Affiliates (other than in respect of intra-Group loans, to the extent expressly permitted by the other provisions of this clause 28 (</w:t>
      </w:r>
      <w:r>
        <w:rPr>
          <w:rFonts w:ascii="Arial" w:cs="Arial" w:eastAsia="Arial" w:hAnsi="Arial"/>
          <w:sz w:val="16"/>
          <w:szCs w:val="16"/>
          <w:i w:val="1"/>
          <w:iCs w:val="1"/>
          <w:color w:val="auto"/>
        </w:rPr>
        <w:t>Business restrictions</w:t>
      </w:r>
      <w:r>
        <w:rPr>
          <w:rFonts w:ascii="Arial" w:cs="Arial" w:eastAsia="Arial" w:hAnsi="Arial"/>
          <w:sz w:val="16"/>
          <w:szCs w:val="16"/>
          <w:color w:val="auto"/>
        </w:rPr>
        <w:t>)) unless such arrangement or contract is on an arm's length basis.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color w:val="auto"/>
        </w:rPr>
        <w:t>Subsidiaries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5"/>
          <w:szCs w:val="15"/>
          <w:b w:val="1"/>
          <w:bCs w:val="1"/>
          <w:color w:val="auto"/>
        </w:rPr>
        <w:t>Acquisitions and investments</w:t>
      </w:r>
    </w:p>
    <w:p>
      <w:pPr>
        <w:spacing w:after="0" w:line="245"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99" w:lineRule="exact"/>
        <w:rPr>
          <w:sz w:val="20"/>
          <w:szCs w:val="20"/>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5"/>
          <w:szCs w:val="15"/>
          <w:b w:val="1"/>
          <w:bCs w:val="1"/>
          <w:color w:val="auto"/>
        </w:rPr>
        <w:t>Reduction of capital</w:t>
      </w:r>
    </w:p>
    <w:p>
      <w:pPr>
        <w:spacing w:after="0" w:line="24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12" w:name="page313"/>
    <w:bookmarkEnd w:id="312"/>
    <w:p>
      <w:pPr>
        <w:spacing w:after="0"/>
        <w:tabs>
          <w:tab w:leader="none" w:pos="520" w:val="left"/>
        </w:tabs>
        <w:rPr>
          <w:sz w:val="20"/>
          <w:szCs w:val="20"/>
          <w:color w:val="auto"/>
        </w:rPr>
      </w:pPr>
      <w:r>
        <w:rPr>
          <w:rFonts w:ascii="Arial" w:cs="Arial" w:eastAsia="Arial" w:hAnsi="Arial"/>
          <w:sz w:val="18"/>
          <w:szCs w:val="18"/>
          <w:b w:val="1"/>
          <w:bCs w:val="1"/>
          <w:color w:val="auto"/>
        </w:rPr>
        <w:t>28.11</w:t>
      </w:r>
      <w:r>
        <w:rPr>
          <w:sz w:val="20"/>
          <w:szCs w:val="20"/>
          <w:color w:val="auto"/>
        </w:rPr>
        <w:tab/>
      </w:r>
      <w:r>
        <w:rPr>
          <w:rFonts w:ascii="Arial" w:cs="Arial" w:eastAsia="Arial" w:hAnsi="Arial"/>
          <w:sz w:val="15"/>
          <w:szCs w:val="15"/>
          <w:b w:val="1"/>
          <w:bCs w:val="1"/>
          <w:color w:val="auto"/>
        </w:rPr>
        <w:t>Distributions and other payments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 of the Obligors shall:</w:t>
      </w:r>
    </w:p>
    <w:p>
      <w:pPr>
        <w:spacing w:after="0" w:line="252" w:lineRule="exact"/>
        <w:rPr>
          <w:sz w:val="20"/>
          <w:szCs w:val="20"/>
          <w:color w:val="auto"/>
        </w:rPr>
      </w:pPr>
    </w:p>
    <w:p>
      <w:pPr>
        <w:ind w:left="1080" w:right="400" w:hanging="532"/>
        <w:spacing w:after="0" w:line="259" w:lineRule="auto"/>
        <w:tabs>
          <w:tab w:leader="none" w:pos="10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86"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except if no Event of Default is continuing at the time of the declaration or payment of any such dividend, distribution or other payment, nor would result from the declaration or payment of the same and such a dividend, distribution and payment is declared and made.</w:t>
      </w:r>
    </w:p>
    <w:p>
      <w:pPr>
        <w:spacing w:after="0" w:line="193" w:lineRule="exact"/>
        <w:rPr>
          <w:sz w:val="20"/>
          <w:szCs w:val="20"/>
          <w:color w:val="auto"/>
        </w:rPr>
      </w:pPr>
    </w:p>
    <w:p>
      <w:pPr>
        <w:ind w:left="540" w:hanging="532"/>
        <w:spacing w:after="0"/>
        <w:tabs>
          <w:tab w:leader="none" w:pos="5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Each of the events or circumstances set out in clauses 29.1 (</w:t>
      </w:r>
      <w:r>
        <w:rPr>
          <w:rFonts w:ascii="Arial" w:cs="Arial" w:eastAsia="Arial" w:hAnsi="Arial"/>
          <w:sz w:val="16"/>
          <w:szCs w:val="16"/>
          <w:i w:val="1"/>
          <w:iCs w:val="1"/>
          <w:color w:val="auto"/>
        </w:rPr>
        <w:t>Non-payment</w:t>
      </w:r>
      <w:r>
        <w:rPr>
          <w:rFonts w:ascii="Arial" w:cs="Arial" w:eastAsia="Arial" w:hAnsi="Arial"/>
          <w:sz w:val="16"/>
          <w:szCs w:val="16"/>
          <w:color w:val="auto"/>
        </w:rPr>
        <w:t>) to 29.22 (</w:t>
      </w:r>
      <w:r>
        <w:rPr>
          <w:rFonts w:ascii="Arial" w:cs="Arial" w:eastAsia="Arial" w:hAnsi="Arial"/>
          <w:sz w:val="16"/>
          <w:szCs w:val="16"/>
          <w:i w:val="1"/>
          <w:iCs w:val="1"/>
          <w:color w:val="auto"/>
        </w:rPr>
        <w:t>Legal and beneficial ownership</w:t>
      </w:r>
      <w:r>
        <w:rPr>
          <w:rFonts w:ascii="Arial" w:cs="Arial" w:eastAsia="Arial" w:hAnsi="Arial"/>
          <w:sz w:val="16"/>
          <w:szCs w:val="16"/>
          <w:color w:val="auto"/>
        </w:rPr>
        <w:t>) is an Event of Default.</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Non-payment</w:t>
      </w:r>
    </w:p>
    <w:p>
      <w:pPr>
        <w:spacing w:after="0" w:line="258"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and such payment is made within three (3) Business Days of the due date.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5"/>
          <w:szCs w:val="15"/>
          <w:b w:val="1"/>
          <w:bCs w:val="1"/>
          <w:color w:val="auto"/>
        </w:rPr>
        <w:t>Financial covenants; liquidity</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Obligors do not comply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5"/>
          <w:szCs w:val="15"/>
          <w:b w:val="1"/>
          <w:bCs w:val="1"/>
          <w:color w:val="auto"/>
        </w:rPr>
        <w:t>Value of security</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do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Insurance</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19"/>
        </w:numPr>
        <w:rPr>
          <w:rFonts w:ascii="Arial" w:cs="Arial" w:eastAsia="Arial" w:hAnsi="Arial"/>
          <w:sz w:val="15"/>
          <w:szCs w:val="15"/>
          <w:color w:val="auto"/>
        </w:rPr>
      </w:pPr>
      <w:r>
        <w:rPr>
          <w:rFonts w:ascii="Arial" w:cs="Arial" w:eastAsia="Arial" w:hAnsi="Arial"/>
          <w:sz w:val="15"/>
          <w:szCs w:val="15"/>
          <w:color w:val="auto"/>
        </w:rPr>
        <w:t>cancels any such Insurances and such Insurances are not immediately replaced by the Borrowers to the full satisfaction of all the Lenders; or</w:t>
      </w:r>
    </w:p>
    <w:p>
      <w:pPr>
        <w:spacing w:after="0" w:line="286" w:lineRule="exact"/>
        <w:rPr>
          <w:rFonts w:ascii="Arial" w:cs="Arial" w:eastAsia="Arial" w:hAnsi="Arial"/>
          <w:sz w:val="15"/>
          <w:szCs w:val="15"/>
          <w:color w:val="auto"/>
        </w:rPr>
      </w:pPr>
    </w:p>
    <w:p>
      <w:pPr>
        <w:ind w:left="1620" w:hanging="532"/>
        <w:spacing w:after="0"/>
        <w:tabs>
          <w:tab w:leader="none" w:pos="16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5"/>
          <w:szCs w:val="15"/>
          <w:b w:val="1"/>
          <w:bCs w:val="1"/>
          <w:color w:val="auto"/>
        </w:rPr>
        <w:t>Other obligations</w:t>
      </w:r>
    </w:p>
    <w:p>
      <w:pPr>
        <w:spacing w:after="0" w:line="200" w:lineRule="exact"/>
        <w:rPr>
          <w:sz w:val="20"/>
          <w:szCs w:val="20"/>
          <w:color w:val="auto"/>
        </w:rPr>
      </w:pPr>
    </w:p>
    <w:p>
      <w:pPr>
        <w:spacing w:after="0" w:line="288" w:lineRule="exact"/>
        <w:rPr>
          <w:sz w:val="20"/>
          <w:szCs w:val="20"/>
          <w:color w:val="auto"/>
        </w:rPr>
      </w:pPr>
    </w:p>
    <w:p>
      <w:pPr>
        <w:ind w:left="5700" w:right="1620" w:hanging="5152"/>
        <w:spacing w:after="0" w:line="518" w:lineRule="auto"/>
        <w:tabs>
          <w:tab w:leader="none" w:pos="109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4187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313" w:name="page314"/>
    <w:bookmarkEnd w:id="313"/>
    <w:p>
      <w:pPr>
        <w:ind w:left="1620" w:right="200" w:hanging="532"/>
        <w:spacing w:after="0" w:line="268" w:lineRule="auto"/>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those referred to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29.2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29.3 (</w:t>
      </w:r>
      <w:r>
        <w:rPr>
          <w:rFonts w:ascii="Arial" w:cs="Arial" w:eastAsia="Arial" w:hAnsi="Arial"/>
          <w:sz w:val="18"/>
          <w:szCs w:val="18"/>
          <w:i w:val="1"/>
          <w:iCs w:val="1"/>
          <w:color w:val="auto"/>
        </w:rPr>
        <w:t>Value of security</w:t>
      </w:r>
      <w:r>
        <w:rPr>
          <w:rFonts w:ascii="Arial" w:cs="Arial" w:eastAsia="Arial" w:hAnsi="Arial"/>
          <w:sz w:val="18"/>
          <w:szCs w:val="18"/>
          <w:color w:val="auto"/>
        </w:rPr>
        <w:t>) and 29.4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29);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those of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both"/>
        <w:ind w:left="1080" w:hanging="532"/>
        <w:spacing w:after="0" w:line="285" w:lineRule="auto"/>
        <w:tabs>
          <w:tab w:leader="none" w:pos="10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No Event of Default under clause 29.5(a) above will occur if the Agent (acting on the instructions of the Majority Lenders) considers that the failure to comply is capable of remedy and the failure is remedied within twenty (20) days of the earlier of (A) the Agent giving notice to the Borrowers and</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any of the Borrowers becoming aware of the failure to comply.</w:t>
      </w:r>
    </w:p>
    <w:p>
      <w:pPr>
        <w:spacing w:after="0" w:line="200" w:lineRule="exact"/>
        <w:rPr>
          <w:sz w:val="20"/>
          <w:szCs w:val="20"/>
          <w:color w:val="auto"/>
        </w:rPr>
      </w:pP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Misrepresentation</w:t>
      </w:r>
    </w:p>
    <w:p>
      <w:pPr>
        <w:spacing w:after="0" w:line="245" w:lineRule="exact"/>
        <w:rPr>
          <w:sz w:val="20"/>
          <w:szCs w:val="20"/>
          <w:color w:val="auto"/>
        </w:rPr>
      </w:pPr>
    </w:p>
    <w:p>
      <w:pPr>
        <w:ind w:left="540" w:right="220"/>
        <w:spacing w:after="0" w:line="298" w:lineRule="auto"/>
        <w:rPr>
          <w:sz w:val="20"/>
          <w:szCs w:val="20"/>
          <w:color w:val="auto"/>
        </w:rPr>
      </w:pPr>
      <w:r>
        <w:rPr>
          <w:rFonts w:ascii="Arial" w:cs="Arial" w:eastAsia="Arial" w:hAnsi="Arial"/>
          <w:sz w:val="16"/>
          <w:szCs w:val="16"/>
          <w:color w:val="auto"/>
        </w:rPr>
        <w:t>Any representation or statement made or deemed to be made by an Obligor in the Finance Documents or any other document delivered by or on behalf of any Obligor under or in connection with any Finance Document (excluding the representations under clause 18.32 (</w:t>
      </w:r>
      <w:r>
        <w:rPr>
          <w:rFonts w:ascii="Arial" w:cs="Arial" w:eastAsia="Arial" w:hAnsi="Arial"/>
          <w:sz w:val="16"/>
          <w:szCs w:val="16"/>
          <w:i w:val="1"/>
          <w:iCs w:val="1"/>
          <w:color w:val="auto"/>
        </w:rPr>
        <w:t>Sanctions</w:t>
      </w:r>
      <w:r>
        <w:rPr>
          <w:rFonts w:ascii="Arial" w:cs="Arial" w:eastAsia="Arial" w:hAnsi="Arial"/>
          <w:sz w:val="16"/>
          <w:szCs w:val="16"/>
          <w:color w:val="auto"/>
        </w:rPr>
        <w:t>)) is or proves to have been incorrect or misleading when made or deemed to be made, unless the same is capable of remedy and is remedied within twenty (20) days of the earlier of (a) the Agent giving notice to the Borrowers and (b) any of the Borrowers becoming aware of the same.</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5"/>
          <w:szCs w:val="15"/>
          <w:b w:val="1"/>
          <w:bCs w:val="1"/>
          <w:color w:val="auto"/>
        </w:rPr>
        <w:t>Cross default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Financial Indebtedness of any Obligor is not paid when due nor within any originally applicable grace period.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Financial Indebtedness of any Obligor is declared to be or otherwise becomes due and payable prior to its specified maturity as a result of an event of default (however described).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is cancelled or suspended by a creditor of that Obligor as a result of an event of default (however described).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becomes entitled to terminate that Treasury Transaction early by reason of an event of default (however described).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29.7 if the aggregate amount of Financial Indebtedness or commitment for Financial Indebtedness falling within clauses 29.7(a) to 29.7(e) above is: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5"/>
          <w:szCs w:val="15"/>
          <w:b w:val="1"/>
          <w:bCs w:val="1"/>
          <w:color w:val="auto"/>
        </w:rPr>
        <w:t>Insolvency</w:t>
      </w:r>
    </w:p>
    <w:p>
      <w:pPr>
        <w:spacing w:after="0" w:line="200" w:lineRule="exact"/>
        <w:rPr>
          <w:sz w:val="20"/>
          <w:szCs w:val="20"/>
          <w:color w:val="auto"/>
        </w:rPr>
      </w:pPr>
    </w:p>
    <w:p>
      <w:pPr>
        <w:spacing w:after="0" w:line="288" w:lineRule="exact"/>
        <w:rPr>
          <w:sz w:val="20"/>
          <w:szCs w:val="20"/>
          <w:color w:val="auto"/>
        </w:rPr>
      </w:pPr>
    </w:p>
    <w:p>
      <w:pPr>
        <w:ind w:left="1080" w:right="520" w:hanging="532"/>
        <w:spacing w:after="0" w:line="268" w:lineRule="auto"/>
        <w:tabs>
          <w:tab w:leader="none" w:pos="10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 Obligor is unable or admits inability to pay its debts as they fall due, suspends making payments on any of its debts or, by reason of actual financial difficulties, commences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14" w:name="page315"/>
    <w:bookmarkEnd w:id="314"/>
    <w:p>
      <w:pPr>
        <w:ind w:left="1080"/>
        <w:spacing w:after="0"/>
        <w:rPr>
          <w:sz w:val="20"/>
          <w:szCs w:val="20"/>
          <w:color w:val="auto"/>
        </w:rPr>
      </w:pPr>
      <w:r>
        <w:rPr>
          <w:rFonts w:ascii="Arial" w:cs="Arial" w:eastAsia="Arial" w:hAnsi="Arial"/>
          <w:sz w:val="18"/>
          <w:szCs w:val="18"/>
          <w:color w:val="auto"/>
        </w:rPr>
        <w:t>negotiations with one or more of its creditors with a view to rescheduling any of its indebtedness.</w:t>
      </w:r>
    </w:p>
    <w:p>
      <w:pPr>
        <w:spacing w:after="0" w:line="239" w:lineRule="exact"/>
        <w:rPr>
          <w:sz w:val="20"/>
          <w:szCs w:val="20"/>
          <w:color w:val="auto"/>
        </w:rPr>
      </w:pPr>
    </w:p>
    <w:p>
      <w:pPr>
        <w:ind w:left="1080" w:hanging="532"/>
        <w:spacing w:after="0"/>
        <w:tabs>
          <w:tab w:leader="none" w:pos="10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value of the assets of any Obligor is less than its liabilities (taking into account contingent and prospective liabilities).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5"/>
          <w:szCs w:val="15"/>
          <w:b w:val="1"/>
          <w:bCs w:val="1"/>
          <w:color w:val="auto"/>
        </w:rPr>
        <w:t>Insolvency proceedings</w:t>
      </w:r>
    </w:p>
    <w:p>
      <w:pPr>
        <w:spacing w:after="0" w:line="200" w:lineRule="exact"/>
        <w:rPr>
          <w:sz w:val="20"/>
          <w:szCs w:val="20"/>
          <w:color w:val="auto"/>
        </w:rPr>
      </w:pPr>
    </w:p>
    <w:p>
      <w:pPr>
        <w:spacing w:after="0" w:line="274" w:lineRule="exact"/>
        <w:rPr>
          <w:sz w:val="20"/>
          <w:szCs w:val="20"/>
          <w:color w:val="auto"/>
        </w:rPr>
      </w:pPr>
    </w:p>
    <w:p>
      <w:pPr>
        <w:ind w:left="1080" w:hanging="532"/>
        <w:spacing w:after="0"/>
        <w:tabs>
          <w:tab w:leader="none" w:pos="10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620" w:hanging="532"/>
        <w:spacing w:after="0" w:line="268" w:lineRule="auto"/>
        <w:tabs>
          <w:tab w:leader="none" w:pos="16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238"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any Obligor requesting a person to appoint any such officer in relation to it or any of its assets); or</w:t>
      </w:r>
    </w:p>
    <w:p>
      <w:pPr>
        <w:spacing w:after="0" w:line="220" w:lineRule="exact"/>
        <w:rPr>
          <w:rFonts w:ascii="Arial" w:cs="Arial" w:eastAsia="Arial" w:hAnsi="Arial"/>
          <w:sz w:val="18"/>
          <w:szCs w:val="18"/>
          <w:color w:val="auto"/>
        </w:rPr>
      </w:pPr>
    </w:p>
    <w:p>
      <w:pPr>
        <w:ind w:left="1620" w:right="5140" w:hanging="532"/>
        <w:spacing w:after="0" w:line="601" w:lineRule="auto"/>
        <w:tabs>
          <w:tab w:leader="none" w:pos="1620" w:val="left"/>
        </w:tabs>
        <w:numPr>
          <w:ilvl w:val="1"/>
          <w:numId w:val="426"/>
        </w:numPr>
        <w:rPr>
          <w:rFonts w:ascii="Arial" w:cs="Arial" w:eastAsia="Arial" w:hAnsi="Arial"/>
          <w:sz w:val="15"/>
          <w:szCs w:val="15"/>
          <w:color w:val="auto"/>
        </w:rPr>
      </w:pPr>
      <w:r>
        <w:rPr>
          <w:rFonts w:ascii="Arial" w:cs="Arial" w:eastAsia="Arial" w:hAnsi="Arial"/>
          <w:sz w:val="15"/>
          <w:szCs w:val="15"/>
          <w:color w:val="auto"/>
        </w:rPr>
        <w:t>enforcement of any Security Interest over any assets of any Obligor, or any analogous procedure or step is taken in any jurisdiction.</w:t>
      </w:r>
    </w:p>
    <w:p>
      <w:pPr>
        <w:spacing w:after="0" w:line="13"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Clause 29.9(a) shall not apply to any winding-up petition (or analogous procedure or step) which is frivolous or vexatious and is discharged, stayed or dismissed within fifteen (15) days of commencement or, if earlier, the date on which it is advertised.</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29.10</w:t>
      </w:r>
      <w:r>
        <w:rPr>
          <w:sz w:val="20"/>
          <w:szCs w:val="20"/>
          <w:color w:val="auto"/>
        </w:rPr>
        <w:tab/>
      </w:r>
      <w:r>
        <w:rPr>
          <w:rFonts w:ascii="Arial" w:cs="Arial" w:eastAsia="Arial" w:hAnsi="Arial"/>
          <w:sz w:val="15"/>
          <w:szCs w:val="15"/>
          <w:b w:val="1"/>
          <w:bCs w:val="1"/>
          <w:color w:val="auto"/>
        </w:rPr>
        <w:t>Creditors' process</w:t>
      </w:r>
    </w:p>
    <w:p>
      <w:pPr>
        <w:spacing w:after="0" w:line="200" w:lineRule="exact"/>
        <w:rPr>
          <w:sz w:val="20"/>
          <w:szCs w:val="20"/>
          <w:color w:val="auto"/>
        </w:rPr>
      </w:pPr>
    </w:p>
    <w:p>
      <w:pPr>
        <w:spacing w:after="0" w:line="288" w:lineRule="exact"/>
        <w:rPr>
          <w:sz w:val="20"/>
          <w:szCs w:val="20"/>
          <w:color w:val="auto"/>
        </w:rPr>
      </w:pPr>
    </w:p>
    <w:p>
      <w:pPr>
        <w:ind w:left="1080" w:right="240" w:hanging="532"/>
        <w:spacing w:after="0" w:line="306" w:lineRule="auto"/>
        <w:tabs>
          <w:tab w:leader="none" w:pos="10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Any expropriation, attachment, sequestration, execution or analogous process affects any asset or assets of any Obligor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73"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and is not stayed or complied with within thirty (30) days.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29.11</w:t>
      </w:r>
      <w:r>
        <w:rPr>
          <w:sz w:val="20"/>
          <w:szCs w:val="20"/>
          <w:color w:val="auto"/>
        </w:rPr>
        <w:tab/>
      </w:r>
      <w:r>
        <w:rPr>
          <w:rFonts w:ascii="Arial" w:cs="Arial" w:eastAsia="Arial" w:hAnsi="Arial"/>
          <w:sz w:val="16"/>
          <w:szCs w:val="16"/>
          <w:b w:val="1"/>
          <w:bCs w:val="1"/>
          <w:color w:val="auto"/>
        </w:rPr>
        <w:t>Unlawfulness and invalidity</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68" w:lineRule="auto"/>
        <w:tabs>
          <w:tab w:leader="none" w:pos="1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15" w:name="page316"/>
    <w:bookmarkEnd w:id="315"/>
    <w:p>
      <w:pPr>
        <w:ind w:left="1080" w:right="40" w:hanging="532"/>
        <w:spacing w:after="0" w:line="268" w:lineRule="auto"/>
        <w:tabs>
          <w:tab w:leader="none" w:pos="10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29.12</w:t>
      </w:r>
      <w:r>
        <w:rPr>
          <w:sz w:val="20"/>
          <w:szCs w:val="20"/>
          <w:color w:val="auto"/>
        </w:rPr>
        <w:tab/>
      </w:r>
      <w:r>
        <w:rPr>
          <w:rFonts w:ascii="Arial" w:cs="Arial" w:eastAsia="Arial" w:hAnsi="Arial"/>
          <w:sz w:val="14"/>
          <w:szCs w:val="14"/>
          <w:b w:val="1"/>
          <w:bCs w:val="1"/>
          <w:color w:val="auto"/>
        </w:rPr>
        <w:t>Cessation of business</w:t>
      </w:r>
    </w:p>
    <w:p>
      <w:pPr>
        <w:spacing w:after="0" w:line="245" w:lineRule="exact"/>
        <w:rPr>
          <w:sz w:val="20"/>
          <w:szCs w:val="20"/>
          <w:color w:val="auto"/>
        </w:rPr>
      </w:pPr>
    </w:p>
    <w:p>
      <w:pPr>
        <w:ind w:left="540" w:right="520"/>
        <w:spacing w:after="0" w:line="331" w:lineRule="auto"/>
        <w:rPr>
          <w:sz w:val="20"/>
          <w:szCs w:val="20"/>
          <w:color w:val="auto"/>
        </w:rPr>
      </w:pPr>
      <w:r>
        <w:rPr>
          <w:rFonts w:ascii="Arial" w:cs="Arial" w:eastAsia="Arial" w:hAnsi="Arial"/>
          <w:sz w:val="16"/>
          <w:szCs w:val="16"/>
          <w:color w:val="auto"/>
        </w:rPr>
        <w:t>Any Obligor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29.13</w:t>
      </w:r>
      <w:r>
        <w:rPr>
          <w:sz w:val="20"/>
          <w:szCs w:val="20"/>
          <w:color w:val="auto"/>
        </w:rPr>
        <w:tab/>
      </w:r>
      <w:r>
        <w:rPr>
          <w:rFonts w:ascii="Arial" w:cs="Arial" w:eastAsia="Arial" w:hAnsi="Arial"/>
          <w:sz w:val="16"/>
          <w:szCs w:val="16"/>
          <w:b w:val="1"/>
          <w:bCs w:val="1"/>
          <w:color w:val="auto"/>
        </w:rPr>
        <w:t>Expropriation</w:t>
      </w:r>
    </w:p>
    <w:p>
      <w:pPr>
        <w:spacing w:after="0" w:line="2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29.14</w:t>
      </w:r>
      <w:r>
        <w:rPr>
          <w:sz w:val="20"/>
          <w:szCs w:val="20"/>
          <w:color w:val="auto"/>
        </w:rPr>
        <w:tab/>
      </w:r>
      <w:r>
        <w:rPr>
          <w:rFonts w:ascii="Arial" w:cs="Arial" w:eastAsia="Arial" w:hAnsi="Arial"/>
          <w:sz w:val="15"/>
          <w:szCs w:val="15"/>
          <w:b w:val="1"/>
          <w:bCs w:val="1"/>
          <w:color w:val="auto"/>
        </w:rPr>
        <w:t>Repudiation and rescission of Finance Documents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Obligor repudiates a Finance Document.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29.15</w:t>
      </w:r>
      <w:r>
        <w:rPr>
          <w:sz w:val="20"/>
          <w:szCs w:val="20"/>
          <w:color w:val="auto"/>
        </w:rPr>
        <w:tab/>
      </w:r>
      <w:r>
        <w:rPr>
          <w:rFonts w:ascii="Arial" w:cs="Arial" w:eastAsia="Arial" w:hAnsi="Arial"/>
          <w:sz w:val="16"/>
          <w:szCs w:val="16"/>
          <w:b w:val="1"/>
          <w:bCs w:val="1"/>
          <w:color w:val="auto"/>
        </w:rPr>
        <w:t>Litigation</w:t>
      </w:r>
    </w:p>
    <w:p>
      <w:pPr>
        <w:spacing w:after="0" w:line="245"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29.16</w:t>
      </w:r>
      <w:r>
        <w:rPr>
          <w:sz w:val="20"/>
          <w:szCs w:val="20"/>
          <w:color w:val="auto"/>
        </w:rPr>
        <w:tab/>
      </w:r>
      <w:r>
        <w:rPr>
          <w:rFonts w:ascii="Arial" w:cs="Arial" w:eastAsia="Arial" w:hAnsi="Arial"/>
          <w:sz w:val="16"/>
          <w:szCs w:val="16"/>
          <w:b w:val="1"/>
          <w:bCs w:val="1"/>
          <w:color w:val="auto"/>
        </w:rPr>
        <w:t>Material Adverse Effect</w:t>
      </w:r>
    </w:p>
    <w:p>
      <w:pPr>
        <w:spacing w:after="0" w:line="24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29.17</w:t>
      </w:r>
      <w:r>
        <w:rPr>
          <w:sz w:val="20"/>
          <w:szCs w:val="20"/>
          <w:color w:val="auto"/>
        </w:rPr>
        <w:tab/>
      </w:r>
      <w:r>
        <w:rPr>
          <w:rFonts w:ascii="Arial" w:cs="Arial" w:eastAsia="Arial" w:hAnsi="Arial"/>
          <w:sz w:val="15"/>
          <w:szCs w:val="15"/>
          <w:b w:val="1"/>
          <w:bCs w:val="1"/>
          <w:color w:val="auto"/>
        </w:rPr>
        <w:t>Security enforceable</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29.18</w:t>
      </w:r>
      <w:r>
        <w:rPr>
          <w:sz w:val="20"/>
          <w:szCs w:val="20"/>
          <w:color w:val="auto"/>
        </w:rPr>
        <w:tab/>
      </w:r>
      <w:r>
        <w:rPr>
          <w:rFonts w:ascii="Arial" w:cs="Arial" w:eastAsia="Arial" w:hAnsi="Arial"/>
          <w:sz w:val="16"/>
          <w:szCs w:val="16"/>
          <w:b w:val="1"/>
          <w:bCs w:val="1"/>
          <w:color w:val="auto"/>
        </w:rPr>
        <w:t>Arrest of Ship</w:t>
      </w:r>
    </w:p>
    <w:p>
      <w:pPr>
        <w:spacing w:after="0" w:line="24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29.19</w:t>
      </w:r>
      <w:r>
        <w:rPr>
          <w:sz w:val="20"/>
          <w:szCs w:val="20"/>
          <w:color w:val="auto"/>
        </w:rPr>
        <w:tab/>
      </w:r>
      <w:r>
        <w:rPr>
          <w:rFonts w:ascii="Arial" w:cs="Arial" w:eastAsia="Arial" w:hAnsi="Arial"/>
          <w:sz w:val="15"/>
          <w:szCs w:val="15"/>
          <w:b w:val="1"/>
          <w:bCs w:val="1"/>
          <w:color w:val="auto"/>
        </w:rPr>
        <w:t>Ship registration</w:t>
      </w:r>
    </w:p>
    <w:p>
      <w:pPr>
        <w:spacing w:after="0" w:line="24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Except with approval of the Majority Lenders,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16" w:name="page317"/>
    <w:bookmarkEnd w:id="316"/>
    <w:p>
      <w:pPr>
        <w:spacing w:after="0"/>
        <w:tabs>
          <w:tab w:leader="none" w:pos="520" w:val="left"/>
        </w:tabs>
        <w:rPr>
          <w:sz w:val="20"/>
          <w:szCs w:val="20"/>
          <w:color w:val="auto"/>
        </w:rPr>
      </w:pPr>
      <w:r>
        <w:rPr>
          <w:rFonts w:ascii="Arial" w:cs="Arial" w:eastAsia="Arial" w:hAnsi="Arial"/>
          <w:sz w:val="18"/>
          <w:szCs w:val="18"/>
          <w:b w:val="1"/>
          <w:bCs w:val="1"/>
          <w:color w:val="auto"/>
        </w:rPr>
        <w:t>29.20</w:t>
      </w:r>
      <w:r>
        <w:rPr>
          <w:sz w:val="20"/>
          <w:szCs w:val="20"/>
          <w:color w:val="auto"/>
        </w:rPr>
        <w:tab/>
      </w:r>
      <w:r>
        <w:rPr>
          <w:rFonts w:ascii="Arial" w:cs="Arial" w:eastAsia="Arial" w:hAnsi="Arial"/>
          <w:sz w:val="16"/>
          <w:szCs w:val="16"/>
          <w:b w:val="1"/>
          <w:bCs w:val="1"/>
          <w:color w:val="auto"/>
        </w:rPr>
        <w:t>Political risk</w:t>
      </w:r>
    </w:p>
    <w:p>
      <w:pPr>
        <w:spacing w:after="0" w:line="245" w:lineRule="exact"/>
        <w:rPr>
          <w:sz w:val="20"/>
          <w:szCs w:val="20"/>
          <w:color w:val="auto"/>
        </w:rPr>
      </w:pPr>
    </w:p>
    <w:p>
      <w:pPr>
        <w:jc w:val="both"/>
        <w:ind w:left="540" w:right="160"/>
        <w:spacing w:after="0" w:line="298" w:lineRule="auto"/>
        <w:rPr>
          <w:sz w:val="20"/>
          <w:szCs w:val="20"/>
          <w:color w:val="auto"/>
        </w:rPr>
      </w:pPr>
      <w:r>
        <w:rPr>
          <w:rFonts w:ascii="Arial" w:cs="Arial" w:eastAsia="Arial" w:hAnsi="Arial"/>
          <w:sz w:val="16"/>
          <w:szCs w:val="16"/>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29.21</w:t>
      </w:r>
      <w:r>
        <w:rPr>
          <w:sz w:val="20"/>
          <w:szCs w:val="20"/>
          <w:color w:val="auto"/>
        </w:rPr>
        <w:tab/>
      </w:r>
      <w:r>
        <w:rPr>
          <w:rFonts w:ascii="Arial" w:cs="Arial" w:eastAsia="Arial" w:hAnsi="Arial"/>
          <w:sz w:val="16"/>
          <w:szCs w:val="16"/>
          <w:b w:val="1"/>
          <w:bCs w:val="1"/>
          <w:color w:val="auto"/>
        </w:rPr>
        <w:t>Charters</w:t>
      </w:r>
    </w:p>
    <w:p>
      <w:pPr>
        <w:spacing w:after="0" w:line="258"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 xml:space="preserve">Except with approval of the Majority Lenders, a Charter of any Ship (which for the purposes of this clause 29.21 shall include any charter commitment that replaces a Charter pursuant to clause 29.21(b)) is terminated, cancelled or rescinded or (except as a result of the relevant Ship being a Total Loss) frustrated or any Ship is withdrawn from service under a Charter before the time that Charter was scheduled to expire (any such Ship, an </w:t>
      </w:r>
      <w:r>
        <w:rPr>
          <w:rFonts w:ascii="Arial" w:cs="Arial" w:eastAsia="Arial" w:hAnsi="Arial"/>
          <w:sz w:val="18"/>
          <w:szCs w:val="18"/>
          <w:b w:val="1"/>
          <w:bCs w:val="1"/>
          <w:color w:val="auto"/>
        </w:rPr>
        <w:t>Affected Ship</w:t>
      </w:r>
      <w:r>
        <w:rPr>
          <w:rFonts w:ascii="Arial" w:cs="Arial" w:eastAsia="Arial" w:hAnsi="Arial"/>
          <w:sz w:val="18"/>
          <w:szCs w:val="18"/>
          <w:color w:val="auto"/>
        </w:rPr>
        <w:t xml:space="preserve">),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however that </w:t>
      </w:r>
      <w:r>
        <w:rPr>
          <w:rFonts w:ascii="Arial" w:cs="Arial" w:eastAsia="Arial" w:hAnsi="Arial"/>
          <w:sz w:val="18"/>
          <w:szCs w:val="18"/>
          <w:color w:val="auto"/>
        </w:rPr>
        <w:t>no Event of Default shall occur under this clause 29.21 in relation to a Charter or Affected Ship, if the conditions under either paragraph (a) or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(b) below are satisfied in respect of that Charter or (as the case may be) Affected Ship within 90 days of such termination, cancellation, rescission, frustration or withdrawal either:</w:t>
      </w:r>
    </w:p>
    <w:p>
      <w:pPr>
        <w:spacing w:after="0" w:line="211" w:lineRule="exact"/>
        <w:rPr>
          <w:sz w:val="20"/>
          <w:szCs w:val="20"/>
          <w:color w:val="auto"/>
        </w:rPr>
      </w:pPr>
    </w:p>
    <w:p>
      <w:pPr>
        <w:ind w:left="1080" w:hanging="532"/>
        <w:spacing w:after="0"/>
        <w:tabs>
          <w:tab w:leader="none" w:pos="10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20" w:hanging="532"/>
        <w:spacing w:after="0" w:line="331" w:lineRule="auto"/>
        <w:tabs>
          <w:tab w:leader="none" w:pos="162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have prepaid the Revolving Loan Ship Tranche relevant to such Affected Ship under clause 7.4 (</w:t>
      </w:r>
      <w:r>
        <w:rPr>
          <w:rFonts w:ascii="Arial" w:cs="Arial" w:eastAsia="Arial" w:hAnsi="Arial"/>
          <w:sz w:val="16"/>
          <w:szCs w:val="16"/>
          <w:i w:val="1"/>
          <w:iCs w:val="1"/>
          <w:color w:val="auto"/>
        </w:rPr>
        <w:t>Voluntary prepayment</w:t>
      </w:r>
      <w:r>
        <w:rPr>
          <w:rFonts w:ascii="Arial" w:cs="Arial" w:eastAsia="Arial" w:hAnsi="Arial"/>
          <w:sz w:val="16"/>
          <w:szCs w:val="16"/>
          <w:color w:val="auto"/>
        </w:rPr>
        <w:t>) by an amount equal to the Affected Ship Prepayment Amount (but on three (3) Business Days' notice instead of the period required by such clause); or</w:t>
      </w:r>
    </w:p>
    <w:p>
      <w:pPr>
        <w:spacing w:after="0" w:line="167" w:lineRule="exact"/>
        <w:rPr>
          <w:rFonts w:ascii="Arial" w:cs="Arial" w:eastAsia="Arial" w:hAnsi="Arial"/>
          <w:sz w:val="16"/>
          <w:szCs w:val="16"/>
          <w:color w:val="auto"/>
        </w:rPr>
      </w:pPr>
    </w:p>
    <w:p>
      <w:pPr>
        <w:ind w:left="1620" w:right="320" w:hanging="532"/>
        <w:spacing w:after="0" w:line="268" w:lineRule="auto"/>
        <w:tabs>
          <w:tab w:leader="none" w:pos="16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have provided to the Finance Parties additional cash collateral in the form of pledged or charged dollar cash deposits in a Cash Collateral Account in an amount equal to the Affected Ship Prepayment Amount.</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For the purposes of this clause:</w:t>
      </w:r>
    </w:p>
    <w:p>
      <w:pPr>
        <w:spacing w:after="0" w:line="21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 xml:space="preserve">Affected Ship Prepayment Amount </w:t>
      </w:r>
      <w:r>
        <w:rPr>
          <w:rFonts w:ascii="Arial" w:cs="Arial" w:eastAsia="Arial" w:hAnsi="Arial"/>
          <w:sz w:val="18"/>
          <w:szCs w:val="18"/>
          <w:color w:val="auto"/>
        </w:rPr>
        <w:t>shall be an amount equal to the lesser of:</w:t>
      </w:r>
    </w:p>
    <w:p>
      <w:pPr>
        <w:spacing w:after="0" w:line="245" w:lineRule="exact"/>
        <w:rPr>
          <w:sz w:val="20"/>
          <w:szCs w:val="20"/>
          <w:color w:val="auto"/>
        </w:rPr>
      </w:pPr>
    </w:p>
    <w:p>
      <w:pPr>
        <w:ind w:left="2160" w:right="160" w:hanging="532"/>
        <w:spacing w:after="0" w:line="298" w:lineRule="auto"/>
        <w:tabs>
          <w:tab w:leader="none" w:pos="216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an amount which is sufficient to ensure that the ratio of the amount outstanding under the relevant Revolving Loan Ship Tranche of the Affected Ship over the Affected Ship's market value as determined in accordance with clause 25 (</w:t>
      </w:r>
      <w:r>
        <w:rPr>
          <w:rFonts w:ascii="Arial" w:cs="Arial" w:eastAsia="Arial" w:hAnsi="Arial"/>
          <w:sz w:val="16"/>
          <w:szCs w:val="16"/>
          <w:i w:val="1"/>
          <w:iCs w:val="1"/>
          <w:color w:val="auto"/>
        </w:rPr>
        <w:t>Minimum security value</w:t>
      </w:r>
      <w:r>
        <w:rPr>
          <w:rFonts w:ascii="Arial" w:cs="Arial" w:eastAsia="Arial" w:hAnsi="Arial"/>
          <w:sz w:val="16"/>
          <w:szCs w:val="16"/>
          <w:color w:val="auto"/>
        </w:rPr>
        <w:t>) by way of valuations which are not older than 90 days (together with any additional cash collateral) is (A) equal to or less than 55% in the case of each of Ship A, Ship B and Ship C and (B) equal to or less than 50% in the case of each of Ship D and Ship E; and</w:t>
      </w:r>
    </w:p>
    <w:p>
      <w:pPr>
        <w:spacing w:after="0" w:line="179" w:lineRule="exact"/>
        <w:rPr>
          <w:rFonts w:ascii="Arial" w:cs="Arial" w:eastAsia="Arial" w:hAnsi="Arial"/>
          <w:sz w:val="16"/>
          <w:szCs w:val="16"/>
          <w:color w:val="auto"/>
        </w:rPr>
      </w:pPr>
    </w:p>
    <w:p>
      <w:pPr>
        <w:ind w:left="2160" w:right="120" w:hanging="532"/>
        <w:spacing w:after="0" w:line="268" w:lineRule="auto"/>
        <w:tabs>
          <w:tab w:leader="none" w:pos="21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difference between the Contract Day Rate and the Prepayment Day Rate multiplied by the number of firm days of the remaining tenor of the Charter of the Affected Ship.</w:t>
      </w:r>
    </w:p>
    <w:p>
      <w:pPr>
        <w:spacing w:after="0" w:line="179" w:lineRule="exact"/>
        <w:rPr>
          <w:rFonts w:ascii="Arial" w:cs="Arial" w:eastAsia="Arial" w:hAnsi="Arial"/>
          <w:sz w:val="18"/>
          <w:szCs w:val="18"/>
          <w:color w:val="auto"/>
        </w:rPr>
      </w:pPr>
    </w:p>
    <w:p>
      <w:pPr>
        <w:ind w:left="2160" w:right="2220"/>
        <w:spacing w:after="0" w:line="504" w:lineRule="auto"/>
        <w:rPr>
          <w:rFonts w:ascii="Arial" w:cs="Arial" w:eastAsia="Arial" w:hAnsi="Arial"/>
          <w:sz w:val="18"/>
          <w:szCs w:val="18"/>
          <w:color w:val="auto"/>
        </w:rPr>
      </w:pPr>
      <w:r>
        <w:rPr>
          <w:rFonts w:ascii="Arial" w:cs="Arial" w:eastAsia="Arial" w:hAnsi="Arial"/>
          <w:sz w:val="18"/>
          <w:szCs w:val="18"/>
          <w:b w:val="1"/>
          <w:bCs w:val="1"/>
          <w:color w:val="auto"/>
        </w:rPr>
        <w:t xml:space="preserve">Contract Day Rate </w:t>
      </w:r>
      <w:r>
        <w:rPr>
          <w:rFonts w:ascii="Arial" w:cs="Arial" w:eastAsia="Arial" w:hAnsi="Arial"/>
          <w:sz w:val="18"/>
          <w:szCs w:val="18"/>
          <w:color w:val="auto"/>
        </w:rPr>
        <w:t>shall mean the applicable daily hire as set out in the Charter of the Affected Ship.</w:t>
      </w:r>
      <w:r>
        <w:rPr>
          <w:rFonts w:ascii="Arial" w:cs="Arial" w:eastAsia="Arial" w:hAnsi="Arial"/>
          <w:sz w:val="18"/>
          <w:szCs w:val="18"/>
          <w:b w:val="1"/>
          <w:bCs w:val="1"/>
          <w:color w:val="auto"/>
        </w:rPr>
        <w:t xml:space="preserve"> Prepayment Day Rate </w:t>
      </w:r>
      <w:r>
        <w:rPr>
          <w:rFonts w:ascii="Arial" w:cs="Arial" w:eastAsia="Arial" w:hAnsi="Arial"/>
          <w:sz w:val="18"/>
          <w:szCs w:val="18"/>
          <w:color w:val="auto"/>
        </w:rPr>
        <w:t>shall:</w:t>
      </w:r>
    </w:p>
    <w:p>
      <w:pPr>
        <w:spacing w:after="0" w:line="28" w:lineRule="exact"/>
        <w:rPr>
          <w:sz w:val="20"/>
          <w:szCs w:val="20"/>
          <w:color w:val="auto"/>
        </w:rPr>
      </w:pPr>
    </w:p>
    <w:p>
      <w:pPr>
        <w:ind w:left="5700" w:right="3500" w:hanging="4072"/>
        <w:spacing w:after="0" w:line="518" w:lineRule="auto"/>
        <w:tabs>
          <w:tab w:leader="none" w:pos="217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in the case of each of Ship A, Ship B and Ship C shall be an amount of $*****; and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4187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17" w:name="page318"/>
    <w:bookmarkEnd w:id="317"/>
    <w:p>
      <w:pPr>
        <w:ind w:left="2160" w:hanging="532"/>
        <w:spacing w:after="0"/>
        <w:tabs>
          <w:tab w:leader="none" w:pos="2160" w:val="left"/>
        </w:tabs>
        <w:numPr>
          <w:ilvl w:val="2"/>
          <w:numId w:val="433"/>
        </w:numPr>
        <w:rPr>
          <w:rFonts w:ascii="Arial" w:cs="Arial" w:eastAsia="Arial" w:hAnsi="Arial"/>
          <w:sz w:val="18"/>
          <w:szCs w:val="18"/>
          <w:color w:val="auto"/>
        </w:rPr>
      </w:pPr>
      <w:r>
        <w:rPr>
          <w:rFonts w:ascii="Arial" w:cs="Arial" w:eastAsia="Arial" w:hAnsi="Arial"/>
          <w:sz w:val="18"/>
          <w:szCs w:val="18"/>
          <w:color w:val="auto"/>
        </w:rPr>
        <w:t>in the case of each of Ship D and Ship E, shall be an amount of $*****;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relevant Owner has: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entered into a new charter commitment in respect of the Affected Ship which:</w:t>
      </w:r>
    </w:p>
    <w:p>
      <w:pPr>
        <w:spacing w:after="0" w:line="200" w:lineRule="exact"/>
        <w:rPr>
          <w:sz w:val="20"/>
          <w:szCs w:val="20"/>
          <w:color w:val="auto"/>
        </w:rPr>
      </w:pPr>
    </w:p>
    <w:p>
      <w:pPr>
        <w:spacing w:after="0" w:line="255" w:lineRule="exact"/>
        <w:rPr>
          <w:sz w:val="20"/>
          <w:szCs w:val="20"/>
          <w:color w:val="auto"/>
        </w:rPr>
      </w:pPr>
    </w:p>
    <w:p>
      <w:pPr>
        <w:ind w:left="2160" w:hanging="532"/>
        <w:spacing w:after="0" w:line="268" w:lineRule="auto"/>
        <w:tabs>
          <w:tab w:leader="none" w:pos="21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is with a charterer which is not a Non-Acceptable Charterer and with a credit rating of not less than BBB– or its equivalent by at least one of Standard and Poor's, Moody's or Fitch; and</w:t>
      </w:r>
    </w:p>
    <w:p>
      <w:pPr>
        <w:spacing w:after="0" w:line="212" w:lineRule="exact"/>
        <w:rPr>
          <w:rFonts w:ascii="Arial" w:cs="Arial" w:eastAsia="Arial" w:hAnsi="Arial"/>
          <w:sz w:val="18"/>
          <w:szCs w:val="18"/>
          <w:color w:val="auto"/>
        </w:rPr>
      </w:pPr>
    </w:p>
    <w:p>
      <w:pPr>
        <w:ind w:left="2160" w:right="40" w:hanging="532"/>
        <w:spacing w:after="0" w:line="331" w:lineRule="auto"/>
        <w:tabs>
          <w:tab w:leader="none" w:pos="216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provides for charter rates which shall, for each calendar month, exceed the aggregate of all amounts of operational costs of such Ship and debt service (including any applicable commitment fee) for the Ship Commitment for that Ship payable in such month; and</w:t>
      </w:r>
    </w:p>
    <w:p>
      <w:pPr>
        <w:spacing w:after="0" w:line="154" w:lineRule="exact"/>
        <w:rPr>
          <w:rFonts w:ascii="Arial" w:cs="Arial" w:eastAsia="Arial" w:hAnsi="Arial"/>
          <w:sz w:val="16"/>
          <w:szCs w:val="16"/>
          <w:color w:val="auto"/>
        </w:rPr>
      </w:pPr>
    </w:p>
    <w:p>
      <w:pPr>
        <w:ind w:left="2160" w:right="100" w:hanging="532"/>
        <w:spacing w:after="0" w:line="268" w:lineRule="auto"/>
        <w:tabs>
          <w:tab w:leader="none" w:pos="21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the remaining tenor of Charter of the Affected Ship without taking into account any option to extend; and</w:t>
      </w:r>
    </w:p>
    <w:p>
      <w:pPr>
        <w:spacing w:after="0" w:line="199" w:lineRule="exact"/>
        <w:rPr>
          <w:rFonts w:ascii="Arial" w:cs="Arial" w:eastAsia="Arial" w:hAnsi="Arial"/>
          <w:sz w:val="18"/>
          <w:szCs w:val="18"/>
          <w:color w:val="auto"/>
        </w:rPr>
      </w:pPr>
    </w:p>
    <w:p>
      <w:pPr>
        <w:ind w:left="2160" w:right="20" w:hanging="532"/>
        <w:spacing w:after="0" w:line="268" w:lineRule="auto"/>
        <w:tabs>
          <w:tab w:leader="none" w:pos="21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Affected Ship to another person except where operational control is passed to the Ship's Technical Manager,</w:t>
      </w:r>
    </w:p>
    <w:p>
      <w:pPr>
        <w:spacing w:after="0" w:line="185"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6"/>
          <w:szCs w:val="16"/>
          <w:color w:val="auto"/>
        </w:rPr>
        <w:t>or is otherwise acceptable in form and substance in all respects to the Majority Lenders in their absolute discretion; and</w:t>
      </w:r>
    </w:p>
    <w:p>
      <w:pPr>
        <w:spacing w:after="0" w:line="275"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granted in favour of the Security Agent a Security Interest in respect of such charter commitment in a document in an agreed form and will provide and has delivered to the Agent in respect of the same, any documents and evidence of the nature described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as reasonably required by the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29.22</w:t>
      </w:r>
      <w:r>
        <w:rPr>
          <w:sz w:val="20"/>
          <w:szCs w:val="20"/>
          <w:color w:val="auto"/>
        </w:rPr>
        <w:tab/>
      </w:r>
      <w:r>
        <w:rPr>
          <w:rFonts w:ascii="Arial" w:cs="Arial" w:eastAsia="Arial" w:hAnsi="Arial"/>
          <w:sz w:val="15"/>
          <w:szCs w:val="15"/>
          <w:b w:val="1"/>
          <w:bCs w:val="1"/>
          <w:color w:val="auto"/>
        </w:rPr>
        <w:t>[Not used]</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29.23</w:t>
      </w:r>
      <w:r>
        <w:rPr>
          <w:sz w:val="20"/>
          <w:szCs w:val="20"/>
          <w:color w:val="auto"/>
        </w:rPr>
        <w:tab/>
      </w:r>
      <w:r>
        <w:rPr>
          <w:rFonts w:ascii="Arial" w:cs="Arial" w:eastAsia="Arial" w:hAnsi="Arial"/>
          <w:sz w:val="15"/>
          <w:szCs w:val="15"/>
          <w:b w:val="1"/>
          <w:bCs w:val="1"/>
          <w:color w:val="auto"/>
        </w:rPr>
        <w:t>Acceleration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On and at any time after the occurrence of an Event of Default which is continuing the Agent shall, if so directed by the Majority Lenders, by notice to the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Borrowers:</w:t>
      </w:r>
    </w:p>
    <w:p>
      <w:pPr>
        <w:spacing w:after="0" w:line="246" w:lineRule="exact"/>
        <w:rPr>
          <w:sz w:val="20"/>
          <w:szCs w:val="20"/>
          <w:color w:val="auto"/>
        </w:rPr>
      </w:pPr>
    </w:p>
    <w:p>
      <w:pPr>
        <w:ind w:left="1080" w:hanging="532"/>
        <w:spacing w:after="0"/>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at which time they shall become immediately due and payable; and/or</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declare that all or part of the Revolving Loans be payable on demand, at which time they shall immediately become payable on demand by the Agent on the instructions of the Majority Lenders; and/or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18" w:name="page319"/>
    <w:bookmarkEnd w:id="318"/>
    <w:p>
      <w:pPr>
        <w:spacing w:after="0"/>
        <w:tabs>
          <w:tab w:leader="none" w:pos="5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Changes to the Lenders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Assignments by the Lenders</w:t>
      </w:r>
    </w:p>
    <w:p>
      <w:pPr>
        <w:spacing w:after="0" w:line="252" w:lineRule="exact"/>
        <w:rPr>
          <w:sz w:val="20"/>
          <w:szCs w:val="20"/>
          <w:color w:val="auto"/>
        </w:rPr>
      </w:pPr>
    </w:p>
    <w:p>
      <w:pPr>
        <w:ind w:left="540" w:right="120"/>
        <w:spacing w:after="0" w:line="262" w:lineRule="auto"/>
        <w:rPr>
          <w:sz w:val="20"/>
          <w:szCs w:val="20"/>
          <w:color w:val="auto"/>
        </w:rPr>
      </w:pPr>
      <w:r>
        <w:rPr>
          <w:rFonts w:ascii="Arial" w:cs="Arial" w:eastAsia="Arial" w:hAnsi="Arial"/>
          <w:sz w:val="18"/>
          <w:szCs w:val="18"/>
          <w:color w:val="auto"/>
        </w:rPr>
        <w:t xml:space="preserve">Subject to this clause 30,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color w:val="auto"/>
        </w:rPr>
        <w:t>Conditions of assignment</w:t>
      </w:r>
    </w:p>
    <w:p>
      <w:pPr>
        <w:spacing w:after="0" w:line="200" w:lineRule="exact"/>
        <w:rPr>
          <w:sz w:val="20"/>
          <w:szCs w:val="20"/>
          <w:color w:val="auto"/>
        </w:rPr>
      </w:pPr>
    </w:p>
    <w:p>
      <w:pPr>
        <w:spacing w:after="0" w:line="274" w:lineRule="exact"/>
        <w:rPr>
          <w:sz w:val="20"/>
          <w:szCs w:val="20"/>
          <w:color w:val="auto"/>
        </w:rPr>
      </w:pPr>
    </w:p>
    <w:p>
      <w:pPr>
        <w:ind w:left="1080" w:right="80" w:hanging="532"/>
        <w:spacing w:after="0" w:line="331" w:lineRule="auto"/>
        <w:tabs>
          <w:tab w:leader="none" w:pos="108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prior written consent of the Borrowers and Guarantors is required for an assignment by a Lender, unless (i) the assignment is to another Lender or an Affiliate of a Lender or (ii) an Event of Default is continuing. The Agent will immediately advise the Borrowers of the assignment.</w:t>
      </w:r>
    </w:p>
    <w:p>
      <w:pPr>
        <w:spacing w:after="0" w:line="167" w:lineRule="exact"/>
        <w:rPr>
          <w:rFonts w:ascii="Arial" w:cs="Arial" w:eastAsia="Arial" w:hAnsi="Arial"/>
          <w:sz w:val="16"/>
          <w:szCs w:val="16"/>
          <w:color w:val="auto"/>
        </w:rPr>
      </w:pPr>
    </w:p>
    <w:p>
      <w:pPr>
        <w:jc w:val="both"/>
        <w:ind w:left="1080" w:right="380" w:hanging="532"/>
        <w:spacing w:after="0" w:line="259" w:lineRule="auto"/>
        <w:tabs>
          <w:tab w:leader="none" w:pos="10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Borrowers' and Guarantors' consent may not be unreasonably withheld or delayed and will be deemed to have been given five (5) Business Days after the Lender has requested consent unless consent is expressly refused within that time. Provided however that the Borrowers shall be entitled to withhold such consent in their discretion if the assignment is to a trust or fund.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331" w:lineRule="auto"/>
        <w:tabs>
          <w:tab w:leader="none" w:pos="1620" w:val="left"/>
        </w:tabs>
        <w:numPr>
          <w:ilvl w:val="1"/>
          <w:numId w:val="438"/>
        </w:numPr>
        <w:rPr>
          <w:rFonts w:ascii="Arial" w:cs="Arial" w:eastAsia="Arial" w:hAnsi="Arial"/>
          <w:sz w:val="16"/>
          <w:szCs w:val="16"/>
          <w:color w:val="auto"/>
        </w:rPr>
      </w:pPr>
      <w:r>
        <w:rPr>
          <w:rFonts w:ascii="Arial" w:cs="Arial" w:eastAsia="Arial" w:hAnsi="Arial"/>
          <w:sz w:val="16"/>
          <w:szCs w:val="16"/>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167" w:lineRule="exact"/>
        <w:rPr>
          <w:rFonts w:ascii="Arial" w:cs="Arial" w:eastAsia="Arial" w:hAnsi="Arial"/>
          <w:sz w:val="16"/>
          <w:szCs w:val="16"/>
          <w:color w:val="auto"/>
        </w:rPr>
      </w:pPr>
    </w:p>
    <w:p>
      <w:pPr>
        <w:ind w:left="1620" w:right="380" w:hanging="532"/>
        <w:spacing w:after="0" w:line="259" w:lineRule="auto"/>
        <w:tabs>
          <w:tab w:leader="none" w:pos="16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207"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 and</w:t>
      </w:r>
    </w:p>
    <w:p>
      <w:pPr>
        <w:spacing w:after="0" w:line="207" w:lineRule="exact"/>
        <w:rPr>
          <w:rFonts w:ascii="Arial" w:cs="Arial" w:eastAsia="Arial" w:hAnsi="Arial"/>
          <w:sz w:val="18"/>
          <w:szCs w:val="18"/>
          <w:color w:val="auto"/>
        </w:rPr>
      </w:pPr>
    </w:p>
    <w:p>
      <w:pPr>
        <w:ind w:left="1620" w:hanging="532"/>
        <w:spacing w:after="0" w:line="331" w:lineRule="auto"/>
        <w:tabs>
          <w:tab w:leader="none" w:pos="1620" w:val="left"/>
        </w:tabs>
        <w:numPr>
          <w:ilvl w:val="1"/>
          <w:numId w:val="438"/>
        </w:numPr>
        <w:rPr>
          <w:rFonts w:ascii="Arial" w:cs="Arial" w:eastAsia="Arial" w:hAnsi="Arial"/>
          <w:sz w:val="16"/>
          <w:szCs w:val="16"/>
          <w:color w:val="auto"/>
        </w:rPr>
      </w:pPr>
      <w:r>
        <w:rPr>
          <w:rFonts w:ascii="Arial" w:cs="Arial" w:eastAsia="Arial" w:hAnsi="Arial"/>
          <w:sz w:val="16"/>
          <w:szCs w:val="16"/>
          <w:color w:val="auto"/>
        </w:rPr>
        <w:t>if an assignment takes effect after there has been a Utilisation, the assignment of an Existing Lender's participation in the Utilisations (if any) under the Facility shall take effect in respect of the same fraction of each such Utilisation under the Facility;</w:t>
      </w:r>
    </w:p>
    <w:p>
      <w:pPr>
        <w:spacing w:after="0" w:line="167" w:lineRule="exact"/>
        <w:rPr>
          <w:rFonts w:ascii="Arial" w:cs="Arial" w:eastAsia="Arial" w:hAnsi="Arial"/>
          <w:sz w:val="16"/>
          <w:szCs w:val="16"/>
          <w:color w:val="auto"/>
        </w:rPr>
      </w:pPr>
    </w:p>
    <w:p>
      <w:pPr>
        <w:ind w:left="1620" w:hanging="532"/>
        <w:spacing w:after="0"/>
        <w:tabs>
          <w:tab w:leader="none" w:pos="16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the Facility; and</w:t>
      </w:r>
    </w:p>
    <w:p>
      <w:pPr>
        <w:spacing w:after="0" w:line="238" w:lineRule="exact"/>
        <w:rPr>
          <w:rFonts w:ascii="Arial" w:cs="Arial" w:eastAsia="Arial" w:hAnsi="Arial"/>
          <w:sz w:val="18"/>
          <w:szCs w:val="18"/>
          <w:color w:val="auto"/>
        </w:rPr>
      </w:pPr>
    </w:p>
    <w:p>
      <w:pPr>
        <w:ind w:left="1620" w:right="480" w:hanging="532"/>
        <w:spacing w:after="0" w:line="259" w:lineRule="auto"/>
        <w:tabs>
          <w:tab w:leader="none" w:pos="16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(save for an assignment where the consent of the Borrowers and Guarantors is not required under clause 30.2(a)) if the total amount of participations and Commitments of the Existing Lender being assigned is not less than $10,000,000 (or its entire participations and Commitments if lower than $10,000,000).</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5" w:lineRule="auto"/>
        <w:tabs>
          <w:tab w:leader="none" w:pos="1080" w:val="left"/>
        </w:tabs>
        <w:numPr>
          <w:ilvl w:val="0"/>
          <w:numId w:val="438"/>
        </w:numPr>
        <w:rPr>
          <w:rFonts w:ascii="Arial" w:cs="Arial" w:eastAsia="Arial" w:hAnsi="Arial"/>
          <w:sz w:val="15"/>
          <w:szCs w:val="15"/>
          <w:color w:val="auto"/>
        </w:rPr>
      </w:pPr>
      <w:r>
        <w:rPr>
          <w:rFonts w:ascii="Arial" w:cs="Arial" w:eastAsia="Arial" w:hAnsi="Arial"/>
          <w:sz w:val="15"/>
          <w:szCs w:val="15"/>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319" w:name="page320"/>
    <w:bookmarkEnd w:id="319"/>
    <w:p>
      <w:pPr>
        <w:ind w:left="1080"/>
        <w:spacing w:after="0"/>
        <w:rPr>
          <w:sz w:val="20"/>
          <w:szCs w:val="20"/>
          <w:color w:val="auto"/>
        </w:rPr>
      </w:pPr>
      <w:r>
        <w:rPr>
          <w:rFonts w:ascii="Arial" w:cs="Arial" w:eastAsia="Arial" w:hAnsi="Arial"/>
          <w:sz w:val="18"/>
          <w:szCs w:val="18"/>
          <w:color w:val="auto"/>
        </w:rPr>
        <w:t>decision to the same extent as the Existing Lender would have been had it remained a Lender.</w:t>
      </w:r>
    </w:p>
    <w:p>
      <w:pPr>
        <w:spacing w:after="0" w:line="239" w:lineRule="exact"/>
        <w:rPr>
          <w:sz w:val="20"/>
          <w:szCs w:val="20"/>
          <w:color w:val="auto"/>
        </w:rPr>
      </w:pPr>
    </w:p>
    <w:p>
      <w:pPr>
        <w:ind w:left="1080" w:hanging="532"/>
        <w:spacing w:after="0"/>
        <w:tabs>
          <w:tab w:leader="none" w:pos="10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a Lender transfers any of its rights or obligations or assigns any of its rights under the Finance Documents or changes its Facility Office; and</w:t>
      </w:r>
    </w:p>
    <w:p>
      <w:pPr>
        <w:spacing w:after="0" w:line="261" w:lineRule="exact"/>
        <w:rPr>
          <w:rFonts w:ascii="Arial" w:cs="Arial" w:eastAsia="Arial" w:hAnsi="Arial"/>
          <w:sz w:val="16"/>
          <w:szCs w:val="16"/>
          <w:color w:val="auto"/>
        </w:rPr>
      </w:pPr>
    </w:p>
    <w:p>
      <w:pPr>
        <w:ind w:left="1620" w:right="20" w:hanging="532"/>
        <w:spacing w:after="0" w:line="259" w:lineRule="auto"/>
        <w:tabs>
          <w:tab w:leader="none" w:pos="162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620" w:right="20"/>
        <w:spacing w:after="0" w:line="298" w:lineRule="auto"/>
        <w:rPr>
          <w:rFonts w:ascii="Arial" w:cs="Arial" w:eastAsia="Arial" w:hAnsi="Arial"/>
          <w:sz w:val="18"/>
          <w:szCs w:val="18"/>
          <w:color w:val="auto"/>
        </w:rPr>
      </w:pPr>
      <w:r>
        <w:rPr>
          <w:rFonts w:ascii="Arial" w:cs="Arial" w:eastAsia="Arial" w:hAnsi="Arial"/>
          <w:sz w:val="16"/>
          <w:szCs w:val="16"/>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Fee</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Limitation of responsibility of Existing Lenders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Unless expressly agreed to the contrary, an Existing Lender makes no representation or warranty and assumes no responsibility to a New Lender for:</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620" w:hanging="532"/>
        <w:spacing w:after="0"/>
        <w:tabs>
          <w:tab w:leader="none" w:pos="16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0"/>
        </w:numPr>
        <w:rPr>
          <w:rFonts w:ascii="Arial" w:cs="Arial" w:eastAsia="Arial" w:hAnsi="Arial"/>
          <w:sz w:val="15"/>
          <w:szCs w:val="15"/>
          <w:color w:val="auto"/>
        </w:rPr>
      </w:pPr>
      <w:r>
        <w:rPr>
          <w:rFonts w:ascii="Arial" w:cs="Arial" w:eastAsia="Arial" w:hAnsi="Arial"/>
          <w:sz w:val="15"/>
          <w:szCs w:val="15"/>
          <w:color w:val="auto"/>
        </w:rPr>
        <w:t>the performance and observance by any Obligor or any other person of its obligations under the Finance Documents or any other documents;</w:t>
      </w:r>
    </w:p>
    <w:p>
      <w:pPr>
        <w:spacing w:after="0" w:line="273" w:lineRule="exact"/>
        <w:rPr>
          <w:rFonts w:ascii="Arial" w:cs="Arial" w:eastAsia="Arial" w:hAnsi="Arial"/>
          <w:sz w:val="15"/>
          <w:szCs w:val="15"/>
          <w:color w:val="auto"/>
        </w:rPr>
      </w:pPr>
    </w:p>
    <w:p>
      <w:pPr>
        <w:ind w:left="1620" w:hanging="532"/>
        <w:spacing w:after="0"/>
        <w:tabs>
          <w:tab w:leader="none" w:pos="1620" w:val="left"/>
        </w:tabs>
        <w:numPr>
          <w:ilvl w:val="1"/>
          <w:numId w:val="440"/>
        </w:numPr>
        <w:rPr>
          <w:rFonts w:ascii="Arial" w:cs="Arial" w:eastAsia="Arial" w:hAnsi="Arial"/>
          <w:sz w:val="16"/>
          <w:szCs w:val="16"/>
          <w:color w:val="auto"/>
        </w:rPr>
      </w:pPr>
      <w:r>
        <w:rPr>
          <w:rFonts w:ascii="Arial" w:cs="Arial" w:eastAsia="Arial" w:hAnsi="Arial"/>
          <w:sz w:val="16"/>
          <w:szCs w:val="16"/>
          <w:color w:val="auto"/>
        </w:rPr>
        <w:t>the application of any Basel II Regulation or any Basel III Regulation to the transactions contemplated by the Finance Documents; or</w:t>
      </w:r>
    </w:p>
    <w:p>
      <w:pPr>
        <w:spacing w:after="0" w:line="275" w:lineRule="exact"/>
        <w:rPr>
          <w:rFonts w:ascii="Arial" w:cs="Arial" w:eastAsia="Arial" w:hAnsi="Arial"/>
          <w:sz w:val="16"/>
          <w:szCs w:val="16"/>
          <w:color w:val="auto"/>
        </w:rPr>
      </w:pPr>
    </w:p>
    <w:p>
      <w:pPr>
        <w:ind w:left="1620" w:right="500" w:hanging="532"/>
        <w:spacing w:after="0" w:line="500" w:lineRule="auto"/>
        <w:tabs>
          <w:tab w:leader="none" w:pos="16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 and any representations or warranties implied by law are excluded.</w:t>
      </w:r>
    </w:p>
    <w:p>
      <w:pPr>
        <w:spacing w:after="0" w:line="15" w:lineRule="exact"/>
        <w:rPr>
          <w:rFonts w:ascii="Arial" w:cs="Arial" w:eastAsia="Arial" w:hAnsi="Arial"/>
          <w:sz w:val="18"/>
          <w:szCs w:val="18"/>
          <w:color w:val="auto"/>
        </w:rPr>
      </w:pPr>
    </w:p>
    <w:p>
      <w:pPr>
        <w:ind w:left="1080" w:hanging="532"/>
        <w:spacing w:after="0"/>
        <w:tabs>
          <w:tab w:leader="none" w:pos="10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2"/>
          <w:numId w:val="440"/>
        </w:numPr>
        <w:rPr>
          <w:rFonts w:ascii="Arial" w:cs="Arial" w:eastAsia="Arial" w:hAnsi="Arial"/>
          <w:sz w:val="16"/>
          <w:szCs w:val="16"/>
          <w:color w:val="auto"/>
        </w:rPr>
      </w:pPr>
      <w:r>
        <w:rPr>
          <w:rFonts w:ascii="Arial" w:cs="Arial" w:eastAsia="Arial" w:hAnsi="Arial"/>
          <w:sz w:val="16"/>
          <w:szCs w:val="16"/>
          <w:color w:val="auto"/>
        </w:rPr>
        <w:t>the financial condition and affairs of the Obligors and their related entities in connection with its participation in this Agreement; and</w:t>
      </w:r>
    </w:p>
    <w:p>
      <w:pPr>
        <w:spacing w:after="0" w:line="261" w:lineRule="exact"/>
        <w:rPr>
          <w:rFonts w:ascii="Arial" w:cs="Arial" w:eastAsia="Arial" w:hAnsi="Arial"/>
          <w:sz w:val="16"/>
          <w:szCs w:val="16"/>
          <w:color w:val="auto"/>
        </w:rPr>
      </w:pPr>
    </w:p>
    <w:p>
      <w:pPr>
        <w:ind w:left="2160" w:hanging="532"/>
        <w:spacing w:after="0"/>
        <w:tabs>
          <w:tab w:leader="none" w:pos="2160" w:val="left"/>
        </w:tabs>
        <w:numPr>
          <w:ilvl w:val="2"/>
          <w:numId w:val="440"/>
        </w:numPr>
        <w:rPr>
          <w:rFonts w:ascii="Arial" w:cs="Arial" w:eastAsia="Arial" w:hAnsi="Arial"/>
          <w:sz w:val="16"/>
          <w:szCs w:val="16"/>
          <w:color w:val="auto"/>
        </w:rPr>
      </w:pPr>
      <w:r>
        <w:rPr>
          <w:rFonts w:ascii="Arial" w:cs="Arial" w:eastAsia="Arial" w:hAnsi="Arial"/>
          <w:sz w:val="16"/>
          <w:szCs w:val="16"/>
          <w:color w:val="auto"/>
        </w:rPr>
        <w:t>the application of any Basel II Regulation or any Basel III Regulation to the transactions contemplated by the Finance Documents;</w:t>
      </w:r>
    </w:p>
    <w:p>
      <w:pPr>
        <w:spacing w:after="0" w:line="248" w:lineRule="exact"/>
        <w:rPr>
          <w:sz w:val="20"/>
          <w:szCs w:val="20"/>
          <w:color w:val="auto"/>
        </w:rPr>
      </w:pPr>
    </w:p>
    <w:p>
      <w:pPr>
        <w:ind w:left="1620" w:right="240"/>
        <w:spacing w:after="0" w:line="268"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20" w:name="page321"/>
    <w:bookmarkEnd w:id="320"/>
    <w:p>
      <w:pPr>
        <w:ind w:left="1620" w:right="120" w:hanging="532"/>
        <w:spacing w:after="0" w:line="268" w:lineRule="auto"/>
        <w:tabs>
          <w:tab w:leader="none" w:pos="16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212"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30; or</w:t>
      </w:r>
    </w:p>
    <w:p>
      <w:pPr>
        <w:spacing w:after="0" w:line="252" w:lineRule="exact"/>
        <w:rPr>
          <w:rFonts w:ascii="Arial" w:cs="Arial" w:eastAsia="Arial" w:hAnsi="Arial"/>
          <w:sz w:val="18"/>
          <w:szCs w:val="18"/>
          <w:color w:val="auto"/>
        </w:rPr>
      </w:pPr>
    </w:p>
    <w:p>
      <w:pPr>
        <w:ind w:left="1620" w:right="320" w:hanging="532"/>
        <w:spacing w:after="0" w:line="259" w:lineRule="auto"/>
        <w:tabs>
          <w:tab w:leader="none" w:pos="16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5"/>
          <w:szCs w:val="15"/>
          <w:b w:val="1"/>
          <w:bCs w:val="1"/>
          <w:color w:val="auto"/>
        </w:rPr>
        <w:t>Procedure for assignment</w:t>
      </w:r>
    </w:p>
    <w:p>
      <w:pPr>
        <w:spacing w:after="0" w:line="200" w:lineRule="exact"/>
        <w:rPr>
          <w:sz w:val="20"/>
          <w:szCs w:val="20"/>
          <w:color w:val="auto"/>
        </w:rPr>
      </w:pPr>
    </w:p>
    <w:p>
      <w:pPr>
        <w:spacing w:after="0" w:line="274" w:lineRule="exact"/>
        <w:rPr>
          <w:sz w:val="20"/>
          <w:szCs w:val="20"/>
          <w:color w:val="auto"/>
        </w:rPr>
      </w:pPr>
    </w:p>
    <w:p>
      <w:pPr>
        <w:ind w:left="1080" w:right="180" w:hanging="532"/>
        <w:spacing w:after="0" w:line="285" w:lineRule="auto"/>
        <w:tabs>
          <w:tab w:leader="none" w:pos="108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Subject to the conditions set out in clause 30.2 (</w:t>
      </w:r>
      <w:r>
        <w:rPr>
          <w:rFonts w:ascii="Arial" w:cs="Arial" w:eastAsia="Arial" w:hAnsi="Arial"/>
          <w:sz w:val="16"/>
          <w:szCs w:val="16"/>
          <w:i w:val="1"/>
          <w:iCs w:val="1"/>
          <w:color w:val="auto"/>
        </w:rPr>
        <w:t>Conditions of assignment</w:t>
      </w:r>
      <w:r>
        <w:rPr>
          <w:rFonts w:ascii="Arial" w:cs="Arial" w:eastAsia="Arial" w:hAnsi="Arial"/>
          <w:sz w:val="16"/>
          <w:szCs w:val="16"/>
          <w:color w:val="auto"/>
        </w:rPr>
        <w:t>) an assignment may be effected in accordance with clause 30.5(d) below when (a) the Agent executes an otherwise duly completed Transfer Certificate and (b) the Agent executes any document required under</w:t>
      </w:r>
    </w:p>
    <w:p>
      <w:pPr>
        <w:spacing w:after="0" w:line="1" w:lineRule="exact"/>
        <w:rPr>
          <w:rFonts w:ascii="Arial" w:cs="Arial" w:eastAsia="Arial" w:hAnsi="Arial"/>
          <w:sz w:val="16"/>
          <w:szCs w:val="16"/>
          <w:color w:val="auto"/>
        </w:rPr>
      </w:pPr>
    </w:p>
    <w:p>
      <w:pPr>
        <w:ind w:left="1080"/>
        <w:spacing w:after="0" w:line="252" w:lineRule="auto"/>
        <w:rPr>
          <w:rFonts w:ascii="Arial" w:cs="Arial" w:eastAsia="Arial" w:hAnsi="Arial"/>
          <w:sz w:val="16"/>
          <w:szCs w:val="16"/>
          <w:color w:val="auto"/>
        </w:rPr>
      </w:pPr>
      <w:r>
        <w:rPr>
          <w:rFonts w:ascii="Arial" w:cs="Arial" w:eastAsia="Arial" w:hAnsi="Arial"/>
          <w:sz w:val="18"/>
          <w:szCs w:val="18"/>
          <w:color w:val="auto"/>
        </w:rPr>
        <w:t>clause 30.2(c)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which it may be necessary for it to execute in each case delivered to it by the Existing Lender and the New Lender duly executed by them and, in the case of any such other document, any other relevant person. The Agent shall, subject to clause 30.5(b)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228"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207"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93" w:lineRule="exact"/>
        <w:rPr>
          <w:rFonts w:ascii="Arial" w:cs="Arial" w:eastAsia="Arial" w:hAnsi="Arial"/>
          <w:sz w:val="18"/>
          <w:szCs w:val="18"/>
          <w:color w:val="auto"/>
        </w:rPr>
      </w:pPr>
    </w:p>
    <w:p>
      <w:pPr>
        <w:ind w:left="1620" w:right="280" w:hanging="532"/>
        <w:spacing w:after="0" w:line="262" w:lineRule="auto"/>
        <w:tabs>
          <w:tab w:leader="none" w:pos="16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Transfer Certificate (but the obligations owed by the Obligors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shall not be released); and</w:t>
      </w:r>
    </w:p>
    <w:p>
      <w:pPr>
        <w:spacing w:after="0" w:line="205"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21" w:name="page322"/>
    <w:bookmarkEnd w:id="321"/>
    <w:p>
      <w:pPr>
        <w:ind w:left="1080" w:right="260" w:hanging="532"/>
        <w:spacing w:after="0" w:line="298" w:lineRule="auto"/>
        <w:tabs>
          <w:tab w:leader="none" w:pos="108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Lenders may utilise procedures other than those set out in this clause 30.5 (</w:t>
      </w:r>
      <w:r>
        <w:rPr>
          <w:rFonts w:ascii="Arial" w:cs="Arial" w:eastAsia="Arial" w:hAnsi="Arial"/>
          <w:sz w:val="16"/>
          <w:szCs w:val="16"/>
          <w:i w:val="1"/>
          <w:iCs w:val="1"/>
          <w:color w:val="auto"/>
        </w:rPr>
        <w:t>Procedure for assignment</w:t>
      </w:r>
      <w:r>
        <w:rPr>
          <w:rFonts w:ascii="Arial" w:cs="Arial" w:eastAsia="Arial" w:hAnsi="Arial"/>
          <w:sz w:val="16"/>
          <w:szCs w:val="16"/>
          <w:color w:val="auto"/>
        </w:rPr>
        <w:t>) to assign their rights under the Finance Documents (but not, without the consent of the relevant Obligor or unless in accordance with clauses 30.5 (</w:t>
      </w:r>
      <w:r>
        <w:rPr>
          <w:rFonts w:ascii="Arial" w:cs="Arial" w:eastAsia="Arial" w:hAnsi="Arial"/>
          <w:sz w:val="16"/>
          <w:szCs w:val="16"/>
          <w:i w:val="1"/>
          <w:iCs w:val="1"/>
          <w:color w:val="auto"/>
        </w:rPr>
        <w:t>Procedure for assignment</w:t>
      </w:r>
      <w:r>
        <w:rPr>
          <w:rFonts w:ascii="Arial" w:cs="Arial" w:eastAsia="Arial" w:hAnsi="Arial"/>
          <w:sz w:val="16"/>
          <w:szCs w:val="16"/>
          <w:color w:val="auto"/>
        </w:rPr>
        <w:t>) to obtain a release by that Obligor from the obligations owed to that Obligor by the Lenders nor the assumption of equivalent obligations by a New Lender) provided that they comply with the conditions set out in clause 30.2 (</w:t>
      </w:r>
      <w:r>
        <w:rPr>
          <w:rFonts w:ascii="Arial" w:cs="Arial" w:eastAsia="Arial" w:hAnsi="Arial"/>
          <w:sz w:val="16"/>
          <w:szCs w:val="16"/>
          <w:i w:val="1"/>
          <w:iCs w:val="1"/>
          <w:color w:val="auto"/>
        </w:rPr>
        <w:t>Conditions of assignment</w:t>
      </w:r>
      <w:r>
        <w:rPr>
          <w:rFonts w:ascii="Arial" w:cs="Arial" w:eastAsia="Arial" w:hAnsi="Arial"/>
          <w:sz w:val="16"/>
          <w:szCs w:val="16"/>
          <w:color w:val="auto"/>
        </w:rPr>
        <w:t>).</w:t>
      </w:r>
    </w:p>
    <w:p>
      <w:pPr>
        <w:spacing w:after="0" w:line="3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Copy of Transfer Certificate to Borrowers</w:t>
      </w:r>
    </w:p>
    <w:p>
      <w:pPr>
        <w:spacing w:after="0" w:line="258" w:lineRule="exact"/>
        <w:rPr>
          <w:sz w:val="20"/>
          <w:szCs w:val="20"/>
          <w:color w:val="auto"/>
        </w:rPr>
      </w:pPr>
    </w:p>
    <w:p>
      <w:pPr>
        <w:ind w:left="540" w:right="660"/>
        <w:spacing w:after="0" w:line="331" w:lineRule="auto"/>
        <w:rPr>
          <w:sz w:val="20"/>
          <w:szCs w:val="20"/>
          <w:color w:val="auto"/>
        </w:rPr>
      </w:pPr>
      <w:r>
        <w:rPr>
          <w:rFonts w:ascii="Arial" w:cs="Arial" w:eastAsia="Arial" w:hAnsi="Arial"/>
          <w:sz w:val="16"/>
          <w:szCs w:val="16"/>
          <w:color w:val="auto"/>
        </w:rPr>
        <w:t>The Agent shall, as soon as reasonably practicable after it has executed a Transfer Certificate and any other document required under clause 30.2(c) (</w:t>
      </w:r>
      <w:r>
        <w:rPr>
          <w:rFonts w:ascii="Arial" w:cs="Arial" w:eastAsia="Arial" w:hAnsi="Arial"/>
          <w:sz w:val="16"/>
          <w:szCs w:val="16"/>
          <w:i w:val="1"/>
          <w:iCs w:val="1"/>
          <w:color w:val="auto"/>
        </w:rPr>
        <w:t>Conditions of assignment</w:t>
      </w:r>
      <w:r>
        <w:rPr>
          <w:rFonts w:ascii="Arial" w:cs="Arial" w:eastAsia="Arial" w:hAnsi="Arial"/>
          <w:sz w:val="16"/>
          <w:szCs w:val="16"/>
          <w:color w:val="auto"/>
        </w:rPr>
        <w:t>), send a copy of that Transfer Certificate and such other documents to the Borrowers.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5"/>
          <w:szCs w:val="15"/>
          <w:b w:val="1"/>
          <w:bCs w:val="1"/>
          <w:color w:val="auto"/>
        </w:rPr>
        <w:t>Security over Lenders' rights</w:t>
      </w:r>
    </w:p>
    <w:p>
      <w:pPr>
        <w:spacing w:after="0" w:line="24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In addition to the other rights provided to Lenders under this clause 30.7,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207" w:lineRule="exact"/>
        <w:rPr>
          <w:sz w:val="20"/>
          <w:szCs w:val="20"/>
          <w:color w:val="auto"/>
        </w:rPr>
      </w:pPr>
    </w:p>
    <w:p>
      <w:pPr>
        <w:ind w:left="1080" w:hanging="532"/>
        <w:spacing w:after="0"/>
        <w:tabs>
          <w:tab w:leader="none" w:pos="10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226"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212" w:lineRule="exact"/>
        <w:rPr>
          <w:rFonts w:ascii="Arial" w:cs="Arial" w:eastAsia="Arial" w:hAnsi="Arial"/>
          <w:sz w:val="18"/>
          <w:szCs w:val="18"/>
          <w:color w:val="auto"/>
        </w:rPr>
      </w:pPr>
    </w:p>
    <w:p>
      <w:pPr>
        <w:ind w:left="1620" w:right="500" w:hanging="532"/>
        <w:spacing w:after="0" w:line="268" w:lineRule="auto"/>
        <w:tabs>
          <w:tab w:leader="none" w:pos="16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5"/>
          <w:szCs w:val="15"/>
          <w:b w:val="1"/>
          <w:bCs w:val="1"/>
          <w:color w:val="auto"/>
        </w:rPr>
        <w:t>Pro rata interest settlement</w:t>
      </w:r>
    </w:p>
    <w:p>
      <w:pPr>
        <w:spacing w:after="0" w:line="24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207" w:lineRule="exact"/>
        <w:rPr>
          <w:sz w:val="20"/>
          <w:szCs w:val="20"/>
          <w:color w:val="auto"/>
        </w:rPr>
      </w:pPr>
    </w:p>
    <w:p>
      <w:pPr>
        <w:ind w:left="1080" w:hanging="532"/>
        <w:spacing w:after="0" w:line="298" w:lineRule="auto"/>
        <w:tabs>
          <w:tab w:leader="none" w:pos="108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22" w:name="page323"/>
    <w:bookmarkEnd w:id="322"/>
    <w:p>
      <w:pPr>
        <w:ind w:left="1080" w:hanging="532"/>
        <w:spacing w:after="0"/>
        <w:tabs>
          <w:tab w:leader="none" w:pos="108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rights assigned or transferred by the Existing Lender will not include the right to the Accrued Amounts, so that, for the avoidance of doubt: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tabs>
          <w:tab w:leader="none" w:pos="16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38"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30.8, have been payable to it on that date, but after deduction of the Accrued Amounts.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Changes to the Obligors/Restriction on Debt Purchase Transactions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Changes to the Obligors</w:t>
      </w:r>
    </w:p>
    <w:p>
      <w:pPr>
        <w:spacing w:after="0" w:line="258"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color w:val="auto"/>
        </w:rPr>
        <w:t>Prohibition on Debt Purchase Transactions by the Group</w:t>
      </w:r>
    </w:p>
    <w:p>
      <w:pPr>
        <w:spacing w:after="0" w:line="24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Obligors shall not, and each Guarantor shall procure that each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Disenfranchisement of Debt Purchase Transactions entered into by Affiliates</w:t>
      </w:r>
    </w:p>
    <w:p>
      <w:pPr>
        <w:spacing w:after="0" w:line="200" w:lineRule="exact"/>
        <w:rPr>
          <w:sz w:val="20"/>
          <w:szCs w:val="20"/>
          <w:color w:val="auto"/>
        </w:rPr>
      </w:pPr>
    </w:p>
    <w:p>
      <w:pPr>
        <w:spacing w:after="0" w:line="288" w:lineRule="exact"/>
        <w:rPr>
          <w:sz w:val="20"/>
          <w:szCs w:val="20"/>
          <w:color w:val="auto"/>
        </w:rPr>
      </w:pPr>
    </w:p>
    <w:p>
      <w:pPr>
        <w:ind w:left="1080" w:right="40" w:hanging="532"/>
        <w:spacing w:after="0" w:line="331" w:lineRule="auto"/>
        <w:tabs>
          <w:tab w:leader="none" w:pos="108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370" w:lineRule="exact"/>
        <w:rPr>
          <w:rFonts w:ascii="Arial" w:cs="Arial" w:eastAsia="Arial" w:hAnsi="Arial"/>
          <w:sz w:val="16"/>
          <w:szCs w:val="16"/>
          <w:color w:val="auto"/>
        </w:rPr>
      </w:pPr>
    </w:p>
    <w:p>
      <w:pPr>
        <w:ind w:left="1620" w:right="80" w:hanging="532"/>
        <w:spacing w:after="0" w:line="256" w:lineRule="auto"/>
        <w:tabs>
          <w:tab w:leader="none" w:pos="162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any agreement of any specified group of Lenders (whether Majority Lenders, all Lenders or otherwise) has been obtained to approve any request for a consent, waiver, amendment or other vote under the Finance Documents, such Commitment shall be deemed to be zero; and</w:t>
      </w:r>
    </w:p>
    <w:p>
      <w:pPr>
        <w:spacing w:after="0" w:line="210"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for the purposes of clause 41.2 (</w:t>
      </w:r>
      <w:r>
        <w:rPr>
          <w:rFonts w:ascii="Arial" w:cs="Arial" w:eastAsia="Arial" w:hAnsi="Arial"/>
          <w:sz w:val="16"/>
          <w:szCs w:val="16"/>
          <w:i w:val="1"/>
          <w:iCs w:val="1"/>
          <w:color w:val="auto"/>
        </w:rPr>
        <w:t>All Lender matters</w:t>
      </w:r>
      <w:r>
        <w:rPr>
          <w:rFonts w:ascii="Arial" w:cs="Arial" w:eastAsia="Arial" w:hAnsi="Arial"/>
          <w:sz w:val="16"/>
          <w:szCs w:val="16"/>
          <w:color w:val="auto"/>
        </w:rPr>
        <w:t>), such Parent Affiliate or the person with whom it has entered into such sub-participation, other agreement or arrangement shall be deemed not to be a Lender for the purpose of paragraph (i) above (unless, in the case of a person not being a Parent Affiliate, it is a Lender by virtue otherwise than by beneficially owning the relevant Commitment).</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7 (</w:t>
      </w:r>
      <w:r>
        <w:rPr>
          <w:rFonts w:ascii="Arial" w:cs="Arial" w:eastAsia="Arial" w:hAnsi="Arial"/>
          <w:sz w:val="18"/>
          <w:szCs w:val="18"/>
          <w:i w:val="1"/>
          <w:iCs w:val="1"/>
          <w:color w:val="auto"/>
        </w:rPr>
        <w:t>Forms of Notifiable Debt Purchase Transaction Notice</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323" w:name="page324"/>
    <w:bookmarkEnd w:id="323"/>
    <w:p>
      <w:pPr>
        <w:ind w:left="1620" w:hanging="532"/>
        <w:spacing w:after="0"/>
        <w:tabs>
          <w:tab w:leader="none" w:pos="16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such notification to be substantially in the form set out in Schedule 7, Part 2 (</w:t>
      </w:r>
      <w:r>
        <w:rPr>
          <w:rFonts w:ascii="Arial" w:cs="Arial" w:eastAsia="Arial" w:hAnsi="Arial"/>
          <w:sz w:val="18"/>
          <w:szCs w:val="18"/>
          <w:i w:val="1"/>
          <w:iCs w:val="1"/>
          <w:color w:val="auto"/>
        </w:rPr>
        <w:t>Forms of Notifiable Debt Purchase Transaction Notice</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tabs>
          <w:tab w:leader="none" w:pos="10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69" w:lineRule="auto"/>
        <w:tabs>
          <w:tab w:leader="none" w:pos="1620" w:val="left"/>
        </w:tabs>
        <w:numPr>
          <w:ilvl w:val="1"/>
          <w:numId w:val="450"/>
        </w:numPr>
        <w:rPr>
          <w:rFonts w:ascii="Arial" w:cs="Arial" w:eastAsia="Arial" w:hAnsi="Arial"/>
          <w:sz w:val="15"/>
          <w:szCs w:val="15"/>
          <w:color w:val="auto"/>
        </w:rPr>
      </w:pPr>
      <w:r>
        <w:rPr>
          <w:rFonts w:ascii="Arial" w:cs="Arial" w:eastAsia="Arial" w:hAnsi="Arial"/>
          <w:sz w:val="15"/>
          <w:szCs w:val="15"/>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144" w:lineRule="exact"/>
        <w:rPr>
          <w:rFonts w:ascii="Arial" w:cs="Arial" w:eastAsia="Arial" w:hAnsi="Arial"/>
          <w:sz w:val="15"/>
          <w:szCs w:val="15"/>
          <w:color w:val="auto"/>
        </w:rPr>
      </w:pPr>
    </w:p>
    <w:p>
      <w:pPr>
        <w:ind w:left="1620" w:right="40" w:hanging="532"/>
        <w:spacing w:after="0" w:line="306" w:lineRule="auto"/>
        <w:tabs>
          <w:tab w:leader="none" w:pos="16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color w:val="auto"/>
        </w:rPr>
        <w:t>Parent Affiliates' notification to other Lenders of Debt Purchase Transactions</w:t>
      </w:r>
    </w:p>
    <w:p>
      <w:pPr>
        <w:spacing w:after="0" w:line="245"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Any Parent Affiliate which is or becomes a Lender and which enters into a Debt Purchase Transaction as a purchaser or a participant shall, by 5.00 pm on the Business Day following the 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Roles of Agent, Security Agent and Arrangers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color w:val="auto"/>
        </w:rPr>
        <w:t>Appointment of the Agent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51"/>
        </w:numPr>
        <w:rPr>
          <w:rFonts w:ascii="Arial" w:cs="Arial" w:eastAsia="Arial" w:hAnsi="Arial"/>
          <w:sz w:val="15"/>
          <w:szCs w:val="15"/>
          <w:color w:val="auto"/>
        </w:rPr>
      </w:pPr>
      <w:r>
        <w:rPr>
          <w:rFonts w:ascii="Arial" w:cs="Arial" w:eastAsia="Arial" w:hAnsi="Arial"/>
          <w:sz w:val="15"/>
          <w:szCs w:val="15"/>
          <w:color w:val="auto"/>
        </w:rPr>
        <w:t>Each other Finance Party (other than the Security Agent) appoints the Agent to act as its agent under and in connection with the Finance Documents.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right="100" w:hanging="532"/>
        <w:spacing w:after="0" w:line="369" w:lineRule="auto"/>
        <w:tabs>
          <w:tab w:leader="none" w:pos="1620" w:val="left"/>
        </w:tabs>
        <w:numPr>
          <w:ilvl w:val="1"/>
          <w:numId w:val="451"/>
        </w:numPr>
        <w:rPr>
          <w:rFonts w:ascii="Arial" w:cs="Arial" w:eastAsia="Arial" w:hAnsi="Arial"/>
          <w:sz w:val="15"/>
          <w:szCs w:val="15"/>
          <w:color w:val="auto"/>
        </w:rPr>
      </w:pPr>
      <w:r>
        <w:rPr>
          <w:rFonts w:ascii="Arial" w:cs="Arial" w:eastAsia="Arial" w:hAnsi="Arial"/>
          <w:sz w:val="15"/>
          <w:szCs w:val="15"/>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131" w:lineRule="exact"/>
        <w:rPr>
          <w:rFonts w:ascii="Arial" w:cs="Arial" w:eastAsia="Arial" w:hAnsi="Arial"/>
          <w:sz w:val="15"/>
          <w:szCs w:val="15"/>
          <w:color w:val="auto"/>
        </w:rPr>
      </w:pPr>
    </w:p>
    <w:p>
      <w:pPr>
        <w:ind w:left="1620" w:hanging="532"/>
        <w:spacing w:after="0"/>
        <w:tabs>
          <w:tab w:leader="none" w:pos="162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to execute each of the Security Documents and all other documents that may be approved by the Majority Lenders for execution by it.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Agent accepts its appointment under clause 32.1(a) as agent for the Finance Parties (for so long as they are Finance Parties) on and subject to the terms of this clause 32, and any Finance Documents to which it is a Party.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5"/>
          <w:szCs w:val="15"/>
          <w:b w:val="1"/>
          <w:bCs w:val="1"/>
          <w:color w:val="auto"/>
        </w:rPr>
        <w:t>Instructions to Agent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200" w:lineRule="exact"/>
        <w:rPr>
          <w:sz w:val="20"/>
          <w:szCs w:val="20"/>
          <w:color w:val="auto"/>
        </w:rPr>
      </w:pPr>
    </w:p>
    <w:p>
      <w:pPr>
        <w:spacing w:after="0" w:line="215" w:lineRule="exact"/>
        <w:rPr>
          <w:sz w:val="20"/>
          <w:szCs w:val="20"/>
          <w:color w:val="auto"/>
        </w:rPr>
      </w:pPr>
    </w:p>
    <w:p>
      <w:pPr>
        <w:ind w:left="2160" w:right="600" w:hanging="532"/>
        <w:spacing w:after="0" w:line="268" w:lineRule="auto"/>
        <w:tabs>
          <w:tab w:leader="none" w:pos="21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24" w:name="page325"/>
    <w:bookmarkEnd w:id="324"/>
    <w:p>
      <w:pPr>
        <w:ind w:left="2160" w:hanging="532"/>
        <w:spacing w:after="0"/>
        <w:tabs>
          <w:tab w:leader="none" w:pos="2160" w:val="left"/>
        </w:tabs>
        <w:numPr>
          <w:ilvl w:val="2"/>
          <w:numId w:val="454"/>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32.2(a)(i) above.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w:t>
      </w:r>
    </w:p>
    <w:p>
      <w:pPr>
        <w:spacing w:after="0" w:line="210"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87"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38"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5"/>
          <w:szCs w:val="15"/>
          <w:b w:val="1"/>
          <w:bCs w:val="1"/>
          <w:color w:val="auto"/>
        </w:rPr>
        <w:t>Duties of the Agent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Agent shall promptly forward to a Party the original or a copy of any document which is delivered to the Agent for that Party by any other Party.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Without prejudice to clause 30.6 (</w:t>
      </w:r>
      <w:r>
        <w:rPr>
          <w:rFonts w:ascii="Arial" w:cs="Arial" w:eastAsia="Arial" w:hAnsi="Arial"/>
          <w:sz w:val="16"/>
          <w:szCs w:val="16"/>
          <w:i w:val="1"/>
          <w:iCs w:val="1"/>
          <w:color w:val="auto"/>
        </w:rPr>
        <w:t>Copy of Transfer Certificate to Borrowers</w:t>
      </w:r>
      <w:r>
        <w:rPr>
          <w:rFonts w:ascii="Arial" w:cs="Arial" w:eastAsia="Arial" w:hAnsi="Arial"/>
          <w:sz w:val="16"/>
          <w:szCs w:val="16"/>
          <w:color w:val="auto"/>
        </w:rPr>
        <w:t>), clause 32.3(b) shall not apply to any Transfer Certificate.</w:t>
      </w:r>
    </w:p>
    <w:p>
      <w:pPr>
        <w:spacing w:after="0" w:line="261" w:lineRule="exact"/>
        <w:rPr>
          <w:rFonts w:ascii="Arial" w:cs="Arial" w:eastAsia="Arial" w:hAnsi="Arial"/>
          <w:sz w:val="16"/>
          <w:szCs w:val="16"/>
          <w:color w:val="auto"/>
        </w:rPr>
      </w:pPr>
    </w:p>
    <w:p>
      <w:pPr>
        <w:ind w:left="1080" w:right="820" w:hanging="532"/>
        <w:spacing w:after="0" w:line="268"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212" w:lineRule="exact"/>
        <w:rPr>
          <w:rFonts w:ascii="Arial" w:cs="Arial" w:eastAsia="Arial" w:hAnsi="Arial"/>
          <w:sz w:val="18"/>
          <w:szCs w:val="18"/>
          <w:color w:val="auto"/>
        </w:rPr>
      </w:pPr>
    </w:p>
    <w:p>
      <w:pPr>
        <w:ind w:left="1080" w:right="100" w:hanging="532"/>
        <w:spacing w:after="0" w:line="331" w:lineRule="auto"/>
        <w:tabs>
          <w:tab w:leader="none" w:pos="108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25" w:name="page326"/>
    <w:bookmarkEnd w:id="325"/>
    <w:p>
      <w:pPr>
        <w:ind w:left="1080" w:right="20" w:hanging="532"/>
        <w:spacing w:after="0" w:line="268" w:lineRule="auto"/>
        <w:tabs>
          <w:tab w:leader="none" w:pos="10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Role of the Arrangers, Bookrunner and Global Co-ordinator</w:t>
      </w:r>
    </w:p>
    <w:p>
      <w:pPr>
        <w:spacing w:after="0" w:line="258" w:lineRule="exact"/>
        <w:rPr>
          <w:sz w:val="20"/>
          <w:szCs w:val="20"/>
          <w:color w:val="auto"/>
        </w:rPr>
      </w:pPr>
    </w:p>
    <w:p>
      <w:pPr>
        <w:ind w:left="540" w:right="240"/>
        <w:spacing w:after="0" w:line="331" w:lineRule="auto"/>
        <w:rPr>
          <w:sz w:val="20"/>
          <w:szCs w:val="20"/>
          <w:color w:val="auto"/>
        </w:rPr>
      </w:pPr>
      <w:r>
        <w:rPr>
          <w:rFonts w:ascii="Arial" w:cs="Arial" w:eastAsia="Arial" w:hAnsi="Arial"/>
          <w:sz w:val="16"/>
          <w:szCs w:val="16"/>
          <w:color w:val="auto"/>
        </w:rPr>
        <w:t>Except as specifically provided in the Finance Documents, the Arrangers, the Bookrunner and the Global Co-ordinator have no obligations of any kind to any other Party under or in connection with any Finance Document or the transactions contemplated by the Finance Documents.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5"/>
          <w:szCs w:val="15"/>
          <w:b w:val="1"/>
          <w:bCs w:val="1"/>
          <w:color w:val="auto"/>
        </w:rPr>
        <w:t>No fiduciary duties</w:t>
      </w:r>
    </w:p>
    <w:p>
      <w:pPr>
        <w:spacing w:after="0" w:line="200" w:lineRule="exact"/>
        <w:rPr>
          <w:sz w:val="20"/>
          <w:szCs w:val="20"/>
          <w:color w:val="auto"/>
        </w:rPr>
      </w:pPr>
    </w:p>
    <w:p>
      <w:pPr>
        <w:spacing w:after="0" w:line="274" w:lineRule="exact"/>
        <w:rPr>
          <w:sz w:val="20"/>
          <w:szCs w:val="20"/>
          <w:color w:val="auto"/>
        </w:rPr>
      </w:pPr>
    </w:p>
    <w:p>
      <w:pPr>
        <w:ind w:left="1080" w:right="2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the Bookrunner and the Global Co-ordinator as a trustee or fiduciary of any other person.</w:t>
      </w:r>
    </w:p>
    <w:p>
      <w:pPr>
        <w:spacing w:after="0" w:line="21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the Bookrunner and the Global Co-ordinator shall be bound to account to any Lender for any sum or the profit element of any sum received by it for its own account or have any obligations to the other Finance Parties beyond those expressly stated in the Finance Documents.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5"/>
          <w:szCs w:val="15"/>
          <w:b w:val="1"/>
          <w:bCs w:val="1"/>
          <w:color w:val="auto"/>
        </w:rPr>
        <w:t>Business with the Group</w:t>
      </w:r>
    </w:p>
    <w:p>
      <w:pPr>
        <w:spacing w:after="0" w:line="24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Agent, the Security Agent, the Arrangers, the Bookrunner and the Global Co-ordinator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5"/>
          <w:szCs w:val="15"/>
          <w:b w:val="1"/>
          <w:bCs w:val="1"/>
          <w:color w:val="auto"/>
        </w:rPr>
        <w:t>Rights and discretions of the Agent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298" w:lineRule="auto"/>
        <w:tabs>
          <w:tab w:leader="none" w:pos="162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(including, without limitation, any notice given by a Lender pursuant to clauses 31.3(b) and 31.3(d) (</w:t>
      </w:r>
      <w:r>
        <w:rPr>
          <w:rFonts w:ascii="Arial" w:cs="Arial" w:eastAsia="Arial" w:hAnsi="Arial"/>
          <w:sz w:val="16"/>
          <w:szCs w:val="16"/>
          <w:i w:val="1"/>
          <w:iCs w:val="1"/>
          <w:color w:val="auto"/>
        </w:rPr>
        <w:t>Disenfranchisement on Debt Purchase Transactions entered into by Affiliates</w:t>
      </w:r>
      <w:r>
        <w:rPr>
          <w:rFonts w:ascii="Arial" w:cs="Arial" w:eastAsia="Arial" w:hAnsi="Arial"/>
          <w:sz w:val="16"/>
          <w:szCs w:val="16"/>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79" w:lineRule="exact"/>
        <w:rPr>
          <w:rFonts w:ascii="Arial" w:cs="Arial" w:eastAsia="Arial" w:hAnsi="Arial"/>
          <w:sz w:val="16"/>
          <w:szCs w:val="16"/>
          <w:color w:val="auto"/>
        </w:rPr>
      </w:pPr>
    </w:p>
    <w:p>
      <w:pPr>
        <w:ind w:left="1620" w:hanging="532"/>
        <w:spacing w:after="0"/>
        <w:tabs>
          <w:tab w:leader="none" w:pos="162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line="268" w:lineRule="auto"/>
        <w:tabs>
          <w:tab w:leader="none" w:pos="2160" w:val="left"/>
        </w:tabs>
        <w:numPr>
          <w:ilvl w:val="2"/>
          <w:numId w:val="460"/>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9" w:lineRule="exact"/>
        <w:rPr>
          <w:rFonts w:ascii="Arial" w:cs="Arial" w:eastAsia="Arial" w:hAnsi="Arial"/>
          <w:sz w:val="18"/>
          <w:szCs w:val="18"/>
          <w:color w:val="auto"/>
        </w:rPr>
      </w:pPr>
    </w:p>
    <w:p>
      <w:pPr>
        <w:ind w:left="2160" w:hanging="532"/>
        <w:spacing w:after="0"/>
        <w:tabs>
          <w:tab w:leader="none" w:pos="2160" w:val="left"/>
        </w:tabs>
        <w:numPr>
          <w:ilvl w:val="2"/>
          <w:numId w:val="460"/>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2"/>
          <w:numId w:val="460"/>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61" w:lineRule="exact"/>
        <w:rPr>
          <w:rFonts w:ascii="Arial" w:cs="Arial" w:eastAsia="Arial" w:hAnsi="Arial"/>
          <w:sz w:val="16"/>
          <w:szCs w:val="16"/>
          <w:color w:val="auto"/>
        </w:rPr>
      </w:pPr>
    </w:p>
    <w:p>
      <w:pPr>
        <w:ind w:left="2160" w:hanging="532"/>
        <w:spacing w:after="0"/>
        <w:tabs>
          <w:tab w:leader="none" w:pos="2160" w:val="left"/>
        </w:tabs>
        <w:numPr>
          <w:ilvl w:val="2"/>
          <w:numId w:val="460"/>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26" w:name="page327"/>
    <w:bookmarkEnd w:id="326"/>
    <w:p>
      <w:pPr>
        <w:ind w:left="540"/>
        <w:spacing w:after="0"/>
        <w:rPr>
          <w:sz w:val="20"/>
          <w:szCs w:val="20"/>
          <w:color w:val="auto"/>
        </w:rPr>
      </w:pPr>
      <w:r>
        <w:rPr>
          <w:rFonts w:ascii="Arial" w:cs="Arial" w:eastAsia="Arial" w:hAnsi="Arial"/>
          <w:sz w:val="16"/>
          <w:szCs w:val="16"/>
          <w:color w:val="auto"/>
        </w:rPr>
        <w:t>as sufficient evidence that that is the case and, in the case of paragraph (i) above, may assume the truth and accuracy of that certificate.</w:t>
      </w:r>
    </w:p>
    <w:p>
      <w:pPr>
        <w:spacing w:after="0" w:line="275" w:lineRule="exact"/>
        <w:rPr>
          <w:sz w:val="20"/>
          <w:szCs w:val="20"/>
          <w:color w:val="auto"/>
        </w:rPr>
      </w:pPr>
    </w:p>
    <w:p>
      <w:pPr>
        <w:ind w:left="540" w:hanging="532"/>
        <w:spacing w:after="0"/>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is made on behalf of and with the consent and knowledge of all the Obligors;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212"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Without prejudice to the generality of clause 32.7(c) or clause 32.7(e),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207" w:lineRule="exact"/>
        <w:rPr>
          <w:rFonts w:ascii="Arial" w:cs="Arial" w:eastAsia="Arial" w:hAnsi="Arial"/>
          <w:sz w:val="18"/>
          <w:szCs w:val="18"/>
          <w:color w:val="auto"/>
        </w:rPr>
      </w:pPr>
    </w:p>
    <w:p>
      <w:pPr>
        <w:ind w:left="540" w:right="20" w:hanging="532"/>
        <w:spacing w:after="0" w:line="254"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223" w:lineRule="exact"/>
        <w:rPr>
          <w:rFonts w:ascii="Arial" w:cs="Arial" w:eastAsia="Arial" w:hAnsi="Arial"/>
          <w:sz w:val="18"/>
          <w:szCs w:val="18"/>
          <w:color w:val="auto"/>
        </w:rPr>
      </w:pPr>
    </w:p>
    <w:p>
      <w:pPr>
        <w:ind w:left="540" w:right="300" w:hanging="532"/>
        <w:spacing w:after="0" w:line="331" w:lineRule="auto"/>
        <w:tabs>
          <w:tab w:leader="none" w:pos="54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Without prejudice to the generality of clause 32.7(h), the Agent may (but is not obliged) disclose the identity of a Defaulting Lender to the other Finance Parties and the Borrowers and the Agent shall disclose the same upon the written request of the Majority Lenders</w:t>
      </w:r>
    </w:p>
    <w:p>
      <w:pPr>
        <w:spacing w:after="0" w:line="14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0960"/>
          </w:cols>
          <w:pgMar w:left="700" w:top="92" w:right="239" w:bottom="1440" w:gutter="0" w:footer="0" w:header="0"/>
        </w:sectPr>
      </w:pPr>
    </w:p>
    <w:bookmarkStart w:id="327" w:name="page328"/>
    <w:bookmarkEnd w:id="327"/>
    <w:p>
      <w:pPr>
        <w:ind w:left="1080" w:right="40" w:hanging="532"/>
        <w:spacing w:after="0" w:line="256"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23"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unless so required in writing by a Lender, in which case the Agent shall promptly make the appropriate request of the Borrowers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request would be in accordance with the terms of this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5"/>
          <w:szCs w:val="15"/>
          <w:b w:val="1"/>
          <w:bCs w:val="1"/>
          <w:color w:val="auto"/>
        </w:rPr>
        <w:t>Responsibility for documentation and other matters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239" w:lineRule="exact"/>
        <w:rPr>
          <w:sz w:val="20"/>
          <w:szCs w:val="20"/>
          <w:color w:val="auto"/>
        </w:rPr>
      </w:pPr>
    </w:p>
    <w:p>
      <w:pPr>
        <w:ind w:left="1080" w:hanging="532"/>
        <w:spacing w:after="0" w:line="298" w:lineRule="auto"/>
        <w:tabs>
          <w:tab w:leader="none" w:pos="10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93" w:lineRule="exact"/>
        <w:rPr>
          <w:rFonts w:ascii="Arial" w:cs="Arial" w:eastAsia="Arial" w:hAnsi="Arial"/>
          <w:sz w:val="16"/>
          <w:szCs w:val="16"/>
          <w:color w:val="auto"/>
        </w:rPr>
      </w:pPr>
    </w:p>
    <w:p>
      <w:pPr>
        <w:ind w:left="1080" w:right="440" w:hanging="532"/>
        <w:spacing w:after="0" w:line="259"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investigating or making any enquiry into the title of any Obligor to any of the Charged Property or any of its other property or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328" w:name="page329"/>
    <w:bookmarkEnd w:id="328"/>
    <w:p>
      <w:pPr>
        <w:ind w:left="1080" w:right="500" w:hanging="532"/>
        <w:spacing w:after="0" w:line="331" w:lineRule="auto"/>
        <w:tabs>
          <w:tab w:leader="none" w:pos="108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67"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99"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6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unsuitability, inadequacy or unfitness of any Charged Property as security for the Revolving Loans and shall not be obliged to make any investigation into, and shall be entitled to assume, the suitability, adequacy and fitness of the Charged Property as security for the Revolving Loans; or</w:t>
      </w:r>
    </w:p>
    <w:p>
      <w:pPr>
        <w:spacing w:after="0" w:line="20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6"/>
          <w:szCs w:val="16"/>
          <w:b w:val="1"/>
          <w:bCs w:val="1"/>
          <w:color w:val="auto"/>
        </w:rPr>
        <w:t>No duty to monitor</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Agent shall not be bound to enquire:</w:t>
      </w:r>
    </w:p>
    <w:p>
      <w:pPr>
        <w:spacing w:after="0" w:line="252" w:lineRule="exact"/>
        <w:rPr>
          <w:sz w:val="20"/>
          <w:szCs w:val="20"/>
          <w:color w:val="auto"/>
        </w:rPr>
      </w:pPr>
    </w:p>
    <w:p>
      <w:pPr>
        <w:ind w:left="1080" w:hanging="532"/>
        <w:spacing w:after="0"/>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32.10</w:t>
      </w:r>
      <w:r>
        <w:rPr>
          <w:sz w:val="20"/>
          <w:szCs w:val="20"/>
          <w:color w:val="auto"/>
        </w:rPr>
        <w:tab/>
      </w:r>
      <w:r>
        <w:rPr>
          <w:rFonts w:ascii="Arial" w:cs="Arial" w:eastAsia="Arial" w:hAnsi="Arial"/>
          <w:sz w:val="15"/>
          <w:szCs w:val="15"/>
          <w:b w:val="1"/>
          <w:bCs w:val="1"/>
          <w:color w:val="auto"/>
        </w:rPr>
        <w:t>Exclusion of liability</w:t>
      </w:r>
    </w:p>
    <w:p>
      <w:pPr>
        <w:spacing w:after="0" w:line="200" w:lineRule="exact"/>
        <w:rPr>
          <w:sz w:val="20"/>
          <w:szCs w:val="20"/>
          <w:color w:val="auto"/>
        </w:rPr>
      </w:pPr>
    </w:p>
    <w:p>
      <w:pPr>
        <w:spacing w:after="0" w:line="288" w:lineRule="exact"/>
        <w:rPr>
          <w:sz w:val="20"/>
          <w:szCs w:val="20"/>
          <w:color w:val="auto"/>
        </w:rPr>
      </w:pPr>
    </w:p>
    <w:p>
      <w:pPr>
        <w:ind w:left="1080" w:right="200" w:hanging="532"/>
        <w:spacing w:after="0" w:line="259" w:lineRule="auto"/>
        <w:tabs>
          <w:tab w:leader="none" w:pos="10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Without limiting clause 32.10(b)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96" w:lineRule="exact"/>
        <w:rPr>
          <w:rFonts w:ascii="Arial" w:cs="Arial" w:eastAsia="Arial" w:hAnsi="Arial"/>
          <w:sz w:val="16"/>
          <w:szCs w:val="16"/>
          <w:color w:val="auto"/>
        </w:rPr>
      </w:pPr>
    </w:p>
    <w:p>
      <w:pPr>
        <w:ind w:left="1620" w:right="460" w:hanging="532"/>
        <w:spacing w:after="0" w:line="268" w:lineRule="auto"/>
        <w:tabs>
          <w:tab w:leader="none" w:pos="162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65" w:right="219" w:bottom="1440" w:gutter="0" w:footer="0" w:header="0"/>
        </w:sectPr>
      </w:pPr>
    </w:p>
    <w:bookmarkStart w:id="329" w:name="page330"/>
    <w:bookmarkEnd w:id="329"/>
    <w:p>
      <w:pPr>
        <w:ind w:left="1080"/>
        <w:spacing w:after="0" w:line="306" w:lineRule="auto"/>
        <w:rPr>
          <w:sz w:val="20"/>
          <w:szCs w:val="20"/>
          <w:color w:val="auto"/>
        </w:rPr>
      </w:pPr>
      <w:r>
        <w:rPr>
          <w:rFonts w:ascii="Arial" w:cs="Arial" w:eastAsia="Arial" w:hAnsi="Arial"/>
          <w:sz w:val="16"/>
          <w:szCs w:val="16"/>
          <w:color w:val="auto"/>
        </w:rPr>
        <w:t>agreement, arrangement or document entered into, made or executed in anticipation of, under or in connection with, any Finance Document or the Charged Property unless directly caused by the gross negligence or wilful default of the Agent and in the course of the exercise or non-exercise by it of any right, power, authority or discretion given to it expressly under a Finance Document; or</w:t>
      </w:r>
    </w:p>
    <w:p>
      <w:pPr>
        <w:spacing w:after="0" w:line="174" w:lineRule="exact"/>
        <w:rPr>
          <w:sz w:val="20"/>
          <w:szCs w:val="20"/>
          <w:color w:val="auto"/>
        </w:rPr>
      </w:pPr>
    </w:p>
    <w:p>
      <w:pPr>
        <w:ind w:left="1080" w:right="240" w:hanging="532"/>
        <w:spacing w:after="0" w:line="268" w:lineRule="auto"/>
        <w:tabs>
          <w:tab w:leader="none" w:pos="108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tabs>
          <w:tab w:leader="none" w:pos="1620" w:val="left"/>
        </w:tabs>
        <w:numPr>
          <w:ilvl w:val="2"/>
          <w:numId w:val="467"/>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25" w:lineRule="exact"/>
        <w:rPr>
          <w:rFonts w:ascii="Arial" w:cs="Arial" w:eastAsia="Arial" w:hAnsi="Arial"/>
          <w:sz w:val="18"/>
          <w:szCs w:val="18"/>
          <w:color w:val="auto"/>
        </w:rPr>
      </w:pPr>
    </w:p>
    <w:p>
      <w:pPr>
        <w:ind w:left="1620" w:right="140"/>
        <w:spacing w:after="0" w:line="294" w:lineRule="auto"/>
        <w:rPr>
          <w:rFonts w:ascii="Arial" w:cs="Arial" w:eastAsia="Arial" w:hAnsi="Arial"/>
          <w:sz w:val="18"/>
          <w:szCs w:val="18"/>
          <w:color w:val="auto"/>
        </w:rPr>
      </w:pPr>
      <w:r>
        <w:rPr>
          <w:rFonts w:ascii="Arial" w:cs="Arial" w:eastAsia="Arial" w:hAnsi="Arial"/>
          <w:sz w:val="16"/>
          <w:szCs w:val="16"/>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182" w:lineRule="exact"/>
        <w:rPr>
          <w:rFonts w:ascii="Arial" w:cs="Arial" w:eastAsia="Arial" w:hAnsi="Arial"/>
          <w:sz w:val="18"/>
          <w:szCs w:val="18"/>
          <w:color w:val="auto"/>
        </w:rPr>
      </w:pPr>
    </w:p>
    <w:p>
      <w:pPr>
        <w:ind w:left="540" w:right="120" w:hanging="532"/>
        <w:spacing w:after="0" w:line="256" w:lineRule="auto"/>
        <w:tabs>
          <w:tab w:leader="none" w:pos="5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32.10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223" w:lineRule="exact"/>
        <w:rPr>
          <w:rFonts w:ascii="Arial" w:cs="Arial" w:eastAsia="Arial" w:hAnsi="Arial"/>
          <w:sz w:val="18"/>
          <w:szCs w:val="18"/>
          <w:color w:val="auto"/>
        </w:rPr>
      </w:pPr>
    </w:p>
    <w:p>
      <w:pPr>
        <w:ind w:left="540" w:right="300" w:hanging="532"/>
        <w:spacing w:after="0" w:line="306" w:lineRule="auto"/>
        <w:tabs>
          <w:tab w:leader="none" w:pos="54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73" w:lineRule="exact"/>
        <w:rPr>
          <w:rFonts w:ascii="Arial" w:cs="Arial" w:eastAsia="Arial" w:hAnsi="Arial"/>
          <w:sz w:val="16"/>
          <w:szCs w:val="16"/>
          <w:color w:val="auto"/>
        </w:rPr>
      </w:pPr>
    </w:p>
    <w:p>
      <w:pPr>
        <w:ind w:left="540" w:hanging="532"/>
        <w:spacing w:after="0"/>
        <w:tabs>
          <w:tab w:leader="none" w:pos="5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52" w:lineRule="exact"/>
        <w:rPr>
          <w:sz w:val="20"/>
          <w:szCs w:val="20"/>
          <w:color w:val="auto"/>
        </w:rPr>
      </w:pPr>
    </w:p>
    <w:p>
      <w:pPr>
        <w:ind w:left="1080" w:hanging="532"/>
        <w:spacing w:after="0"/>
        <w:tabs>
          <w:tab w:leader="none" w:pos="108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25" w:lineRule="exact"/>
        <w:rPr>
          <w:rFonts w:ascii="Arial" w:cs="Arial" w:eastAsia="Arial" w:hAnsi="Arial"/>
          <w:sz w:val="18"/>
          <w:szCs w:val="18"/>
          <w:color w:val="auto"/>
        </w:rPr>
      </w:pPr>
    </w:p>
    <w:p>
      <w:pPr>
        <w:ind w:left="1080" w:right="520"/>
        <w:spacing w:after="0" w:line="331" w:lineRule="auto"/>
        <w:rPr>
          <w:rFonts w:ascii="Arial" w:cs="Arial" w:eastAsia="Arial" w:hAnsi="Arial"/>
          <w:sz w:val="18"/>
          <w:szCs w:val="18"/>
          <w:color w:val="auto"/>
        </w:rPr>
      </w:pPr>
      <w:r>
        <w:rPr>
          <w:rFonts w:ascii="Arial" w:cs="Arial" w:eastAsia="Arial" w:hAnsi="Arial"/>
          <w:sz w:val="16"/>
          <w:szCs w:val="16"/>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154"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34187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020"/>
          </w:cols>
          <w:pgMar w:left="700" w:top="51" w:right="179" w:bottom="1440" w:gutter="0" w:footer="0" w:header="0"/>
        </w:sectPr>
      </w:pPr>
    </w:p>
    <w:bookmarkStart w:id="330" w:name="page331"/>
    <w:bookmarkEnd w:id="330"/>
    <w:p>
      <w:pPr>
        <w:ind w:left="1080" w:right="480"/>
        <w:spacing w:after="0" w:line="268" w:lineRule="auto"/>
        <w:rPr>
          <w:sz w:val="20"/>
          <w:szCs w:val="20"/>
          <w:color w:val="auto"/>
        </w:rPr>
      </w:pPr>
      <w:r>
        <w:rPr>
          <w:rFonts w:ascii="Arial" w:cs="Arial" w:eastAsia="Arial" w:hAnsi="Arial"/>
          <w:sz w:val="18"/>
          <w:szCs w:val="18"/>
          <w:color w:val="auto"/>
        </w:rPr>
        <w:t>saving, or for special, punitive, indirect or consequential damages, whether or not the Agent has been advised of the possibility of such loss or damages.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32.11</w:t>
      </w:r>
      <w:r>
        <w:rPr>
          <w:sz w:val="20"/>
          <w:szCs w:val="20"/>
          <w:color w:val="auto"/>
        </w:rPr>
        <w:tab/>
      </w:r>
      <w:r>
        <w:rPr>
          <w:rFonts w:ascii="Arial" w:cs="Arial" w:eastAsia="Arial" w:hAnsi="Arial"/>
          <w:sz w:val="16"/>
          <w:szCs w:val="16"/>
          <w:b w:val="1"/>
          <w:bCs w:val="1"/>
          <w:color w:val="auto"/>
        </w:rPr>
        <w:t>Lenders' indemnity to the Agent</w:t>
      </w:r>
    </w:p>
    <w:p>
      <w:pPr>
        <w:spacing w:after="0" w:line="200" w:lineRule="exact"/>
        <w:rPr>
          <w:sz w:val="20"/>
          <w:szCs w:val="20"/>
          <w:color w:val="auto"/>
        </w:rPr>
      </w:pPr>
    </w:p>
    <w:p>
      <w:pPr>
        <w:spacing w:after="0" w:line="288" w:lineRule="exact"/>
        <w:rPr>
          <w:sz w:val="20"/>
          <w:szCs w:val="20"/>
          <w:color w:val="auto"/>
        </w:rPr>
      </w:pPr>
    </w:p>
    <w:p>
      <w:pPr>
        <w:ind w:left="1080" w:right="60" w:hanging="532"/>
        <w:spacing w:after="0" w:line="268" w:lineRule="auto"/>
        <w:tabs>
          <w:tab w:leader="none" w:pos="10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Each Lender shall (in proportion (if no part of the Revolving Loans is then outstanding) to its share of the Total Commitments or (at any other time) to its participation in the Revolving Loans) indemnify the Agent, within five Business Days of demand, against: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56" w:lineRule="auto"/>
        <w:tabs>
          <w:tab w:leader="none" w:pos="16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any Losses for negligence or any other category of liability whatsoever incurred by the Agent in the circumstances contemplated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210"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200" w:lineRule="exact"/>
        <w:rPr>
          <w:sz w:val="20"/>
          <w:szCs w:val="20"/>
          <w:color w:val="auto"/>
        </w:rPr>
      </w:pPr>
    </w:p>
    <w:p>
      <w:pPr>
        <w:spacing w:after="0" w:line="26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each case incurred by the Agent in acting as such under the Finance Documents (unless the Agent has been reimbursed by an Obligor pursuant to</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Finance Document or out of the Trust Property) and this clause 32.11 as applied in favour of the Security Agent pursuant to clause 32.21</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Application of certain clauses to Security Agent</w:t>
      </w:r>
      <w:r>
        <w:rPr>
          <w:rFonts w:ascii="Arial" w:cs="Arial" w:eastAsia="Arial" w:hAnsi="Arial"/>
          <w:sz w:val="16"/>
          <w:szCs w:val="16"/>
          <w:color w:val="auto"/>
        </w:rPr>
        <w:t>) shall be without prejudice to any right to indemnity by law given to trustees generally and any</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indemnity in the Security Agent's favour in any other Finance Document.</w:t>
      </w:r>
    </w:p>
    <w:p>
      <w:pPr>
        <w:spacing w:after="0" w:line="259"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color w:val="auto"/>
        </w:rPr>
        <w:t>The indemnities contained in this clause 32.11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207" w:lineRule="exact"/>
        <w:rPr>
          <w:sz w:val="20"/>
          <w:szCs w:val="20"/>
          <w:color w:val="auto"/>
        </w:rPr>
      </w:pPr>
    </w:p>
    <w:p>
      <w:pPr>
        <w:ind w:left="1080" w:right="400" w:hanging="532"/>
        <w:spacing w:after="0" w:line="268" w:lineRule="auto"/>
        <w:tabs>
          <w:tab w:leader="none" w:pos="10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Subject to clause 32.11(c), the Borrowers shall immediately on demand reimburse any Lender for any payment that Lender makes to the Agent pursuant to clause 32.11(a).</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Clause 32.11(b) shall not apply to the extent that the indemnity payment in respect of which the Lender claims reimbursement relates to a liability of the Agent to an Obligor.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32.12</w:t>
      </w:r>
      <w:r>
        <w:rPr>
          <w:sz w:val="20"/>
          <w:szCs w:val="20"/>
          <w:color w:val="auto"/>
        </w:rPr>
        <w:tab/>
      </w:r>
      <w:r>
        <w:rPr>
          <w:rFonts w:ascii="Arial" w:cs="Arial" w:eastAsia="Arial" w:hAnsi="Arial"/>
          <w:sz w:val="15"/>
          <w:szCs w:val="15"/>
          <w:b w:val="1"/>
          <w:bCs w:val="1"/>
          <w:color w:val="auto"/>
        </w:rPr>
        <w:t>Resignation of the Agent</w:t>
      </w:r>
    </w:p>
    <w:p>
      <w:pPr>
        <w:spacing w:after="0" w:line="200" w:lineRule="exact"/>
        <w:rPr>
          <w:sz w:val="20"/>
          <w:szCs w:val="20"/>
          <w:color w:val="auto"/>
        </w:rPr>
      </w:pPr>
    </w:p>
    <w:p>
      <w:pPr>
        <w:spacing w:after="0" w:line="274" w:lineRule="exact"/>
        <w:rPr>
          <w:sz w:val="20"/>
          <w:szCs w:val="20"/>
          <w:color w:val="auto"/>
        </w:rPr>
      </w:pPr>
    </w:p>
    <w:p>
      <w:pPr>
        <w:ind w:left="1080" w:right="80" w:hanging="532"/>
        <w:spacing w:after="0" w:line="268" w:lineRule="auto"/>
        <w:tabs>
          <w:tab w:leader="none" w:pos="10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Borrowers.</w:t>
      </w:r>
    </w:p>
    <w:p>
      <w:pPr>
        <w:spacing w:after="0" w:line="212"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w:t>
      </w:r>
    </w:p>
    <w:p>
      <w:pPr>
        <w:spacing w:after="0" w:line="154"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32.12(b) above within 30 days after notice of resignation was given, the retiring Agent (after consultation with the Borrowers) may appoint a successor Agent.</w:t>
      </w:r>
    </w:p>
    <w:p>
      <w:pPr>
        <w:spacing w:after="0" w:line="199" w:lineRule="exact"/>
        <w:rPr>
          <w:rFonts w:ascii="Arial" w:cs="Arial" w:eastAsia="Arial" w:hAnsi="Arial"/>
          <w:sz w:val="18"/>
          <w:szCs w:val="18"/>
          <w:color w:val="auto"/>
        </w:rPr>
      </w:pPr>
    </w:p>
    <w:p>
      <w:pPr>
        <w:ind w:left="1080" w:right="480" w:hanging="532"/>
        <w:spacing w:after="0" w:line="331" w:lineRule="auto"/>
        <w:tabs>
          <w:tab w:leader="none" w:pos="108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retiring Agent shall, either at the Lenders' expense if it has been required to resign pursuant to clause 32.13 (</w:t>
      </w:r>
      <w:r>
        <w:rPr>
          <w:rFonts w:ascii="Arial" w:cs="Arial" w:eastAsia="Arial" w:hAnsi="Arial"/>
          <w:sz w:val="16"/>
          <w:szCs w:val="16"/>
          <w:i w:val="1"/>
          <w:iCs w:val="1"/>
          <w:color w:val="auto"/>
        </w:rPr>
        <w:t>Replacement of the Agent</w:t>
      </w:r>
      <w:r>
        <w:rPr>
          <w:rFonts w:ascii="Arial" w:cs="Arial" w:eastAsia="Arial" w:hAnsi="Arial"/>
          <w:sz w:val="16"/>
          <w:szCs w:val="16"/>
          <w:color w:val="auto"/>
        </w:rPr>
        <w:t>) or otherwise at its own cost, make available to the successor Agent such documents and records and provide such assistance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31" w:name="page332"/>
    <w:bookmarkEnd w:id="331"/>
    <w:p>
      <w:pPr>
        <w:ind w:left="1080" w:right="120"/>
        <w:spacing w:after="0" w:line="306" w:lineRule="auto"/>
        <w:rPr>
          <w:sz w:val="20"/>
          <w:szCs w:val="20"/>
          <w:color w:val="auto"/>
        </w:rPr>
      </w:pPr>
      <w:r>
        <w:rPr>
          <w:rFonts w:ascii="Arial" w:cs="Arial" w:eastAsia="Arial" w:hAnsi="Arial"/>
          <w:sz w:val="16"/>
          <w:szCs w:val="16"/>
          <w:color w:val="auto"/>
        </w:rPr>
        <w:t>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174" w:lineRule="exact"/>
        <w:rPr>
          <w:sz w:val="20"/>
          <w:szCs w:val="20"/>
          <w:color w:val="auto"/>
        </w:rPr>
      </w:pPr>
    </w:p>
    <w:p>
      <w:pPr>
        <w:ind w:left="1080" w:hanging="532"/>
        <w:spacing w:after="0"/>
        <w:tabs>
          <w:tab w:leader="none" w:pos="10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52"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32.12(d)) but shall remain entitled to the benefit of clause 14.3 (</w:t>
      </w:r>
      <w:r>
        <w:rPr>
          <w:rFonts w:ascii="Arial" w:cs="Arial" w:eastAsia="Arial" w:hAnsi="Arial"/>
          <w:sz w:val="16"/>
          <w:szCs w:val="16"/>
          <w:i w:val="1"/>
          <w:iCs w:val="1"/>
          <w:color w:val="auto"/>
        </w:rPr>
        <w:t>Indemnity to the Agent, Security Agent</w:t>
      </w:r>
      <w:r>
        <w:rPr>
          <w:rFonts w:ascii="Arial" w:cs="Arial" w:eastAsia="Arial" w:hAnsi="Arial"/>
          <w:sz w:val="16"/>
          <w:szCs w:val="16"/>
          <w:color w:val="auto"/>
        </w:rPr>
        <w:t>) and this clause 32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82" w:lineRule="exact"/>
        <w:rPr>
          <w:rFonts w:ascii="Arial" w:cs="Arial" w:eastAsia="Arial" w:hAnsi="Arial"/>
          <w:sz w:val="16"/>
          <w:szCs w:val="16"/>
          <w:color w:val="auto"/>
        </w:rPr>
      </w:pPr>
    </w:p>
    <w:p>
      <w:pPr>
        <w:jc w:val="both"/>
        <w:ind w:left="1080" w:right="360" w:hanging="532"/>
        <w:spacing w:after="0" w:line="259" w:lineRule="auto"/>
        <w:tabs>
          <w:tab w:leader="none" w:pos="10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32.12(b) above (and, to the extent applicable, shall use reasonable endeavours to appoint a successor Agent pursuant to paragraph 32.12(c) above) if on or after the date which is three months before the earliest FATCA Application Date relating to any payment to the Agent under the Finance Documents, either: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line="331" w:lineRule="auto"/>
        <w:tabs>
          <w:tab w:leader="none" w:pos="162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the Agent fails to respond to a request under clause 12.5 (</w:t>
      </w:r>
      <w:r>
        <w:rPr>
          <w:rFonts w:ascii="Arial" w:cs="Arial" w:eastAsia="Arial" w:hAnsi="Arial"/>
          <w:sz w:val="16"/>
          <w:szCs w:val="16"/>
          <w:i w:val="1"/>
          <w:iCs w:val="1"/>
          <w:color w:val="auto"/>
        </w:rPr>
        <w:t>FATCA Information</w:t>
      </w:r>
      <w:r>
        <w:rPr>
          <w:rFonts w:ascii="Arial" w:cs="Arial" w:eastAsia="Arial" w:hAnsi="Arial"/>
          <w:sz w:val="16"/>
          <w:szCs w:val="16"/>
          <w:color w:val="auto"/>
        </w:rPr>
        <w:t>) and a Borrower or a Lender reasonably believes that the Agent will not be (or will have ceased to be) a FATCA Exempt Party on or after that FATCA Application Date;</w:t>
      </w:r>
    </w:p>
    <w:p>
      <w:pPr>
        <w:spacing w:after="0" w:line="167" w:lineRule="exact"/>
        <w:rPr>
          <w:rFonts w:ascii="Arial" w:cs="Arial" w:eastAsia="Arial" w:hAnsi="Arial"/>
          <w:sz w:val="16"/>
          <w:szCs w:val="16"/>
          <w:color w:val="auto"/>
        </w:rPr>
      </w:pPr>
    </w:p>
    <w:p>
      <w:pPr>
        <w:ind w:left="1620" w:right="100" w:hanging="532"/>
        <w:spacing w:after="0" w:line="268" w:lineRule="auto"/>
        <w:tabs>
          <w:tab w:leader="none" w:pos="16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99"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200" w:lineRule="exact"/>
        <w:rPr>
          <w:sz w:val="20"/>
          <w:szCs w:val="20"/>
          <w:color w:val="auto"/>
        </w:rPr>
      </w:pPr>
    </w:p>
    <w:p>
      <w:pPr>
        <w:spacing w:after="0" w:line="242" w:lineRule="exact"/>
        <w:rPr>
          <w:sz w:val="20"/>
          <w:szCs w:val="20"/>
          <w:color w:val="auto"/>
        </w:rPr>
      </w:pPr>
    </w:p>
    <w:p>
      <w:pPr>
        <w:ind w:left="1080" w:right="120"/>
        <w:spacing w:after="0" w:line="331" w:lineRule="auto"/>
        <w:rPr>
          <w:sz w:val="20"/>
          <w:szCs w:val="20"/>
          <w:color w:val="auto"/>
        </w:rPr>
      </w:pPr>
      <w:r>
        <w:rPr>
          <w:rFonts w:ascii="Arial" w:cs="Arial" w:eastAsia="Arial" w:hAnsi="Arial"/>
          <w:sz w:val="16"/>
          <w:szCs w:val="16"/>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32.13</w:t>
      </w:r>
      <w:r>
        <w:rPr>
          <w:sz w:val="20"/>
          <w:szCs w:val="20"/>
          <w:color w:val="auto"/>
        </w:rPr>
        <w:tab/>
      </w:r>
      <w:r>
        <w:rPr>
          <w:rFonts w:ascii="Arial" w:cs="Arial" w:eastAsia="Arial" w:hAnsi="Arial"/>
          <w:sz w:val="15"/>
          <w:szCs w:val="15"/>
          <w:b w:val="1"/>
          <w:bCs w:val="1"/>
          <w:color w:val="auto"/>
        </w:rPr>
        <w:t>Replacement of the Agent</w:t>
      </w:r>
    </w:p>
    <w:p>
      <w:pPr>
        <w:spacing w:after="0" w:line="200" w:lineRule="exact"/>
        <w:rPr>
          <w:sz w:val="20"/>
          <w:szCs w:val="20"/>
          <w:color w:val="auto"/>
        </w:rPr>
      </w:pPr>
    </w:p>
    <w:p>
      <w:pPr>
        <w:spacing w:after="0" w:line="288" w:lineRule="exact"/>
        <w:rPr>
          <w:sz w:val="20"/>
          <w:szCs w:val="20"/>
          <w:color w:val="auto"/>
        </w:rPr>
      </w:pPr>
    </w:p>
    <w:p>
      <w:pPr>
        <w:ind w:left="1080" w:right="260" w:hanging="532"/>
        <w:spacing w:after="0" w:line="331" w:lineRule="auto"/>
        <w:tabs>
          <w:tab w:leader="none" w:pos="108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154"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20" w:lineRule="exact"/>
        <w:rPr>
          <w:rFonts w:ascii="Arial" w:cs="Arial" w:eastAsia="Arial" w:hAnsi="Arial"/>
          <w:sz w:val="18"/>
          <w:szCs w:val="18"/>
          <w:color w:val="auto"/>
        </w:rPr>
      </w:pPr>
    </w:p>
    <w:p>
      <w:pPr>
        <w:ind w:left="1080" w:right="40" w:hanging="532"/>
        <w:spacing w:after="0" w:line="331" w:lineRule="auto"/>
        <w:tabs>
          <w:tab w:leader="none" w:pos="108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2" w:name="page333"/>
    <w:bookmarkEnd w:id="332"/>
    <w:p>
      <w:pPr>
        <w:ind w:left="1080" w:right="140"/>
        <w:spacing w:after="0" w:line="268" w:lineRule="auto"/>
        <w:rPr>
          <w:sz w:val="20"/>
          <w:szCs w:val="20"/>
          <w:color w:val="auto"/>
        </w:rPr>
      </w:pPr>
      <w:r>
        <w:rPr>
          <w:rFonts w:ascii="Arial" w:cs="Arial" w:eastAsia="Arial" w:hAnsi="Arial"/>
          <w:sz w:val="18"/>
          <w:szCs w:val="18"/>
          <w:color w:val="auto"/>
        </w:rPr>
        <w:t>(other than its obligations under clause 32.13(b)) (and any agency fees for the account of the retiring Agent shall cease to accrue from (and shall be payable on) that date).</w:t>
      </w:r>
    </w:p>
    <w:p>
      <w:pPr>
        <w:spacing w:after="0" w:line="199" w:lineRule="exact"/>
        <w:rPr>
          <w:sz w:val="20"/>
          <w:szCs w:val="20"/>
          <w:color w:val="auto"/>
        </w:rPr>
      </w:pPr>
    </w:p>
    <w:p>
      <w:pPr>
        <w:ind w:left="1080" w:right="300" w:hanging="532"/>
        <w:spacing w:after="0" w:line="268" w:lineRule="auto"/>
        <w:tabs>
          <w:tab w:leader="none" w:pos="10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32.14</w:t>
      </w:r>
      <w:r>
        <w:rPr>
          <w:sz w:val="20"/>
          <w:szCs w:val="20"/>
          <w:color w:val="auto"/>
        </w:rPr>
        <w:tab/>
      </w:r>
      <w:r>
        <w:rPr>
          <w:rFonts w:ascii="Arial" w:cs="Arial" w:eastAsia="Arial" w:hAnsi="Arial"/>
          <w:sz w:val="16"/>
          <w:szCs w:val="16"/>
          <w:b w:val="1"/>
          <w:bCs w:val="1"/>
          <w:color w:val="auto"/>
        </w:rPr>
        <w:t>Confidentiality</w:t>
      </w:r>
    </w:p>
    <w:p>
      <w:pPr>
        <w:spacing w:after="0" w:line="200" w:lineRule="exact"/>
        <w:rPr>
          <w:sz w:val="20"/>
          <w:szCs w:val="20"/>
          <w:color w:val="auto"/>
        </w:rPr>
      </w:pPr>
    </w:p>
    <w:p>
      <w:pPr>
        <w:spacing w:after="0" w:line="288" w:lineRule="exact"/>
        <w:rPr>
          <w:sz w:val="20"/>
          <w:szCs w:val="20"/>
          <w:color w:val="auto"/>
        </w:rPr>
      </w:pPr>
    </w:p>
    <w:p>
      <w:pPr>
        <w:ind w:left="1080" w:right="140" w:hanging="532"/>
        <w:spacing w:after="0" w:line="331" w:lineRule="auto"/>
        <w:tabs>
          <w:tab w:leader="none" w:pos="108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54"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32.15</w:t>
      </w:r>
      <w:r>
        <w:rPr>
          <w:sz w:val="20"/>
          <w:szCs w:val="20"/>
          <w:color w:val="auto"/>
        </w:rPr>
        <w:tab/>
      </w:r>
      <w:r>
        <w:rPr>
          <w:rFonts w:ascii="Arial" w:cs="Arial" w:eastAsia="Arial" w:hAnsi="Arial"/>
          <w:sz w:val="15"/>
          <w:szCs w:val="15"/>
          <w:b w:val="1"/>
          <w:bCs w:val="1"/>
          <w:color w:val="auto"/>
        </w:rPr>
        <w:t>Relationship with the Lenders</w:t>
      </w:r>
    </w:p>
    <w:p>
      <w:pPr>
        <w:spacing w:after="0" w:line="200" w:lineRule="exact"/>
        <w:rPr>
          <w:sz w:val="20"/>
          <w:szCs w:val="20"/>
          <w:color w:val="auto"/>
        </w:rPr>
      </w:pPr>
    </w:p>
    <w:p>
      <w:pPr>
        <w:spacing w:after="0" w:line="274" w:lineRule="exact"/>
        <w:rPr>
          <w:sz w:val="20"/>
          <w:szCs w:val="20"/>
          <w:color w:val="auto"/>
        </w:rPr>
      </w:pPr>
    </w:p>
    <w:p>
      <w:pPr>
        <w:ind w:left="1080" w:hanging="532"/>
        <w:spacing w:after="0" w:line="331" w:lineRule="auto"/>
        <w:tabs>
          <w:tab w:leader="none" w:pos="108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Subject to clause 30.8 (</w:t>
      </w:r>
      <w:r>
        <w:rPr>
          <w:rFonts w:ascii="Arial" w:cs="Arial" w:eastAsia="Arial" w:hAnsi="Arial"/>
          <w:sz w:val="16"/>
          <w:szCs w:val="16"/>
          <w:i w:val="1"/>
          <w:iCs w:val="1"/>
          <w:color w:val="auto"/>
        </w:rPr>
        <w:t>Pro rata interest settlement</w:t>
      </w:r>
      <w:r>
        <w:rPr>
          <w:rFonts w:ascii="Arial" w:cs="Arial" w:eastAsia="Arial" w:hAnsi="Arial"/>
          <w:sz w:val="16"/>
          <w:szCs w:val="16"/>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383" w:lineRule="exact"/>
        <w:rPr>
          <w:rFonts w:ascii="Arial" w:cs="Arial" w:eastAsia="Arial" w:hAnsi="Arial"/>
          <w:sz w:val="16"/>
          <w:szCs w:val="16"/>
          <w:color w:val="auto"/>
        </w:rPr>
      </w:pPr>
    </w:p>
    <w:p>
      <w:pPr>
        <w:ind w:left="1620" w:hanging="532"/>
        <w:spacing w:after="0"/>
        <w:tabs>
          <w:tab w:leader="none" w:pos="16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38"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200" w:lineRule="exact"/>
        <w:rPr>
          <w:sz w:val="20"/>
          <w:szCs w:val="20"/>
          <w:color w:val="auto"/>
        </w:rPr>
      </w:pP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it has received not less than five Business Days prior notice from that Lender to the contrary in accordance with the terms of this Agreement.</w:t>
      </w:r>
    </w:p>
    <w:p>
      <w:pPr>
        <w:spacing w:after="0" w:line="275" w:lineRule="exact"/>
        <w:rPr>
          <w:sz w:val="20"/>
          <w:szCs w:val="20"/>
          <w:color w:val="auto"/>
        </w:rPr>
      </w:pPr>
    </w:p>
    <w:p>
      <w:pPr>
        <w:ind w:left="1080" w:right="100" w:hanging="532"/>
        <w:spacing w:after="0" w:line="288" w:lineRule="auto"/>
        <w:tabs>
          <w:tab w:leader="none" w:pos="108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fax number and (where communication by electronic mail or other electronic means is permitted under clause 37.5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37.2 (</w:t>
      </w:r>
      <w:r>
        <w:rPr>
          <w:rFonts w:ascii="Arial" w:cs="Arial" w:eastAsia="Arial" w:hAnsi="Arial"/>
          <w:sz w:val="16"/>
          <w:szCs w:val="16"/>
          <w:i w:val="1"/>
          <w:iCs w:val="1"/>
          <w:color w:val="auto"/>
        </w:rPr>
        <w:t>Addresses</w:t>
      </w:r>
      <w:r>
        <w:rPr>
          <w:rFonts w:ascii="Arial" w:cs="Arial" w:eastAsia="Arial" w:hAnsi="Arial"/>
          <w:sz w:val="16"/>
          <w:szCs w:val="16"/>
          <w:color w:val="auto"/>
        </w:rPr>
        <w:t>) and clause 37.5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that Lender.</w:t>
      </w:r>
    </w:p>
    <w:p>
      <w:pPr>
        <w:spacing w:after="0" w:line="19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3" w:name="page334"/>
    <w:bookmarkEnd w:id="333"/>
    <w:p>
      <w:pPr>
        <w:spacing w:after="0"/>
        <w:tabs>
          <w:tab w:leader="none" w:pos="520" w:val="left"/>
        </w:tabs>
        <w:rPr>
          <w:sz w:val="20"/>
          <w:szCs w:val="20"/>
          <w:color w:val="auto"/>
        </w:rPr>
      </w:pPr>
      <w:r>
        <w:rPr>
          <w:rFonts w:ascii="Arial" w:cs="Arial" w:eastAsia="Arial" w:hAnsi="Arial"/>
          <w:sz w:val="18"/>
          <w:szCs w:val="18"/>
          <w:b w:val="1"/>
          <w:bCs w:val="1"/>
          <w:color w:val="auto"/>
        </w:rPr>
        <w:t>32.16</w:t>
      </w:r>
      <w:r>
        <w:rPr>
          <w:sz w:val="20"/>
          <w:szCs w:val="20"/>
          <w:color w:val="auto"/>
        </w:rPr>
        <w:tab/>
      </w:r>
      <w:r>
        <w:rPr>
          <w:rFonts w:ascii="Arial" w:cs="Arial" w:eastAsia="Arial" w:hAnsi="Arial"/>
          <w:sz w:val="16"/>
          <w:szCs w:val="16"/>
          <w:b w:val="1"/>
          <w:bCs w:val="1"/>
          <w:color w:val="auto"/>
        </w:rPr>
        <w:t>Credit appraisal by the Lenders</w:t>
      </w:r>
    </w:p>
    <w:p>
      <w:pPr>
        <w:spacing w:after="0" w:line="24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221" w:lineRule="exact"/>
        <w:rPr>
          <w:sz w:val="20"/>
          <w:szCs w:val="20"/>
          <w:color w:val="auto"/>
        </w:rPr>
      </w:pPr>
    </w:p>
    <w:p>
      <w:pPr>
        <w:ind w:left="1080" w:hanging="532"/>
        <w:spacing w:after="0"/>
        <w:tabs>
          <w:tab w:leader="none" w:pos="10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38"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73" w:lineRule="exact"/>
        <w:rPr>
          <w:rFonts w:ascii="Arial" w:cs="Arial" w:eastAsia="Arial" w:hAnsi="Arial"/>
          <w:sz w:val="16"/>
          <w:szCs w:val="16"/>
          <w:color w:val="auto"/>
        </w:rPr>
      </w:pPr>
    </w:p>
    <w:p>
      <w:pPr>
        <w:ind w:left="1080" w:hanging="532"/>
        <w:spacing w:after="0" w:line="335" w:lineRule="auto"/>
        <w:tabs>
          <w:tab w:leader="none" w:pos="1080" w:val="left"/>
        </w:tabs>
        <w:numPr>
          <w:ilvl w:val="0"/>
          <w:numId w:val="480"/>
        </w:numPr>
        <w:rPr>
          <w:rFonts w:ascii="Arial" w:cs="Arial" w:eastAsia="Arial" w:hAnsi="Arial"/>
          <w:sz w:val="15"/>
          <w:szCs w:val="15"/>
          <w:color w:val="auto"/>
        </w:rPr>
      </w:pPr>
      <w:r>
        <w:rPr>
          <w:rFonts w:ascii="Arial" w:cs="Arial" w:eastAsia="Arial" w:hAnsi="Arial"/>
          <w:sz w:val="15"/>
          <w:szCs w:val="15"/>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155"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32.17</w:t>
      </w:r>
      <w:r>
        <w:rPr>
          <w:sz w:val="20"/>
          <w:szCs w:val="20"/>
          <w:color w:val="auto"/>
        </w:rPr>
        <w:tab/>
      </w:r>
      <w:r>
        <w:rPr>
          <w:rFonts w:ascii="Arial" w:cs="Arial" w:eastAsia="Arial" w:hAnsi="Arial"/>
          <w:sz w:val="15"/>
          <w:szCs w:val="15"/>
          <w:b w:val="1"/>
          <w:bCs w:val="1"/>
          <w:color w:val="auto"/>
        </w:rPr>
        <w:t>Agent's management time and additional remuneration</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81"/>
        </w:numPr>
        <w:rPr>
          <w:rFonts w:ascii="Arial" w:cs="Arial" w:eastAsia="Arial" w:hAnsi="Arial"/>
          <w:sz w:val="15"/>
          <w:szCs w:val="15"/>
          <w:color w:val="auto"/>
        </w:rPr>
      </w:pPr>
      <w:r>
        <w:rPr>
          <w:rFonts w:ascii="Arial" w:cs="Arial" w:eastAsia="Arial" w:hAnsi="Arial"/>
          <w:sz w:val="15"/>
          <w:szCs w:val="15"/>
          <w:color w:val="auto"/>
        </w:rPr>
        <w:t>Any amount payable to the Agent under clause 14.3 (</w:t>
      </w:r>
      <w:r>
        <w:rPr>
          <w:rFonts w:ascii="Arial" w:cs="Arial" w:eastAsia="Arial" w:hAnsi="Arial"/>
          <w:sz w:val="15"/>
          <w:szCs w:val="15"/>
          <w:i w:val="1"/>
          <w:iCs w:val="1"/>
          <w:color w:val="auto"/>
        </w:rPr>
        <w:t>Indemnity to the Agent and Security Agent</w:t>
      </w:r>
      <w:r>
        <w:rPr>
          <w:rFonts w:ascii="Arial" w:cs="Arial" w:eastAsia="Arial" w:hAnsi="Arial"/>
          <w:sz w:val="15"/>
          <w:szCs w:val="15"/>
          <w:color w:val="auto"/>
        </w:rPr>
        <w:t>), clause 16 (</w:t>
      </w:r>
      <w:r>
        <w:rPr>
          <w:rFonts w:ascii="Arial" w:cs="Arial" w:eastAsia="Arial" w:hAnsi="Arial"/>
          <w:sz w:val="15"/>
          <w:szCs w:val="15"/>
          <w:i w:val="1"/>
          <w:iCs w:val="1"/>
          <w:color w:val="auto"/>
        </w:rPr>
        <w:t>Costs and expenses</w:t>
      </w:r>
      <w:r>
        <w:rPr>
          <w:rFonts w:ascii="Arial" w:cs="Arial" w:eastAsia="Arial" w:hAnsi="Arial"/>
          <w:sz w:val="15"/>
          <w:szCs w:val="15"/>
          <w:color w:val="auto"/>
        </w:rPr>
        <w:t>) and clause 32.11</w:t>
      </w:r>
    </w:p>
    <w:p>
      <w:pPr>
        <w:spacing w:after="0" w:line="49" w:lineRule="exact"/>
        <w:rPr>
          <w:rFonts w:ascii="Arial" w:cs="Arial" w:eastAsia="Arial" w:hAnsi="Arial"/>
          <w:sz w:val="15"/>
          <w:szCs w:val="15"/>
          <w:color w:val="auto"/>
        </w:rPr>
      </w:pPr>
    </w:p>
    <w:p>
      <w:pPr>
        <w:ind w:left="1080" w:right="20"/>
        <w:spacing w:after="0" w:line="253" w:lineRule="auto"/>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 of clause 32.21 (</w:t>
      </w:r>
      <w:r>
        <w:rPr>
          <w:rFonts w:ascii="Arial" w:cs="Arial" w:eastAsia="Arial" w:hAnsi="Arial"/>
          <w:sz w:val="18"/>
          <w:szCs w:val="18"/>
          <w:i w:val="1"/>
          <w:iCs w:val="1"/>
          <w:color w:val="auto"/>
        </w:rPr>
        <w:t>Application of certain clauses to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shall include the cost of utilising the Agent's management time or other resources and will be calculated on the basis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daily or hourly rates as the Agent may notify to the Borrowers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14" w:lineRule="exact"/>
        <w:rPr>
          <w:rFonts w:ascii="Arial" w:cs="Arial" w:eastAsia="Arial" w:hAnsi="Arial"/>
          <w:sz w:val="15"/>
          <w:szCs w:val="15"/>
          <w:color w:val="auto"/>
        </w:rPr>
      </w:pPr>
    </w:p>
    <w:p>
      <w:pPr>
        <w:ind w:left="1080" w:hanging="532"/>
        <w:spacing w:after="0"/>
        <w:tabs>
          <w:tab w:leader="none" w:pos="10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 Default;</w:t>
      </w:r>
    </w:p>
    <w:p>
      <w:pPr>
        <w:spacing w:after="0" w:line="238" w:lineRule="exact"/>
        <w:rPr>
          <w:rFonts w:ascii="Arial" w:cs="Arial" w:eastAsia="Arial" w:hAnsi="Arial"/>
          <w:sz w:val="18"/>
          <w:szCs w:val="18"/>
          <w:color w:val="auto"/>
        </w:rPr>
      </w:pPr>
    </w:p>
    <w:p>
      <w:pPr>
        <w:ind w:left="1620" w:right="220" w:hanging="532"/>
        <w:spacing w:after="0" w:line="331" w:lineRule="auto"/>
        <w:tabs>
          <w:tab w:leader="none" w:pos="1620" w:val="left"/>
        </w:tabs>
        <w:numPr>
          <w:ilvl w:val="1"/>
          <w:numId w:val="481"/>
        </w:numPr>
        <w:rPr>
          <w:rFonts w:ascii="Arial" w:cs="Arial" w:eastAsia="Arial" w:hAnsi="Arial"/>
          <w:sz w:val="16"/>
          <w:szCs w:val="16"/>
          <w:color w:val="auto"/>
        </w:rPr>
      </w:pPr>
      <w:r>
        <w:rPr>
          <w:rFonts w:ascii="Arial" w:cs="Arial" w:eastAsia="Arial" w:hAnsi="Arial"/>
          <w:sz w:val="16"/>
          <w:szCs w:val="16"/>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154" w:lineRule="exact"/>
        <w:rPr>
          <w:rFonts w:ascii="Arial" w:cs="Arial" w:eastAsia="Arial" w:hAnsi="Arial"/>
          <w:sz w:val="16"/>
          <w:szCs w:val="16"/>
          <w:color w:val="auto"/>
        </w:rPr>
      </w:pPr>
    </w:p>
    <w:p>
      <w:pPr>
        <w:ind w:left="1620" w:hanging="532"/>
        <w:spacing w:after="0"/>
        <w:tabs>
          <w:tab w:leader="none" w:pos="16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334" w:name="page335"/>
    <w:bookmarkEnd w:id="334"/>
    <w:p>
      <w:pPr>
        <w:ind w:left="1080"/>
        <w:spacing w:after="0"/>
        <w:rPr>
          <w:sz w:val="20"/>
          <w:szCs w:val="20"/>
          <w:color w:val="auto"/>
        </w:rPr>
      </w:pPr>
      <w:r>
        <w:rPr>
          <w:rFonts w:ascii="Arial" w:cs="Arial" w:eastAsia="Arial" w:hAnsi="Arial"/>
          <w:sz w:val="16"/>
          <w:szCs w:val="16"/>
          <w:color w:val="auto"/>
        </w:rPr>
        <w:t>the Borrowers shall pay to the Agent any additional remuneration that may be agreed between them or determined pursuant to clause 32.17(c).</w:t>
      </w:r>
    </w:p>
    <w:p>
      <w:pPr>
        <w:spacing w:after="0" w:line="275" w:lineRule="exact"/>
        <w:rPr>
          <w:sz w:val="20"/>
          <w:szCs w:val="20"/>
          <w:color w:val="auto"/>
        </w:rPr>
      </w:pPr>
    </w:p>
    <w:p>
      <w:pPr>
        <w:ind w:left="1080" w:hanging="532"/>
        <w:spacing w:after="0" w:line="294" w:lineRule="auto"/>
        <w:tabs>
          <w:tab w:leader="none" w:pos="10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If the Agent and the Borrowers fail to agree upon the nature of the duties, or upon the additional remuneration referred to in clause 32.17(b)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3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32.18</w:t>
      </w:r>
      <w:r>
        <w:rPr>
          <w:sz w:val="20"/>
          <w:szCs w:val="20"/>
          <w:color w:val="auto"/>
        </w:rPr>
        <w:tab/>
      </w:r>
      <w:r>
        <w:rPr>
          <w:rFonts w:ascii="Arial" w:cs="Arial" w:eastAsia="Arial" w:hAnsi="Arial"/>
          <w:sz w:val="15"/>
          <w:szCs w:val="15"/>
          <w:b w:val="1"/>
          <w:bCs w:val="1"/>
          <w:color w:val="auto"/>
        </w:rPr>
        <w:t>Deduction from amounts payable by the Agent</w:t>
      </w:r>
    </w:p>
    <w:p>
      <w:pPr>
        <w:spacing w:after="0" w:line="245"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32.19</w:t>
      </w:r>
      <w:r>
        <w:rPr>
          <w:sz w:val="20"/>
          <w:szCs w:val="20"/>
          <w:color w:val="auto"/>
        </w:rPr>
        <w:tab/>
      </w:r>
      <w:r>
        <w:rPr>
          <w:rFonts w:ascii="Arial" w:cs="Arial" w:eastAsia="Arial" w:hAnsi="Arial"/>
          <w:sz w:val="15"/>
          <w:szCs w:val="15"/>
          <w:b w:val="1"/>
          <w:bCs w:val="1"/>
          <w:color w:val="auto"/>
        </w:rPr>
        <w:t>Common parties</w:t>
      </w:r>
    </w:p>
    <w:p>
      <w:pPr>
        <w:spacing w:after="0" w:line="24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32.20</w:t>
      </w:r>
      <w:r>
        <w:rPr>
          <w:sz w:val="20"/>
          <w:szCs w:val="20"/>
          <w:color w:val="auto"/>
        </w:rPr>
        <w:tab/>
      </w:r>
      <w:r>
        <w:rPr>
          <w:rFonts w:ascii="Arial" w:cs="Arial" w:eastAsia="Arial" w:hAnsi="Arial"/>
          <w:sz w:val="15"/>
          <w:szCs w:val="15"/>
          <w:b w:val="1"/>
          <w:bCs w:val="1"/>
          <w:color w:val="auto"/>
        </w:rPr>
        <w:t>Security Agent</w:t>
      </w:r>
    </w:p>
    <w:p>
      <w:pPr>
        <w:spacing w:after="0" w:line="200" w:lineRule="exact"/>
        <w:rPr>
          <w:sz w:val="20"/>
          <w:szCs w:val="20"/>
          <w:color w:val="auto"/>
        </w:rPr>
      </w:pPr>
    </w:p>
    <w:p>
      <w:pPr>
        <w:spacing w:after="0" w:line="288" w:lineRule="exact"/>
        <w:rPr>
          <w:sz w:val="20"/>
          <w:szCs w:val="20"/>
          <w:color w:val="auto"/>
        </w:rPr>
      </w:pPr>
    </w:p>
    <w:p>
      <w:pPr>
        <w:jc w:val="both"/>
        <w:ind w:left="1080" w:right="120" w:hanging="532"/>
        <w:spacing w:after="0" w:line="306" w:lineRule="auto"/>
        <w:tabs>
          <w:tab w:leader="none" w:pos="108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207"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 w:hanging="532"/>
        <w:spacing w:after="0" w:line="335" w:lineRule="auto"/>
        <w:tabs>
          <w:tab w:leader="none" w:pos="108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The Security Agent accepts its appointment under this clause 32.20 (</w:t>
      </w:r>
      <w:r>
        <w:rPr>
          <w:rFonts w:ascii="Arial" w:cs="Arial" w:eastAsia="Arial" w:hAnsi="Arial"/>
          <w:sz w:val="15"/>
          <w:szCs w:val="15"/>
          <w:i w:val="1"/>
          <w:iCs w:val="1"/>
          <w:color w:val="auto"/>
        </w:rPr>
        <w:t>Security Agent</w:t>
      </w:r>
      <w:r>
        <w:rPr>
          <w:rFonts w:ascii="Arial" w:cs="Arial" w:eastAsia="Arial" w:hAnsi="Arial"/>
          <w:sz w:val="15"/>
          <w:szCs w:val="15"/>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32.20 - 32.32 (</w:t>
      </w:r>
      <w:r>
        <w:rPr>
          <w:rFonts w:ascii="Arial" w:cs="Arial" w:eastAsia="Arial" w:hAnsi="Arial"/>
          <w:sz w:val="15"/>
          <w:szCs w:val="15"/>
          <w:i w:val="1"/>
          <w:iCs w:val="1"/>
          <w:color w:val="auto"/>
        </w:rPr>
        <w:t>Indemnity from Trust Property</w:t>
      </w:r>
      <w:r>
        <w:rPr>
          <w:rFonts w:ascii="Arial" w:cs="Arial" w:eastAsia="Arial" w:hAnsi="Arial"/>
          <w:sz w:val="15"/>
          <w:szCs w:val="15"/>
          <w:color w:val="auto"/>
        </w:rPr>
        <w:t>) (inclusive) and the Security Documents to which it is a party.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92" w:right="239" w:bottom="1440" w:gutter="0" w:footer="0" w:header="0"/>
        </w:sectPr>
      </w:pPr>
    </w:p>
    <w:bookmarkStart w:id="335" w:name="page336"/>
    <w:bookmarkEnd w:id="335"/>
    <w:p>
      <w:pPr>
        <w:spacing w:after="0"/>
        <w:tabs>
          <w:tab w:leader="none" w:pos="520" w:val="left"/>
        </w:tabs>
        <w:rPr>
          <w:sz w:val="20"/>
          <w:szCs w:val="20"/>
          <w:color w:val="auto"/>
        </w:rPr>
      </w:pPr>
      <w:r>
        <w:rPr>
          <w:rFonts w:ascii="Arial" w:cs="Arial" w:eastAsia="Arial" w:hAnsi="Arial"/>
          <w:sz w:val="18"/>
          <w:szCs w:val="18"/>
          <w:b w:val="1"/>
          <w:bCs w:val="1"/>
          <w:color w:val="auto"/>
        </w:rPr>
        <w:t>32.21</w:t>
      </w:r>
      <w:r>
        <w:rPr>
          <w:sz w:val="20"/>
          <w:szCs w:val="20"/>
          <w:color w:val="auto"/>
        </w:rPr>
        <w:tab/>
      </w:r>
      <w:r>
        <w:rPr>
          <w:rFonts w:ascii="Arial" w:cs="Arial" w:eastAsia="Arial" w:hAnsi="Arial"/>
          <w:sz w:val="15"/>
          <w:szCs w:val="15"/>
          <w:b w:val="1"/>
          <w:bCs w:val="1"/>
          <w:color w:val="auto"/>
        </w:rPr>
        <w:t>Application of certain clauses to Security Agent</w:t>
      </w:r>
    </w:p>
    <w:p>
      <w:pPr>
        <w:spacing w:after="0" w:line="200" w:lineRule="exact"/>
        <w:rPr>
          <w:sz w:val="20"/>
          <w:szCs w:val="20"/>
          <w:color w:val="auto"/>
        </w:rPr>
      </w:pPr>
    </w:p>
    <w:p>
      <w:pPr>
        <w:spacing w:after="0" w:line="288" w:lineRule="exact"/>
        <w:rPr>
          <w:sz w:val="20"/>
          <w:szCs w:val="20"/>
          <w:color w:val="auto"/>
        </w:rPr>
      </w:pPr>
    </w:p>
    <w:p>
      <w:pPr>
        <w:ind w:left="1080" w:right="120" w:hanging="532"/>
        <w:spacing w:after="0" w:line="314" w:lineRule="auto"/>
        <w:tabs>
          <w:tab w:leader="none" w:pos="108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Clauses 32.7 (</w:t>
      </w:r>
      <w:r>
        <w:rPr>
          <w:rFonts w:ascii="Arial" w:cs="Arial" w:eastAsia="Arial" w:hAnsi="Arial"/>
          <w:sz w:val="15"/>
          <w:szCs w:val="15"/>
          <w:i w:val="1"/>
          <w:iCs w:val="1"/>
          <w:color w:val="auto"/>
        </w:rPr>
        <w:t>Rights and discretions of the Agent</w:t>
      </w:r>
      <w:r>
        <w:rPr>
          <w:rFonts w:ascii="Arial" w:cs="Arial" w:eastAsia="Arial" w:hAnsi="Arial"/>
          <w:sz w:val="15"/>
          <w:szCs w:val="15"/>
          <w:color w:val="auto"/>
        </w:rPr>
        <w:t>), 32.8 (</w:t>
      </w:r>
      <w:r>
        <w:rPr>
          <w:rFonts w:ascii="Arial" w:cs="Arial" w:eastAsia="Arial" w:hAnsi="Arial"/>
          <w:sz w:val="15"/>
          <w:szCs w:val="15"/>
          <w:i w:val="1"/>
          <w:iCs w:val="1"/>
          <w:color w:val="auto"/>
        </w:rPr>
        <w:t>Responsibility for documentation and other matters</w:t>
      </w:r>
      <w:r>
        <w:rPr>
          <w:rFonts w:ascii="Arial" w:cs="Arial" w:eastAsia="Arial" w:hAnsi="Arial"/>
          <w:sz w:val="15"/>
          <w:szCs w:val="15"/>
          <w:color w:val="auto"/>
        </w:rPr>
        <w:t xml:space="preserve">), 32.9 </w:t>
      </w:r>
      <w:r>
        <w:rPr>
          <w:rFonts w:ascii="Arial" w:cs="Arial" w:eastAsia="Arial" w:hAnsi="Arial"/>
          <w:sz w:val="15"/>
          <w:szCs w:val="15"/>
          <w:i w:val="1"/>
          <w:iCs w:val="1"/>
          <w:color w:val="auto"/>
        </w:rPr>
        <w:t>(No duty to monitor)</w:t>
      </w:r>
      <w:r>
        <w:rPr>
          <w:rFonts w:ascii="Arial" w:cs="Arial" w:eastAsia="Arial" w:hAnsi="Arial"/>
          <w:sz w:val="15"/>
          <w:szCs w:val="15"/>
          <w:color w:val="auto"/>
        </w:rPr>
        <w:t>, 32.10 (</w:t>
      </w:r>
      <w:r>
        <w:rPr>
          <w:rFonts w:ascii="Arial" w:cs="Arial" w:eastAsia="Arial" w:hAnsi="Arial"/>
          <w:sz w:val="15"/>
          <w:szCs w:val="15"/>
          <w:i w:val="1"/>
          <w:iCs w:val="1"/>
          <w:color w:val="auto"/>
        </w:rPr>
        <w:t>Exclusion of liability</w:t>
      </w:r>
      <w:r>
        <w:rPr>
          <w:rFonts w:ascii="Arial" w:cs="Arial" w:eastAsia="Arial" w:hAnsi="Arial"/>
          <w:sz w:val="15"/>
          <w:szCs w:val="15"/>
          <w:color w:val="auto"/>
        </w:rPr>
        <w:t>), 32.11 (</w:t>
      </w:r>
      <w:r>
        <w:rPr>
          <w:rFonts w:ascii="Arial" w:cs="Arial" w:eastAsia="Arial" w:hAnsi="Arial"/>
          <w:sz w:val="15"/>
          <w:szCs w:val="15"/>
          <w:i w:val="1"/>
          <w:iCs w:val="1"/>
          <w:color w:val="auto"/>
        </w:rPr>
        <w:t>Lenders' indemnity to the Agent</w:t>
      </w:r>
      <w:r>
        <w:rPr>
          <w:rFonts w:ascii="Arial" w:cs="Arial" w:eastAsia="Arial" w:hAnsi="Arial"/>
          <w:sz w:val="15"/>
          <w:szCs w:val="15"/>
          <w:color w:val="auto"/>
        </w:rPr>
        <w:t>), 32.12 (</w:t>
      </w:r>
      <w:r>
        <w:rPr>
          <w:rFonts w:ascii="Arial" w:cs="Arial" w:eastAsia="Arial" w:hAnsi="Arial"/>
          <w:sz w:val="15"/>
          <w:szCs w:val="15"/>
          <w:i w:val="1"/>
          <w:iCs w:val="1"/>
          <w:color w:val="auto"/>
        </w:rPr>
        <w:t>Resignation of the Agent</w:t>
      </w:r>
      <w:r>
        <w:rPr>
          <w:rFonts w:ascii="Arial" w:cs="Arial" w:eastAsia="Arial" w:hAnsi="Arial"/>
          <w:sz w:val="15"/>
          <w:szCs w:val="15"/>
          <w:color w:val="auto"/>
        </w:rPr>
        <w:t>), 32.13 (</w:t>
      </w:r>
      <w:r>
        <w:rPr>
          <w:rFonts w:ascii="Arial" w:cs="Arial" w:eastAsia="Arial" w:hAnsi="Arial"/>
          <w:sz w:val="15"/>
          <w:szCs w:val="15"/>
          <w:i w:val="1"/>
          <w:iCs w:val="1"/>
          <w:color w:val="auto"/>
        </w:rPr>
        <w:t>Replacement of the Agent</w:t>
      </w:r>
      <w:r>
        <w:rPr>
          <w:rFonts w:ascii="Arial" w:cs="Arial" w:eastAsia="Arial" w:hAnsi="Arial"/>
          <w:sz w:val="15"/>
          <w:szCs w:val="15"/>
          <w:color w:val="auto"/>
        </w:rPr>
        <w:t>), 32.14 (</w:t>
      </w:r>
      <w:r>
        <w:rPr>
          <w:rFonts w:ascii="Arial" w:cs="Arial" w:eastAsia="Arial" w:hAnsi="Arial"/>
          <w:sz w:val="15"/>
          <w:szCs w:val="15"/>
          <w:i w:val="1"/>
          <w:iCs w:val="1"/>
          <w:color w:val="auto"/>
        </w:rPr>
        <w:t>Confidentiality</w:t>
      </w:r>
      <w:r>
        <w:rPr>
          <w:rFonts w:ascii="Arial" w:cs="Arial" w:eastAsia="Arial" w:hAnsi="Arial"/>
          <w:sz w:val="15"/>
          <w:szCs w:val="15"/>
          <w:color w:val="auto"/>
        </w:rPr>
        <w:t>), 32.15 (</w:t>
      </w:r>
      <w:r>
        <w:rPr>
          <w:rFonts w:ascii="Arial" w:cs="Arial" w:eastAsia="Arial" w:hAnsi="Arial"/>
          <w:sz w:val="15"/>
          <w:szCs w:val="15"/>
          <w:i w:val="1"/>
          <w:iCs w:val="1"/>
          <w:color w:val="auto"/>
        </w:rPr>
        <w:t>Relationship with the Lenders</w:t>
      </w:r>
      <w:r>
        <w:rPr>
          <w:rFonts w:ascii="Arial" w:cs="Arial" w:eastAsia="Arial" w:hAnsi="Arial"/>
          <w:sz w:val="15"/>
          <w:szCs w:val="15"/>
          <w:color w:val="auto"/>
        </w:rPr>
        <w:t>), 32.16 (</w:t>
      </w:r>
      <w:r>
        <w:rPr>
          <w:rFonts w:ascii="Arial" w:cs="Arial" w:eastAsia="Arial" w:hAnsi="Arial"/>
          <w:sz w:val="15"/>
          <w:szCs w:val="15"/>
          <w:i w:val="1"/>
          <w:iCs w:val="1"/>
          <w:color w:val="auto"/>
        </w:rPr>
        <w:t>Credit appraisal by the Lenders</w:t>
      </w:r>
      <w:r>
        <w:rPr>
          <w:rFonts w:ascii="Arial" w:cs="Arial" w:eastAsia="Arial" w:hAnsi="Arial"/>
          <w:sz w:val="15"/>
          <w:szCs w:val="15"/>
          <w:color w:val="auto"/>
        </w:rPr>
        <w:t xml:space="preserve">), 32.17 </w:t>
      </w:r>
      <w:r>
        <w:rPr>
          <w:rFonts w:ascii="Arial" w:cs="Arial" w:eastAsia="Arial" w:hAnsi="Arial"/>
          <w:sz w:val="15"/>
          <w:szCs w:val="15"/>
          <w:i w:val="1"/>
          <w:iCs w:val="1"/>
          <w:color w:val="auto"/>
        </w:rPr>
        <w:t>(Agent's management time and additional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remuneration) </w:t>
      </w:r>
      <w:r>
        <w:rPr>
          <w:rFonts w:ascii="Arial" w:cs="Arial" w:eastAsia="Arial" w:hAnsi="Arial"/>
          <w:sz w:val="15"/>
          <w:szCs w:val="15"/>
          <w:color w:val="auto"/>
        </w:rPr>
        <w:t>and 32.18 (</w:t>
      </w:r>
      <w:r>
        <w:rPr>
          <w:rFonts w:ascii="Arial" w:cs="Arial" w:eastAsia="Arial" w:hAnsi="Arial"/>
          <w:sz w:val="15"/>
          <w:szCs w:val="15"/>
          <w:i w:val="1"/>
          <w:iCs w:val="1"/>
          <w:color w:val="auto"/>
        </w:rPr>
        <w:t>Deduction from amounts payable by the Agent</w:t>
      </w:r>
      <w:r>
        <w:rPr>
          <w:rFonts w:ascii="Arial" w:cs="Arial" w:eastAsia="Arial" w:hAnsi="Arial"/>
          <w:sz w:val="15"/>
          <w:szCs w:val="15"/>
          <w:color w:val="auto"/>
        </w:rPr>
        <w:t>) shall each extend so as to apply to the Security Agent in its capacity as</w:t>
      </w:r>
      <w:r>
        <w:rPr>
          <w:rFonts w:ascii="Arial" w:cs="Arial" w:eastAsia="Arial" w:hAnsi="Arial"/>
          <w:sz w:val="15"/>
          <w:szCs w:val="15"/>
          <w:i w:val="1"/>
          <w:iCs w:val="1"/>
          <w:color w:val="auto"/>
        </w:rPr>
        <w:t xml:space="preserve"> </w:t>
      </w:r>
      <w:r>
        <w:rPr>
          <w:rFonts w:ascii="Arial" w:cs="Arial" w:eastAsia="Arial" w:hAnsi="Arial"/>
          <w:sz w:val="15"/>
          <w:szCs w:val="15"/>
          <w:color w:val="auto"/>
        </w:rPr>
        <w:t>such and for that purpose each reference to the "Agent" in these clauses shall extend to include in addition a reference to the "Security Agent" in its capacity as such and, in clause 32.7 (</w:t>
      </w:r>
      <w:r>
        <w:rPr>
          <w:rFonts w:ascii="Arial" w:cs="Arial" w:eastAsia="Arial" w:hAnsi="Arial"/>
          <w:sz w:val="15"/>
          <w:szCs w:val="15"/>
          <w:i w:val="1"/>
          <w:iCs w:val="1"/>
          <w:color w:val="auto"/>
        </w:rPr>
        <w:t>Rights and discretions of the Agent</w:t>
      </w:r>
      <w:r>
        <w:rPr>
          <w:rFonts w:ascii="Arial" w:cs="Arial" w:eastAsia="Arial" w:hAnsi="Arial"/>
          <w:sz w:val="15"/>
          <w:szCs w:val="15"/>
          <w:color w:val="auto"/>
        </w:rPr>
        <w:t>), references to the Lenders and a group of Lenders shall refer to the Agent.</w:t>
      </w:r>
    </w:p>
    <w:p>
      <w:pPr>
        <w:spacing w:after="0" w:line="171" w:lineRule="exact"/>
        <w:rPr>
          <w:rFonts w:ascii="Arial" w:cs="Arial" w:eastAsia="Arial" w:hAnsi="Arial"/>
          <w:sz w:val="15"/>
          <w:szCs w:val="15"/>
          <w:color w:val="auto"/>
        </w:rPr>
      </w:pPr>
    </w:p>
    <w:p>
      <w:pPr>
        <w:ind w:left="1080" w:right="420" w:hanging="532"/>
        <w:spacing w:after="0" w:line="268" w:lineRule="auto"/>
        <w:tabs>
          <w:tab w:leader="none" w:pos="10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 addition,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32.21(a), have the following additional sub-clause inserted after them:</w:t>
      </w:r>
    </w:p>
    <w:p>
      <w:pPr>
        <w:spacing w:after="0" w:line="226" w:lineRule="exact"/>
        <w:rPr>
          <w:rFonts w:ascii="Arial" w:cs="Arial" w:eastAsia="Arial" w:hAnsi="Arial"/>
          <w:sz w:val="18"/>
          <w:szCs w:val="18"/>
          <w:color w:val="auto"/>
        </w:rPr>
      </w:pPr>
    </w:p>
    <w:p>
      <w:pPr>
        <w:ind w:left="1080"/>
        <w:spacing w:after="0" w:line="291" w:lineRule="auto"/>
        <w:rPr>
          <w:rFonts w:ascii="Arial" w:cs="Arial" w:eastAsia="Arial" w:hAnsi="Arial"/>
          <w:sz w:val="18"/>
          <w:szCs w:val="18"/>
          <w:color w:val="auto"/>
        </w:rPr>
      </w:pPr>
      <w:r>
        <w:rPr>
          <w:rFonts w:ascii="Arial" w:cs="Arial" w:eastAsia="Arial" w:hAnsi="Arial"/>
          <w:sz w:val="16"/>
          <w:szCs w:val="16"/>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Borrowers (except where the Security Agent is retiring under clause 32.12(a) as extended to it by clause 32.21(a), in which case such costs shall be borne by the Lenders (in proportion to its share of the Total Commitments or, if the Total Commitments are then zero, to its share of the Total Commitments immediately prior to their reduction to zero)).".</w:t>
      </w:r>
    </w:p>
    <w:p>
      <w:pPr>
        <w:spacing w:after="0" w:line="200" w:lineRule="exact"/>
        <w:rPr>
          <w:rFonts w:ascii="Arial" w:cs="Arial" w:eastAsia="Arial" w:hAnsi="Arial"/>
          <w:sz w:val="18"/>
          <w:szCs w:val="18"/>
          <w:color w:val="auto"/>
        </w:rPr>
      </w:pPr>
    </w:p>
    <w:p>
      <w:pPr>
        <w:ind w:left="1080" w:hanging="532"/>
        <w:spacing w:after="0"/>
        <w:tabs>
          <w:tab w:leader="none" w:pos="10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Clause 32.7(e) shall, for the purposes of its application to the Security Agent pursuant to clause 32.21(a), read as follows:</w:t>
      </w:r>
    </w:p>
    <w:p>
      <w:pPr>
        <w:spacing w:after="0" w:line="265" w:lineRule="exact"/>
        <w:rPr>
          <w:rFonts w:ascii="Arial" w:cs="Arial" w:eastAsia="Arial" w:hAnsi="Arial"/>
          <w:sz w:val="18"/>
          <w:szCs w:val="18"/>
          <w:color w:val="auto"/>
        </w:rPr>
      </w:pPr>
    </w:p>
    <w:p>
      <w:pPr>
        <w:ind w:left="1080" w:right="240"/>
        <w:spacing w:after="0" w:line="256"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Clause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32.21(a), include the following after sub clause 32.10(a)(iii)(B):</w:t>
      </w:r>
    </w:p>
    <w:p>
      <w:pPr>
        <w:spacing w:after="0" w:line="200" w:lineRule="exact"/>
        <w:rPr>
          <w:sz w:val="20"/>
          <w:szCs w:val="20"/>
          <w:color w:val="auto"/>
        </w:rPr>
      </w:pPr>
    </w:p>
    <w:p>
      <w:pPr>
        <w:spacing w:after="0" w:line="202"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200" w:lineRule="exact"/>
        <w:rPr>
          <w:sz w:val="20"/>
          <w:szCs w:val="20"/>
          <w:color w:val="auto"/>
        </w:rPr>
      </w:pPr>
    </w:p>
    <w:p>
      <w:pPr>
        <w:spacing w:after="0" w:line="282" w:lineRule="exact"/>
        <w:rPr>
          <w:sz w:val="20"/>
          <w:szCs w:val="20"/>
          <w:color w:val="auto"/>
        </w:rPr>
      </w:pPr>
    </w:p>
    <w:p>
      <w:pPr>
        <w:ind w:left="1080" w:right="40" w:hanging="532"/>
        <w:spacing w:after="0" w:line="259" w:lineRule="auto"/>
        <w:tabs>
          <w:tab w:leader="none" w:pos="10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Clause 32.14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32.21(a), be read and construed as to refer to "its agency and trust department" instead of "its department, division or team directly responsible for the management of the Finance Documents".</w:t>
      </w:r>
    </w:p>
    <w:p>
      <w:pPr>
        <w:spacing w:after="0" w:line="207"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36" w:name="page337"/>
    <w:bookmarkEnd w:id="336"/>
    <w:p>
      <w:pPr>
        <w:ind w:left="1080" w:right="760"/>
        <w:spacing w:after="0" w:line="331" w:lineRule="auto"/>
        <w:rPr>
          <w:sz w:val="20"/>
          <w:szCs w:val="20"/>
          <w:color w:val="auto"/>
        </w:rPr>
      </w:pPr>
      <w:r>
        <w:rPr>
          <w:rFonts w:ascii="Arial" w:cs="Arial" w:eastAsia="Arial" w:hAnsi="Arial"/>
          <w:sz w:val="16"/>
          <w:szCs w:val="16"/>
          <w:color w:val="auto"/>
        </w:rPr>
        <w:t>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154" w:lineRule="exact"/>
        <w:rPr>
          <w:sz w:val="20"/>
          <w:szCs w:val="20"/>
          <w:color w:val="auto"/>
        </w:rPr>
      </w:pPr>
    </w:p>
    <w:p>
      <w:pPr>
        <w:ind w:left="1080" w:hanging="532"/>
        <w:spacing w:after="0" w:line="254" w:lineRule="auto"/>
        <w:tabs>
          <w:tab w:leader="none" w:pos="10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200" w:lineRule="exact"/>
        <w:rPr>
          <w:sz w:val="20"/>
          <w:szCs w:val="20"/>
          <w:color w:val="auto"/>
        </w:rPr>
      </w:pP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32.22</w:t>
      </w:r>
      <w:r>
        <w:rPr>
          <w:sz w:val="20"/>
          <w:szCs w:val="20"/>
          <w:color w:val="auto"/>
        </w:rPr>
        <w:tab/>
      </w:r>
      <w:r>
        <w:rPr>
          <w:rFonts w:ascii="Arial" w:cs="Arial" w:eastAsia="Arial" w:hAnsi="Arial"/>
          <w:sz w:val="15"/>
          <w:szCs w:val="15"/>
          <w:b w:val="1"/>
          <w:bCs w:val="1"/>
          <w:color w:val="auto"/>
        </w:rPr>
        <w:t>Instructions to Security Agent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80" w:hanging="532"/>
        <w:spacing w:after="0" w:line="331" w:lineRule="auto"/>
        <w:tabs>
          <w:tab w:leader="none" w:pos="162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67" w:lineRule="exact"/>
        <w:rPr>
          <w:rFonts w:ascii="Arial" w:cs="Arial" w:eastAsia="Arial" w:hAnsi="Arial"/>
          <w:sz w:val="16"/>
          <w:szCs w:val="16"/>
          <w:color w:val="auto"/>
        </w:rPr>
      </w:pPr>
    </w:p>
    <w:p>
      <w:pPr>
        <w:ind w:left="1620" w:right="740" w:hanging="532"/>
        <w:spacing w:after="0" w:line="268" w:lineRule="auto"/>
        <w:tabs>
          <w:tab w:leader="none" w:pos="162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207"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In the absence of instructions, the Security Agent may act (or refrain from acting) as it considers to be in the best interest of the Finance Parties.</w:t>
      </w:r>
    </w:p>
    <w:p>
      <w:pPr>
        <w:spacing w:after="0" w:line="275" w:lineRule="exact"/>
        <w:rPr>
          <w:rFonts w:ascii="Arial" w:cs="Arial" w:eastAsia="Arial" w:hAnsi="Arial"/>
          <w:sz w:val="16"/>
          <w:szCs w:val="16"/>
          <w:color w:val="auto"/>
        </w:rPr>
      </w:pPr>
    </w:p>
    <w:p>
      <w:pPr>
        <w:ind w:left="1080" w:right="520" w:hanging="532"/>
        <w:spacing w:after="0" w:line="306" w:lineRule="auto"/>
        <w:tabs>
          <w:tab w:leader="none" w:pos="10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Security Agent is not authorised to act on behalf of a Lender (without first obtaining that Lender's consent) in any legal or arbitration proceedings relating to any Finance Document. This clause (g) shall not apply to any legal or arbitration proceeding relating to the perfection, preservation or protection of rights under the Security Documents or enforcement of the Security Documents.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7" w:name="page338"/>
    <w:bookmarkEnd w:id="337"/>
    <w:p>
      <w:pPr>
        <w:ind w:left="1080" w:right="140" w:hanging="532"/>
        <w:spacing w:after="0" w:line="259" w:lineRule="auto"/>
        <w:tabs>
          <w:tab w:leader="none" w:pos="10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220"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Until the delivery of an enforcement notice pursuant to clause 29.23 (</w:t>
      </w:r>
      <w:r>
        <w:rPr>
          <w:rFonts w:ascii="Arial" w:cs="Arial" w:eastAsia="Arial" w:hAnsi="Arial"/>
          <w:sz w:val="16"/>
          <w:szCs w:val="16"/>
          <w:i w:val="1"/>
          <w:iCs w:val="1"/>
          <w:color w:val="auto"/>
        </w:rPr>
        <w:t>Acceleration</w:t>
      </w:r>
      <w:r>
        <w:rPr>
          <w:rFonts w:ascii="Arial" w:cs="Arial" w:eastAsia="Arial" w:hAnsi="Arial"/>
          <w:sz w:val="16"/>
          <w:szCs w:val="16"/>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3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32.23</w:t>
      </w:r>
      <w:r>
        <w:rPr>
          <w:sz w:val="20"/>
          <w:szCs w:val="20"/>
          <w:color w:val="auto"/>
        </w:rPr>
        <w:tab/>
      </w:r>
      <w:r>
        <w:rPr>
          <w:rFonts w:ascii="Arial" w:cs="Arial" w:eastAsia="Arial" w:hAnsi="Arial"/>
          <w:sz w:val="15"/>
          <w:szCs w:val="15"/>
          <w:b w:val="1"/>
          <w:bCs w:val="1"/>
          <w:color w:val="auto"/>
        </w:rPr>
        <w:t>Security Agent's actions</w:t>
      </w:r>
    </w:p>
    <w:p>
      <w:pPr>
        <w:spacing w:after="0" w:line="2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Without prejudice to the provisions of clause 32.22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32.24</w:t>
      </w:r>
      <w:r>
        <w:rPr>
          <w:sz w:val="20"/>
          <w:szCs w:val="20"/>
          <w:color w:val="auto"/>
        </w:rPr>
        <w:tab/>
      </w:r>
      <w:r>
        <w:rPr>
          <w:rFonts w:ascii="Arial" w:cs="Arial" w:eastAsia="Arial" w:hAnsi="Arial"/>
          <w:sz w:val="16"/>
          <w:szCs w:val="16"/>
          <w:b w:val="1"/>
          <w:bCs w:val="1"/>
          <w:color w:val="auto"/>
        </w:rPr>
        <w:t>Order of application</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331" w:lineRule="auto"/>
        <w:tabs>
          <w:tab w:leader="none" w:pos="10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364" w:lineRule="exact"/>
        <w:rPr>
          <w:rFonts w:ascii="Arial" w:cs="Arial" w:eastAsia="Arial" w:hAnsi="Arial"/>
          <w:sz w:val="16"/>
          <w:szCs w:val="16"/>
          <w:color w:val="auto"/>
        </w:rPr>
      </w:pPr>
    </w:p>
    <w:p>
      <w:pPr>
        <w:ind w:left="1620" w:right="20" w:hanging="532"/>
        <w:spacing w:after="0" w:line="256" w:lineRule="auto"/>
        <w:tabs>
          <w:tab w:leader="none" w:pos="1620" w:val="left"/>
        </w:tabs>
        <w:numPr>
          <w:ilvl w:val="1"/>
          <w:numId w:val="489"/>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 (excluding any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by the Security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205" w:lineRule="exact"/>
        <w:rPr>
          <w:rFonts w:ascii="Arial" w:cs="Arial" w:eastAsia="Arial" w:hAnsi="Arial"/>
          <w:sz w:val="18"/>
          <w:szCs w:val="18"/>
          <w:color w:val="auto"/>
        </w:rPr>
      </w:pPr>
    </w:p>
    <w:p>
      <w:pPr>
        <w:ind w:left="1620" w:right="20" w:hanging="532"/>
        <w:spacing w:after="0" w:line="339" w:lineRule="auto"/>
        <w:tabs>
          <w:tab w:leader="none" w:pos="1620" w:val="left"/>
        </w:tabs>
        <w:numPr>
          <w:ilvl w:val="1"/>
          <w:numId w:val="489"/>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as to a sum equivalent to the aggregate amount then due and owing to the other Finance Parties under the Finance Documents,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those Finance Parties absolutely for application between them in accordance with clause 35.5 (</w:t>
      </w:r>
      <w:r>
        <w:rPr>
          <w:rFonts w:ascii="Arial" w:cs="Arial" w:eastAsia="Arial" w:hAnsi="Arial"/>
          <w:sz w:val="16"/>
          <w:szCs w:val="16"/>
          <w:i w:val="1"/>
          <w:iCs w:val="1"/>
          <w:color w:val="auto"/>
        </w:rPr>
        <w:t>Partial payments</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1620" w:right="20" w:hanging="532"/>
        <w:spacing w:after="0" w:line="258" w:lineRule="auto"/>
        <w:tabs>
          <w:tab w:leader="none" w:pos="1620" w:val="left"/>
        </w:tabs>
        <w:numPr>
          <w:ilvl w:val="1"/>
          <w:numId w:val="489"/>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unconditionally discharged in full, held by the Security Agent on a suspense account for payment of any further amounts owing to the Finance Parties under the Finance Documents and further application in accordance with this clause 32.24(a) as and when any such amounts later fall due;</w:t>
      </w:r>
    </w:p>
    <w:p>
      <w:pPr>
        <w:spacing w:after="0" w:line="203" w:lineRule="exact"/>
        <w:rPr>
          <w:rFonts w:ascii="Arial" w:cs="Arial" w:eastAsia="Arial" w:hAnsi="Arial"/>
          <w:sz w:val="18"/>
          <w:szCs w:val="18"/>
          <w:color w:val="auto"/>
        </w:rPr>
      </w:pPr>
    </w:p>
    <w:p>
      <w:pPr>
        <w:ind w:left="1620" w:hanging="532"/>
        <w:spacing w:after="0"/>
        <w:tabs>
          <w:tab w:leader="none" w:pos="1620" w:val="left"/>
        </w:tabs>
        <w:numPr>
          <w:ilvl w:val="1"/>
          <w:numId w:val="489"/>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38" w:lineRule="exact"/>
        <w:rPr>
          <w:rFonts w:ascii="Arial" w:cs="Arial" w:eastAsia="Arial" w:hAnsi="Arial"/>
          <w:sz w:val="18"/>
          <w:szCs w:val="18"/>
          <w:color w:val="auto"/>
        </w:rPr>
      </w:pPr>
    </w:p>
    <w:p>
      <w:pPr>
        <w:ind w:left="1620" w:right="480" w:hanging="532"/>
        <w:spacing w:after="0" w:line="275" w:lineRule="auto"/>
        <w:tabs>
          <w:tab w:leader="none" w:pos="1620" w:val="left"/>
        </w:tabs>
        <w:numPr>
          <w:ilvl w:val="1"/>
          <w:numId w:val="489"/>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 received or</w:t>
      </w:r>
      <w:r>
        <w:rPr>
          <w:rFonts w:ascii="Arial" w:cs="Arial" w:eastAsia="Arial" w:hAnsi="Arial"/>
          <w:sz w:val="18"/>
          <w:szCs w:val="18"/>
          <w:b w:val="1"/>
          <w:bCs w:val="1"/>
          <w:color w:val="auto"/>
        </w:rPr>
        <w:t xml:space="preserve"> </w:t>
      </w:r>
      <w:r>
        <w:rPr>
          <w:rFonts w:ascii="Arial" w:cs="Arial" w:eastAsia="Arial" w:hAnsi="Arial"/>
          <w:sz w:val="18"/>
          <w:szCs w:val="18"/>
          <w:color w:val="auto"/>
        </w:rPr>
        <w:t>recovered or other person entitled to them.</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65" w:right="239" w:bottom="1440" w:gutter="0" w:footer="0" w:header="0"/>
        </w:sectPr>
      </w:pPr>
    </w:p>
    <w:bookmarkStart w:id="338" w:name="page339"/>
    <w:bookmarkEnd w:id="338"/>
    <w:p>
      <w:pPr>
        <w:jc w:val="both"/>
        <w:ind w:left="1080" w:right="20"/>
        <w:spacing w:after="0" w:line="256" w:lineRule="auto"/>
        <w:rPr>
          <w:sz w:val="20"/>
          <w:szCs w:val="20"/>
          <w:color w:val="auto"/>
        </w:rPr>
      </w:pPr>
      <w:r>
        <w:rPr>
          <w:rFonts w:ascii="Arial" w:cs="Arial" w:eastAsia="Arial" w:hAnsi="Arial"/>
          <w:sz w:val="18"/>
          <w:szCs w:val="18"/>
          <w:color w:val="auto"/>
        </w:rPr>
        <w:t>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210" w:lineRule="exact"/>
        <w:rPr>
          <w:sz w:val="20"/>
          <w:szCs w:val="20"/>
          <w:color w:val="auto"/>
        </w:rPr>
      </w:pPr>
    </w:p>
    <w:p>
      <w:pPr>
        <w:ind w:left="1080" w:right="60" w:hanging="532"/>
        <w:spacing w:after="0" w:line="259" w:lineRule="auto"/>
        <w:tabs>
          <w:tab w:leader="none" w:pos="10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32.24 by paying such amounts to the Agent for distribution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32.25</w:t>
      </w:r>
      <w:r>
        <w:rPr>
          <w:sz w:val="20"/>
          <w:szCs w:val="20"/>
          <w:color w:val="auto"/>
        </w:rPr>
        <w:tab/>
      </w:r>
      <w:r>
        <w:rPr>
          <w:rFonts w:ascii="Arial" w:cs="Arial" w:eastAsia="Arial" w:hAnsi="Arial"/>
          <w:sz w:val="15"/>
          <w:szCs w:val="15"/>
          <w:b w:val="1"/>
          <w:bCs w:val="1"/>
          <w:color w:val="auto"/>
        </w:rPr>
        <w:t>Powers and duties of the Security Agent as trustee of the security</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39" w:lineRule="exact"/>
        <w:rPr>
          <w:sz w:val="20"/>
          <w:szCs w:val="20"/>
          <w:color w:val="auto"/>
        </w:rPr>
      </w:pPr>
    </w:p>
    <w:p>
      <w:pPr>
        <w:ind w:left="1080" w:hanging="532"/>
        <w:spacing w:after="0" w:line="298" w:lineRule="auto"/>
        <w:tabs>
          <w:tab w:leader="none" w:pos="10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79"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shall (subject to clause 32.24(a) (</w:t>
      </w:r>
      <w:r>
        <w:rPr>
          <w:rFonts w:ascii="Arial" w:cs="Arial" w:eastAsia="Arial" w:hAnsi="Arial"/>
          <w:sz w:val="16"/>
          <w:szCs w:val="16"/>
          <w:i w:val="1"/>
          <w:iCs w:val="1"/>
          <w:color w:val="auto"/>
        </w:rPr>
        <w:t>Order of application</w:t>
      </w:r>
      <w:r>
        <w:rPr>
          <w:rFonts w:ascii="Arial" w:cs="Arial" w:eastAsia="Arial" w:hAnsi="Arial"/>
          <w:sz w:val="16"/>
          <w:szCs w:val="16"/>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98" w:lineRule="exact"/>
        <w:rPr>
          <w:rFonts w:ascii="Arial" w:cs="Arial" w:eastAsia="Arial" w:hAnsi="Arial"/>
          <w:sz w:val="16"/>
          <w:szCs w:val="16"/>
          <w:color w:val="auto"/>
        </w:rPr>
      </w:pPr>
    </w:p>
    <w:p>
      <w:pPr>
        <w:ind w:left="1080" w:right="80" w:hanging="532"/>
        <w:spacing w:after="0" w:line="290" w:lineRule="auto"/>
        <w:tabs>
          <w:tab w:leader="none" w:pos="10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185"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39" w:name="page340"/>
    <w:bookmarkEnd w:id="339"/>
    <w:p>
      <w:pPr>
        <w:ind w:left="1080" w:right="20"/>
        <w:spacing w:after="0" w:line="259" w:lineRule="auto"/>
        <w:rPr>
          <w:sz w:val="20"/>
          <w:szCs w:val="20"/>
          <w:color w:val="auto"/>
        </w:rPr>
      </w:pPr>
      <w:r>
        <w:rPr>
          <w:rFonts w:ascii="Arial" w:cs="Arial" w:eastAsia="Arial" w:hAnsi="Arial"/>
          <w:sz w:val="18"/>
          <w:szCs w:val="18"/>
          <w:color w:val="auto"/>
        </w:rPr>
        <w:t>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207" w:lineRule="exact"/>
        <w:rPr>
          <w:sz w:val="20"/>
          <w:szCs w:val="20"/>
          <w:color w:val="auto"/>
        </w:rPr>
      </w:pPr>
    </w:p>
    <w:p>
      <w:pPr>
        <w:jc w:val="both"/>
        <w:ind w:left="1080" w:right="200" w:hanging="532"/>
        <w:spacing w:after="0" w:line="259" w:lineRule="auto"/>
        <w:tabs>
          <w:tab w:leader="none" w:pos="10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220" w:lineRule="exact"/>
        <w:rPr>
          <w:rFonts w:ascii="Arial" w:cs="Arial" w:eastAsia="Arial" w:hAnsi="Arial"/>
          <w:sz w:val="18"/>
          <w:szCs w:val="18"/>
          <w:color w:val="auto"/>
        </w:rPr>
      </w:pPr>
    </w:p>
    <w:p>
      <w:pPr>
        <w:ind w:left="1080" w:right="40" w:hanging="532"/>
        <w:spacing w:after="0" w:line="323" w:lineRule="auto"/>
        <w:tabs>
          <w:tab w:leader="none" w:pos="1080" w:val="left"/>
        </w:tabs>
        <w:numPr>
          <w:ilvl w:val="0"/>
          <w:numId w:val="492"/>
        </w:numPr>
        <w:rPr>
          <w:rFonts w:ascii="Arial" w:cs="Arial" w:eastAsia="Arial" w:hAnsi="Arial"/>
          <w:sz w:val="15"/>
          <w:szCs w:val="15"/>
          <w:color w:val="auto"/>
        </w:rPr>
      </w:pPr>
      <w:r>
        <w:rPr>
          <w:rFonts w:ascii="Arial" w:cs="Arial" w:eastAsia="Arial" w:hAnsi="Arial"/>
          <w:sz w:val="15"/>
          <w:szCs w:val="15"/>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164" w:lineRule="exact"/>
        <w:rPr>
          <w:rFonts w:ascii="Arial" w:cs="Arial" w:eastAsia="Arial" w:hAnsi="Arial"/>
          <w:sz w:val="15"/>
          <w:szCs w:val="15"/>
          <w:color w:val="auto"/>
        </w:rPr>
      </w:pPr>
    </w:p>
    <w:p>
      <w:pPr>
        <w:ind w:left="1080" w:right="100" w:hanging="532"/>
        <w:spacing w:after="0" w:line="331" w:lineRule="auto"/>
        <w:tabs>
          <w:tab w:leader="none" w:pos="108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shall have no responsibility to make any payment, deduction or withholding of any Tax or governmental charge as a result of the Security Agent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(i) holding the Security Interests created by the Finance Documents or (ii) enforcing such Security Interests created by the Finance Documents;</w:t>
      </w:r>
    </w:p>
    <w:p>
      <w:pPr>
        <w:spacing w:after="0" w:line="268" w:lineRule="exact"/>
        <w:rPr>
          <w:rFonts w:ascii="Arial" w:cs="Arial" w:eastAsia="Arial" w:hAnsi="Arial"/>
          <w:sz w:val="16"/>
          <w:szCs w:val="16"/>
          <w:color w:val="auto"/>
        </w:rPr>
      </w:pPr>
    </w:p>
    <w:p>
      <w:pPr>
        <w:ind w:left="1080" w:hanging="532"/>
        <w:spacing w:after="0"/>
        <w:tabs>
          <w:tab w:leader="none" w:pos="10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86"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32.26</w:t>
      </w:r>
      <w:r>
        <w:rPr>
          <w:sz w:val="20"/>
          <w:szCs w:val="20"/>
          <w:color w:val="auto"/>
        </w:rPr>
        <w:tab/>
      </w:r>
      <w:r>
        <w:rPr>
          <w:rFonts w:ascii="Arial" w:cs="Arial" w:eastAsia="Arial" w:hAnsi="Arial"/>
          <w:sz w:val="15"/>
          <w:szCs w:val="15"/>
          <w:b w:val="1"/>
          <w:bCs w:val="1"/>
          <w:color w:val="auto"/>
        </w:rPr>
        <w:t>Insurance by Security Agent</w:t>
      </w:r>
    </w:p>
    <w:p>
      <w:pPr>
        <w:spacing w:after="0" w:line="24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40" w:name="page341"/>
    <w:bookmarkEnd w:id="340"/>
    <w:p>
      <w:pPr>
        <w:ind w:left="540" w:right="60"/>
        <w:spacing w:after="0" w:line="268" w:lineRule="auto"/>
        <w:rPr>
          <w:sz w:val="20"/>
          <w:szCs w:val="20"/>
          <w:color w:val="auto"/>
        </w:rPr>
      </w:pPr>
      <w:r>
        <w:rPr>
          <w:rFonts w:ascii="Arial" w:cs="Arial" w:eastAsia="Arial" w:hAnsi="Arial"/>
          <w:sz w:val="18"/>
          <w:szCs w:val="18"/>
          <w:color w:val="auto"/>
        </w:rPr>
        <w:t>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32.27</w:t>
      </w:r>
      <w:r>
        <w:rPr>
          <w:sz w:val="20"/>
          <w:szCs w:val="20"/>
          <w:color w:val="auto"/>
        </w:rPr>
        <w:tab/>
      </w:r>
      <w:r>
        <w:rPr>
          <w:rFonts w:ascii="Arial" w:cs="Arial" w:eastAsia="Arial" w:hAnsi="Arial"/>
          <w:sz w:val="15"/>
          <w:szCs w:val="15"/>
          <w:b w:val="1"/>
          <w:bCs w:val="1"/>
          <w:color w:val="auto"/>
        </w:rPr>
        <w:t>Custodians and nominees</w:t>
      </w:r>
    </w:p>
    <w:p>
      <w:pPr>
        <w:spacing w:after="0" w:line="24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32.28</w:t>
      </w:r>
      <w:r>
        <w:rPr>
          <w:sz w:val="20"/>
          <w:szCs w:val="20"/>
          <w:color w:val="auto"/>
        </w:rPr>
        <w:tab/>
      </w:r>
      <w:r>
        <w:rPr>
          <w:rFonts w:ascii="Arial" w:cs="Arial" w:eastAsia="Arial" w:hAnsi="Arial"/>
          <w:sz w:val="15"/>
          <w:szCs w:val="15"/>
          <w:b w:val="1"/>
          <w:bCs w:val="1"/>
          <w:color w:val="auto"/>
        </w:rPr>
        <w:t>Acceptance of title</w:t>
      </w:r>
    </w:p>
    <w:p>
      <w:pPr>
        <w:spacing w:after="0" w:line="258"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32.29</w:t>
      </w:r>
      <w:r>
        <w:rPr>
          <w:sz w:val="20"/>
          <w:szCs w:val="20"/>
          <w:color w:val="auto"/>
        </w:rPr>
        <w:tab/>
      </w:r>
      <w:r>
        <w:rPr>
          <w:rFonts w:ascii="Arial" w:cs="Arial" w:eastAsia="Arial" w:hAnsi="Arial"/>
          <w:sz w:val="16"/>
          <w:szCs w:val="16"/>
          <w:b w:val="1"/>
          <w:bCs w:val="1"/>
          <w:color w:val="auto"/>
        </w:rPr>
        <w:t>Refrain from illegality</w:t>
      </w:r>
    </w:p>
    <w:p>
      <w:pPr>
        <w:spacing w:after="0" w:line="245" w:lineRule="exact"/>
        <w:rPr>
          <w:sz w:val="20"/>
          <w:szCs w:val="20"/>
          <w:color w:val="auto"/>
        </w:rPr>
      </w:pPr>
    </w:p>
    <w:p>
      <w:pPr>
        <w:jc w:val="both"/>
        <w:ind w:left="540" w:right="100"/>
        <w:spacing w:after="0" w:line="259" w:lineRule="auto"/>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32.30</w:t>
      </w:r>
      <w:r>
        <w:rPr>
          <w:sz w:val="20"/>
          <w:szCs w:val="20"/>
          <w:color w:val="auto"/>
        </w:rPr>
        <w:tab/>
      </w:r>
      <w:r>
        <w:rPr>
          <w:rFonts w:ascii="Arial" w:cs="Arial" w:eastAsia="Arial" w:hAnsi="Arial"/>
          <w:sz w:val="15"/>
          <w:szCs w:val="15"/>
          <w:b w:val="1"/>
          <w:bCs w:val="1"/>
          <w:color w:val="auto"/>
        </w:rPr>
        <w:t>All enforcement action through the Security Agent</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56"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210" w:lineRule="exact"/>
        <w:rPr>
          <w:rFonts w:ascii="Arial" w:cs="Arial" w:eastAsia="Arial" w:hAnsi="Arial"/>
          <w:sz w:val="18"/>
          <w:szCs w:val="18"/>
          <w:color w:val="auto"/>
        </w:rPr>
      </w:pPr>
    </w:p>
    <w:p>
      <w:pPr>
        <w:ind w:left="1080" w:right="80" w:hanging="532"/>
        <w:spacing w:after="0" w:line="253"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200" w:lineRule="exact"/>
        <w:rPr>
          <w:sz w:val="20"/>
          <w:szCs w:val="20"/>
          <w:color w:val="auto"/>
        </w:rPr>
      </w:pP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32.31</w:t>
      </w:r>
      <w:r>
        <w:rPr>
          <w:sz w:val="20"/>
          <w:szCs w:val="20"/>
          <w:color w:val="auto"/>
        </w:rPr>
        <w:tab/>
      </w:r>
      <w:r>
        <w:rPr>
          <w:rFonts w:ascii="Arial" w:cs="Arial" w:eastAsia="Arial" w:hAnsi="Arial"/>
          <w:sz w:val="15"/>
          <w:szCs w:val="15"/>
          <w:b w:val="1"/>
          <w:bCs w:val="1"/>
          <w:color w:val="auto"/>
        </w:rPr>
        <w:t>Co-operation to achieve agreed priorities of application</w:t>
      </w:r>
    </w:p>
    <w:p>
      <w:pPr>
        <w:spacing w:after="0" w:line="24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41" w:name="page342"/>
    <w:bookmarkEnd w:id="341"/>
    <w:p>
      <w:pPr>
        <w:ind w:left="540"/>
        <w:spacing w:after="0" w:line="268" w:lineRule="auto"/>
        <w:rPr>
          <w:sz w:val="20"/>
          <w:szCs w:val="20"/>
          <w:color w:val="auto"/>
        </w:rPr>
      </w:pPr>
      <w:r>
        <w:rPr>
          <w:rFonts w:ascii="Arial" w:cs="Arial" w:eastAsia="Arial" w:hAnsi="Arial"/>
          <w:sz w:val="18"/>
          <w:szCs w:val="18"/>
          <w:color w:val="auto"/>
        </w:rPr>
        <w:t>subject to the Security Documents and in ensuring that the net proceeds realised under the Security Documents after deduction of the expenses of realisation are applied in accordance with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32.32</w:t>
      </w:r>
      <w:r>
        <w:rPr>
          <w:sz w:val="20"/>
          <w:szCs w:val="20"/>
          <w:color w:val="auto"/>
        </w:rPr>
        <w:tab/>
      </w:r>
      <w:r>
        <w:rPr>
          <w:rFonts w:ascii="Arial" w:cs="Arial" w:eastAsia="Arial" w:hAnsi="Arial"/>
          <w:sz w:val="16"/>
          <w:szCs w:val="16"/>
          <w:b w:val="1"/>
          <w:bCs w:val="1"/>
          <w:color w:val="auto"/>
        </w:rPr>
        <w:t>Indemnity from Trust Property</w:t>
      </w:r>
    </w:p>
    <w:p>
      <w:pPr>
        <w:spacing w:after="0" w:line="200" w:lineRule="exact"/>
        <w:rPr>
          <w:sz w:val="20"/>
          <w:szCs w:val="20"/>
          <w:color w:val="auto"/>
        </w:rPr>
      </w:pPr>
    </w:p>
    <w:p>
      <w:pPr>
        <w:spacing w:after="0" w:line="288" w:lineRule="exact"/>
        <w:rPr>
          <w:sz w:val="20"/>
          <w:szCs w:val="20"/>
          <w:color w:val="auto"/>
        </w:rPr>
      </w:pPr>
    </w:p>
    <w:p>
      <w:pPr>
        <w:ind w:left="1080" w:right="120" w:hanging="532"/>
        <w:spacing w:after="0" w:line="256" w:lineRule="auto"/>
        <w:tabs>
          <w:tab w:leader="none" w:pos="10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52"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99"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The rights conferred by this clause 32.32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32.32 shall entitle the Security Agent or any other person to be indemnified in respect of any liabilities, damages, costs, claims, charges or expenses to the extent that the same arise from such person's own gross negligence or wilful default.</w:t>
      </w:r>
    </w:p>
    <w:p>
      <w:pPr>
        <w:spacing w:after="0" w:line="3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32.33</w:t>
      </w:r>
      <w:r>
        <w:rPr>
          <w:sz w:val="20"/>
          <w:szCs w:val="20"/>
          <w:color w:val="auto"/>
        </w:rPr>
        <w:tab/>
      </w:r>
      <w:r>
        <w:rPr>
          <w:rFonts w:ascii="Arial" w:cs="Arial" w:eastAsia="Arial" w:hAnsi="Arial"/>
          <w:sz w:val="15"/>
          <w:szCs w:val="15"/>
          <w:b w:val="1"/>
          <w:bCs w:val="1"/>
          <w:color w:val="auto"/>
        </w:rPr>
        <w:t>Finance Parties to provide information</w:t>
      </w:r>
    </w:p>
    <w:p>
      <w:pPr>
        <w:spacing w:after="0" w:line="258"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32.24(a) (</w:t>
      </w:r>
      <w:r>
        <w:rPr>
          <w:rFonts w:ascii="Arial" w:cs="Arial" w:eastAsia="Arial" w:hAnsi="Arial"/>
          <w:sz w:val="18"/>
          <w:szCs w:val="18"/>
          <w:i w:val="1"/>
          <w:iCs w:val="1"/>
          <w:color w:val="auto"/>
        </w:rPr>
        <w:t>Order of</w:t>
      </w:r>
      <w:r>
        <w:rPr>
          <w:rFonts w:ascii="Arial" w:cs="Arial" w:eastAsia="Arial" w:hAnsi="Arial"/>
          <w:sz w:val="18"/>
          <w:szCs w:val="18"/>
          <w:color w:val="auto"/>
        </w:rPr>
        <w:t xml:space="preserve"> </w:t>
      </w:r>
      <w:r>
        <w:rPr>
          <w:rFonts w:ascii="Arial" w:cs="Arial" w:eastAsia="Arial" w:hAnsi="Arial"/>
          <w:sz w:val="18"/>
          <w:szCs w:val="18"/>
          <w:i w:val="1"/>
          <w:iCs w:val="1"/>
          <w:color w:val="auto"/>
        </w:rPr>
        <w:t>application</w:t>
      </w:r>
      <w:r>
        <w:rPr>
          <w:rFonts w:ascii="Arial" w:cs="Arial" w:eastAsia="Arial" w:hAnsi="Arial"/>
          <w:sz w:val="18"/>
          <w:szCs w:val="18"/>
          <w:color w:val="auto"/>
        </w:rPr>
        <w: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32.34</w:t>
      </w:r>
      <w:r>
        <w:rPr>
          <w:sz w:val="20"/>
          <w:szCs w:val="20"/>
          <w:color w:val="auto"/>
        </w:rPr>
        <w:tab/>
      </w:r>
      <w:r>
        <w:rPr>
          <w:rFonts w:ascii="Arial" w:cs="Arial" w:eastAsia="Arial" w:hAnsi="Arial"/>
          <w:sz w:val="15"/>
          <w:szCs w:val="15"/>
          <w:b w:val="1"/>
          <w:bCs w:val="1"/>
          <w:color w:val="auto"/>
        </w:rPr>
        <w:t>No reliance on Security Agent</w:t>
      </w:r>
    </w:p>
    <w:p>
      <w:pPr>
        <w:spacing w:after="0" w:line="245"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51" w:right="219" w:bottom="1440" w:gutter="0" w:footer="0" w:header="0"/>
        </w:sectPr>
      </w:pPr>
    </w:p>
    <w:bookmarkStart w:id="342" w:name="page343"/>
    <w:bookmarkEnd w:id="342"/>
    <w:p>
      <w:pPr>
        <w:jc w:val="center"/>
        <w:ind w:right="60"/>
        <w:spacing w:after="0"/>
        <w:rPr>
          <w:sz w:val="20"/>
          <w:szCs w:val="20"/>
          <w:color w:val="auto"/>
        </w:rPr>
      </w:pPr>
      <w:r>
        <w:rPr>
          <w:rFonts w:ascii="Arial" w:cs="Arial" w:eastAsia="Arial" w:hAnsi="Arial"/>
          <w:sz w:val="16"/>
          <w:szCs w:val="16"/>
          <w:color w:val="auto"/>
        </w:rPr>
        <w:t>responsibility for and each other Finance Party warrants to the Security Agent that it has not relied and will not hereafter rely on the Security Agent:</w:t>
      </w:r>
    </w:p>
    <w:p>
      <w:pPr>
        <w:spacing w:after="0" w:line="262" w:lineRule="exact"/>
        <w:rPr>
          <w:sz w:val="20"/>
          <w:szCs w:val="20"/>
          <w:color w:val="auto"/>
        </w:rPr>
      </w:pPr>
    </w:p>
    <w:p>
      <w:pPr>
        <w:ind w:left="1080" w:hanging="532"/>
        <w:spacing w:after="0" w:line="259"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the Charged Property or the transactions therein contemplated (whether or not such information has been or is hereafter circulated to such Finance Party by the Security Agent);</w:t>
      </w:r>
    </w:p>
    <w:p>
      <w:pPr>
        <w:spacing w:after="0" w:line="220" w:lineRule="exact"/>
        <w:rPr>
          <w:rFonts w:ascii="Arial" w:cs="Arial" w:eastAsia="Arial" w:hAnsi="Arial"/>
          <w:sz w:val="18"/>
          <w:szCs w:val="18"/>
          <w:color w:val="auto"/>
        </w:rPr>
      </w:pPr>
    </w:p>
    <w:p>
      <w:pPr>
        <w:ind w:left="1080" w:right="100" w:hanging="532"/>
        <w:spacing w:after="0" w:line="254"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214"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173" w:lineRule="exact"/>
        <w:rPr>
          <w:rFonts w:ascii="Arial" w:cs="Arial" w:eastAsia="Arial" w:hAnsi="Arial"/>
          <w:sz w:val="16"/>
          <w:szCs w:val="16"/>
          <w:color w:val="auto"/>
        </w:rPr>
      </w:pPr>
    </w:p>
    <w:p>
      <w:pPr>
        <w:jc w:val="both"/>
        <w:ind w:left="1080" w:right="440" w:hanging="532"/>
        <w:spacing w:after="0" w:line="259"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22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32.35</w:t>
      </w:r>
      <w:r>
        <w:rPr>
          <w:sz w:val="20"/>
          <w:szCs w:val="20"/>
          <w:color w:val="auto"/>
        </w:rPr>
        <w:tab/>
      </w:r>
      <w:r>
        <w:rPr>
          <w:rFonts w:ascii="Arial" w:cs="Arial" w:eastAsia="Arial" w:hAnsi="Arial"/>
          <w:sz w:val="15"/>
          <w:szCs w:val="15"/>
          <w:b w:val="1"/>
          <w:bCs w:val="1"/>
          <w:color w:val="auto"/>
        </w:rPr>
        <w:t>Release to facilitate enforcement and realisation</w:t>
      </w:r>
    </w:p>
    <w:p>
      <w:pPr>
        <w:spacing w:after="0" w:line="245" w:lineRule="exact"/>
        <w:rPr>
          <w:sz w:val="20"/>
          <w:szCs w:val="20"/>
          <w:color w:val="auto"/>
        </w:rPr>
      </w:pPr>
    </w:p>
    <w:p>
      <w:pPr>
        <w:ind w:left="540" w:right="40"/>
        <w:spacing w:after="0" w:line="308" w:lineRule="auto"/>
        <w:rPr>
          <w:sz w:val="20"/>
          <w:szCs w:val="20"/>
          <w:color w:val="auto"/>
        </w:rPr>
      </w:pPr>
      <w:r>
        <w:rPr>
          <w:rFonts w:ascii="Arial" w:cs="Arial" w:eastAsia="Arial" w:hAnsi="Arial"/>
          <w:sz w:val="15"/>
          <w:szCs w:val="15"/>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51" w:right="179" w:bottom="1440" w:gutter="0" w:footer="0" w:header="0"/>
        </w:sectPr>
      </w:pPr>
    </w:p>
    <w:bookmarkStart w:id="343" w:name="page344"/>
    <w:bookmarkEnd w:id="343"/>
    <w:p>
      <w:pPr>
        <w:spacing w:after="0"/>
        <w:tabs>
          <w:tab w:leader="none" w:pos="520" w:val="left"/>
        </w:tabs>
        <w:rPr>
          <w:sz w:val="20"/>
          <w:szCs w:val="20"/>
          <w:color w:val="auto"/>
        </w:rPr>
      </w:pPr>
      <w:r>
        <w:rPr>
          <w:rFonts w:ascii="Arial" w:cs="Arial" w:eastAsia="Arial" w:hAnsi="Arial"/>
          <w:sz w:val="18"/>
          <w:szCs w:val="18"/>
          <w:b w:val="1"/>
          <w:bCs w:val="1"/>
          <w:color w:val="auto"/>
        </w:rPr>
        <w:t>32.36</w:t>
      </w:r>
      <w:r>
        <w:rPr>
          <w:sz w:val="20"/>
          <w:szCs w:val="20"/>
          <w:color w:val="auto"/>
        </w:rPr>
        <w:tab/>
      </w:r>
      <w:r>
        <w:rPr>
          <w:rFonts w:ascii="Arial" w:cs="Arial" w:eastAsia="Arial" w:hAnsi="Arial"/>
          <w:sz w:val="16"/>
          <w:szCs w:val="16"/>
          <w:b w:val="1"/>
          <w:bCs w:val="1"/>
          <w:color w:val="auto"/>
        </w:rPr>
        <w:t>Undertaking to pay</w:t>
      </w:r>
    </w:p>
    <w:p>
      <w:pPr>
        <w:spacing w:after="0" w:line="24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32.37</w:t>
      </w:r>
      <w:r>
        <w:rPr>
          <w:sz w:val="20"/>
          <w:szCs w:val="20"/>
          <w:color w:val="auto"/>
        </w:rPr>
        <w:tab/>
      </w:r>
      <w:r>
        <w:rPr>
          <w:rFonts w:ascii="Arial" w:cs="Arial" w:eastAsia="Arial" w:hAnsi="Arial"/>
          <w:sz w:val="15"/>
          <w:szCs w:val="15"/>
          <w:b w:val="1"/>
          <w:bCs w:val="1"/>
          <w:color w:val="auto"/>
        </w:rPr>
        <w:t>Additional trustees</w:t>
      </w:r>
    </w:p>
    <w:p>
      <w:pPr>
        <w:spacing w:after="0" w:line="258"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99" w:lineRule="exact"/>
        <w:rPr>
          <w:sz w:val="20"/>
          <w:szCs w:val="20"/>
          <w:color w:val="auto"/>
        </w:rPr>
      </w:pPr>
    </w:p>
    <w:p>
      <w:pPr>
        <w:ind w:left="1080" w:hanging="532"/>
        <w:spacing w:after="0"/>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for the purpose of obtaining a judgment in any jurisdiction or the enforcement in any jurisdiction against any person of a judgment already obtained,</w:t>
      </w:r>
    </w:p>
    <w:p>
      <w:pPr>
        <w:spacing w:after="0" w:line="248"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32.38</w:t>
      </w:r>
      <w:r>
        <w:rPr>
          <w:sz w:val="20"/>
          <w:szCs w:val="20"/>
          <w:color w:val="auto"/>
        </w:rPr>
        <w:tab/>
      </w:r>
      <w:r>
        <w:rPr>
          <w:rFonts w:ascii="Arial" w:cs="Arial" w:eastAsia="Arial" w:hAnsi="Arial"/>
          <w:sz w:val="15"/>
          <w:szCs w:val="15"/>
          <w:b w:val="1"/>
          <w:bCs w:val="1"/>
          <w:color w:val="auto"/>
        </w:rPr>
        <w:t>Non-recognition of trust</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agreed by all the parties to this Agreement that:</w:t>
      </w:r>
    </w:p>
    <w:p>
      <w:pPr>
        <w:spacing w:after="0" w:line="239" w:lineRule="exact"/>
        <w:rPr>
          <w:sz w:val="20"/>
          <w:szCs w:val="20"/>
          <w:color w:val="auto"/>
        </w:rPr>
      </w:pPr>
    </w:p>
    <w:p>
      <w:pPr>
        <w:ind w:left="1080" w:right="120" w:hanging="532"/>
        <w:spacing w:after="0" w:line="335" w:lineRule="auto"/>
        <w:tabs>
          <w:tab w:leader="none" w:pos="1080" w:val="left"/>
        </w:tabs>
        <w:numPr>
          <w:ilvl w:val="0"/>
          <w:numId w:val="497"/>
        </w:numPr>
        <w:rPr>
          <w:rFonts w:ascii="Arial" w:cs="Arial" w:eastAsia="Arial" w:hAnsi="Arial"/>
          <w:sz w:val="15"/>
          <w:szCs w:val="15"/>
          <w:color w:val="auto"/>
        </w:rPr>
      </w:pPr>
      <w:r>
        <w:rPr>
          <w:rFonts w:ascii="Arial" w:cs="Arial" w:eastAsia="Arial" w:hAnsi="Arial"/>
          <w:sz w:val="15"/>
          <w:szCs w:val="15"/>
          <w:color w:val="auto"/>
        </w:rPr>
        <w:t>in relation to any jurisdiction the courts of which would not recognise or give effect to the trusts expressed to be constituted by this clause 32,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68" w:lineRule="exact"/>
        <w:rPr>
          <w:rFonts w:ascii="Arial" w:cs="Arial" w:eastAsia="Arial" w:hAnsi="Arial"/>
          <w:sz w:val="15"/>
          <w:szCs w:val="15"/>
          <w:color w:val="auto"/>
        </w:rPr>
      </w:pPr>
    </w:p>
    <w:p>
      <w:pPr>
        <w:ind w:left="1080" w:hanging="532"/>
        <w:spacing w:after="0" w:line="254" w:lineRule="auto"/>
        <w:tabs>
          <w:tab w:leader="none" w:pos="10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provisions of this clause 32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44" w:name="page345"/>
    <w:bookmarkEnd w:id="344"/>
    <w:p>
      <w:pPr>
        <w:spacing w:after="0"/>
        <w:tabs>
          <w:tab w:leader="none" w:pos="520" w:val="left"/>
        </w:tabs>
        <w:rPr>
          <w:sz w:val="20"/>
          <w:szCs w:val="20"/>
          <w:color w:val="auto"/>
        </w:rPr>
      </w:pPr>
      <w:r>
        <w:rPr>
          <w:rFonts w:ascii="Arial" w:cs="Arial" w:eastAsia="Arial" w:hAnsi="Arial"/>
          <w:sz w:val="18"/>
          <w:szCs w:val="18"/>
          <w:b w:val="1"/>
          <w:bCs w:val="1"/>
          <w:color w:val="auto"/>
        </w:rPr>
        <w:t>32.39</w:t>
      </w:r>
      <w:r>
        <w:rPr>
          <w:sz w:val="20"/>
          <w:szCs w:val="20"/>
          <w:color w:val="auto"/>
        </w:rPr>
        <w:tab/>
      </w:r>
      <w:r>
        <w:rPr>
          <w:rFonts w:ascii="Arial" w:cs="Arial" w:eastAsia="Arial" w:hAnsi="Arial"/>
          <w:sz w:val="15"/>
          <w:szCs w:val="15"/>
          <w:b w:val="1"/>
          <w:bCs w:val="1"/>
          <w:color w:val="auto"/>
        </w:rPr>
        <w:t>Security Agent's Ongoing Fees</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52"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197"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32.40</w:t>
      </w:r>
      <w:r>
        <w:rPr>
          <w:sz w:val="20"/>
          <w:szCs w:val="20"/>
          <w:color w:val="auto"/>
        </w:rPr>
        <w:tab/>
      </w:r>
      <w:r>
        <w:rPr>
          <w:rFonts w:ascii="Arial" w:cs="Arial" w:eastAsia="Arial" w:hAnsi="Arial"/>
          <w:sz w:val="16"/>
          <w:szCs w:val="16"/>
          <w:b w:val="1"/>
          <w:bCs w:val="1"/>
          <w:color w:val="auto"/>
        </w:rPr>
        <w:t>Interest on Demand</w:t>
      </w:r>
    </w:p>
    <w:p>
      <w:pPr>
        <w:spacing w:after="0" w:line="24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32.41</w:t>
      </w:r>
      <w:r>
        <w:rPr>
          <w:sz w:val="20"/>
          <w:szCs w:val="20"/>
          <w:color w:val="auto"/>
        </w:rPr>
        <w:tab/>
      </w:r>
      <w:r>
        <w:rPr>
          <w:rFonts w:ascii="Arial" w:cs="Arial" w:eastAsia="Arial" w:hAnsi="Arial"/>
          <w:sz w:val="15"/>
          <w:szCs w:val="15"/>
          <w:b w:val="1"/>
          <w:bCs w:val="1"/>
          <w:color w:val="auto"/>
        </w:rPr>
        <w:t>Release of Security</w:t>
      </w:r>
    </w:p>
    <w:p>
      <w:pPr>
        <w:spacing w:after="0" w:line="24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95" w:lineRule="exact"/>
        <w:rPr>
          <w:sz w:val="20"/>
          <w:szCs w:val="20"/>
          <w:color w:val="auto"/>
        </w:rPr>
      </w:pPr>
    </w:p>
    <w:p>
      <w:pPr>
        <w:ind w:right="7780" w:firstLine="8"/>
        <w:spacing w:after="0" w:line="512" w:lineRule="auto"/>
        <w:tabs>
          <w:tab w:leader="none" w:pos="54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 33.1 Finance Parties tax affairs</w:t>
      </w: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No provision of this Agreement will:</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345" w:name="page346"/>
    <w:bookmarkEnd w:id="345"/>
    <w:p>
      <w:pPr>
        <w:spacing w:after="0"/>
        <w:tabs>
          <w:tab w:leader="none" w:pos="5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Finance Parties acting together</w:t>
      </w:r>
    </w:p>
    <w:p>
      <w:pPr>
        <w:spacing w:after="0" w:line="245"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Notwithstanding 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29.23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clause shall not override clause 32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Majority Lenders</w:t>
      </w:r>
    </w:p>
    <w:p>
      <w:pPr>
        <w:spacing w:after="0" w:line="258"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6"/>
          <w:szCs w:val="16"/>
          <w:b w:val="1"/>
          <w:bCs w:val="1"/>
          <w:color w:val="auto"/>
        </w:rPr>
        <w:t>majority decision</w:t>
      </w:r>
      <w:r>
        <w:rPr>
          <w:rFonts w:ascii="Arial" w:cs="Arial" w:eastAsia="Arial" w:hAnsi="Arial"/>
          <w:sz w:val="16"/>
          <w:szCs w:val="16"/>
          <w:color w:val="auto"/>
        </w:rPr>
        <w:t>),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5"/>
          <w:szCs w:val="15"/>
          <w:b w:val="1"/>
          <w:bCs w:val="1"/>
          <w:color w:val="auto"/>
        </w:rPr>
        <w:t>Conflicts</w:t>
      </w:r>
    </w:p>
    <w:p>
      <w:pPr>
        <w:spacing w:after="0" w:line="200" w:lineRule="exact"/>
        <w:rPr>
          <w:sz w:val="20"/>
          <w:szCs w:val="20"/>
          <w:color w:val="auto"/>
        </w:rPr>
      </w:pPr>
    </w:p>
    <w:p>
      <w:pPr>
        <w:spacing w:after="0" w:line="274" w:lineRule="exact"/>
        <w:rPr>
          <w:sz w:val="20"/>
          <w:szCs w:val="20"/>
          <w:color w:val="auto"/>
        </w:rPr>
      </w:pPr>
    </w:p>
    <w:p>
      <w:pPr>
        <w:jc w:val="both"/>
        <w:ind w:left="1080" w:hanging="532"/>
        <w:spacing w:after="0" w:line="259" w:lineRule="auto"/>
        <w:tabs>
          <w:tab w:leader="none" w:pos="10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Each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may have conflicting interests in respect of the Facility or otherwise.</w:t>
      </w:r>
    </w:p>
    <w:p>
      <w:pPr>
        <w:spacing w:after="0" w:line="220"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73" w:lineRule="exact"/>
        <w:rPr>
          <w:rFonts w:ascii="Arial" w:cs="Arial" w:eastAsia="Arial" w:hAnsi="Arial"/>
          <w:sz w:val="16"/>
          <w:szCs w:val="16"/>
          <w:color w:val="auto"/>
        </w:rPr>
      </w:pPr>
    </w:p>
    <w:p>
      <w:pPr>
        <w:ind w:left="1080" w:right="180" w:hanging="532"/>
        <w:spacing w:after="0" w:line="275" w:lineRule="auto"/>
        <w:tabs>
          <w:tab w:leader="none" w:pos="10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46" w:name="page347"/>
    <w:bookmarkEnd w:id="346"/>
    <w:p>
      <w:pPr>
        <w:spacing w:after="0"/>
        <w:tabs>
          <w:tab w:leader="none" w:pos="5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Sharing among the Finance Parties</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5"/>
          <w:szCs w:val="15"/>
          <w:b w:val="1"/>
          <w:bCs w:val="1"/>
          <w:color w:val="auto"/>
        </w:rPr>
        <w:t>Payments to Finance Parties</w:t>
      </w:r>
    </w:p>
    <w:p>
      <w:pPr>
        <w:spacing w:after="0" w:line="252" w:lineRule="exact"/>
        <w:rPr>
          <w:sz w:val="20"/>
          <w:szCs w:val="20"/>
          <w:color w:val="auto"/>
        </w:rPr>
      </w:pPr>
    </w:p>
    <w:p>
      <w:pPr>
        <w:ind w:left="540" w:right="440"/>
        <w:spacing w:after="0" w:line="339" w:lineRule="auto"/>
        <w:rPr>
          <w:sz w:val="20"/>
          <w:szCs w:val="20"/>
          <w:color w:val="auto"/>
        </w:rPr>
      </w:pPr>
      <w:r>
        <w:rPr>
          <w:rFonts w:ascii="Arial" w:cs="Arial" w:eastAsia="Arial" w:hAnsi="Arial"/>
          <w:sz w:val="16"/>
          <w:szCs w:val="16"/>
          <w:color w:val="auto"/>
        </w:rPr>
        <w:t xml:space="preserve">If a Finance Party (a </w:t>
      </w:r>
      <w:r>
        <w:rPr>
          <w:rFonts w:ascii="Arial" w:cs="Arial" w:eastAsia="Arial" w:hAnsi="Arial"/>
          <w:sz w:val="16"/>
          <w:szCs w:val="16"/>
          <w:b w:val="1"/>
          <w:bCs w:val="1"/>
          <w:color w:val="auto"/>
        </w:rPr>
        <w:t>Recovering Finance Party</w:t>
      </w:r>
      <w:r>
        <w:rPr>
          <w:rFonts w:ascii="Arial" w:cs="Arial" w:eastAsia="Arial" w:hAnsi="Arial"/>
          <w:sz w:val="16"/>
          <w:szCs w:val="16"/>
          <w:color w:val="auto"/>
        </w:rPr>
        <w:t>) receives or recovers any amount from an Obligor other than in accordance with clause 35 (</w:t>
      </w:r>
      <w:r>
        <w:rPr>
          <w:rFonts w:ascii="Arial" w:cs="Arial" w:eastAsia="Arial" w:hAnsi="Arial"/>
          <w:sz w:val="16"/>
          <w:szCs w:val="16"/>
          <w:i w:val="1"/>
          <w:iCs w:val="1"/>
          <w:color w:val="auto"/>
        </w:rPr>
        <w:t>Payment</w:t>
      </w:r>
      <w:r>
        <w:rPr>
          <w:rFonts w:ascii="Arial" w:cs="Arial" w:eastAsia="Arial" w:hAnsi="Arial"/>
          <w:sz w:val="16"/>
          <w:szCs w:val="16"/>
          <w:color w:val="auto"/>
        </w:rPr>
        <w:t xml:space="preserve"> </w:t>
      </w:r>
      <w:r>
        <w:rPr>
          <w:rFonts w:ascii="Arial" w:cs="Arial" w:eastAsia="Arial" w:hAnsi="Arial"/>
          <w:sz w:val="16"/>
          <w:szCs w:val="16"/>
          <w:i w:val="1"/>
          <w:iCs w:val="1"/>
          <w:color w:val="auto"/>
        </w:rPr>
        <w:t>mechanics</w:t>
      </w:r>
      <w:r>
        <w:rPr>
          <w:rFonts w:ascii="Arial" w:cs="Arial" w:eastAsia="Arial" w:hAnsi="Arial"/>
          <w:sz w:val="16"/>
          <w:szCs w:val="16"/>
          <w:color w:val="auto"/>
        </w:rPr>
        <w:t>) (a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Recovered Amount</w:t>
      </w:r>
      <w:r>
        <w:rPr>
          <w:rFonts w:ascii="Arial" w:cs="Arial" w:eastAsia="Arial" w:hAnsi="Arial"/>
          <w:sz w:val="16"/>
          <w:szCs w:val="16"/>
          <w:color w:val="auto"/>
        </w:rPr>
        <w:t>) and applies that amount to a payment due under the Finance Documents then:</w:t>
      </w:r>
    </w:p>
    <w:p>
      <w:pPr>
        <w:spacing w:after="0" w:line="148" w:lineRule="exact"/>
        <w:rPr>
          <w:sz w:val="20"/>
          <w:szCs w:val="20"/>
          <w:color w:val="auto"/>
        </w:rPr>
      </w:pPr>
    </w:p>
    <w:p>
      <w:pPr>
        <w:ind w:left="1080" w:hanging="532"/>
        <w:spacing w:after="0"/>
        <w:tabs>
          <w:tab w:leader="none" w:pos="10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35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81" w:lineRule="exact"/>
        <w:rPr>
          <w:rFonts w:ascii="Arial" w:cs="Arial" w:eastAsia="Arial" w:hAnsi="Arial"/>
          <w:sz w:val="16"/>
          <w:szCs w:val="16"/>
          <w:color w:val="auto"/>
        </w:rPr>
      </w:pPr>
    </w:p>
    <w:p>
      <w:pPr>
        <w:ind w:left="1080" w:right="40" w:hanging="532"/>
        <w:spacing w:after="0" w:line="262" w:lineRule="auto"/>
        <w:tabs>
          <w:tab w:leader="none" w:pos="10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5"/>
          <w:szCs w:val="15"/>
          <w:b w:val="1"/>
          <w:bCs w:val="1"/>
          <w:color w:val="auto"/>
        </w:rPr>
        <w:t>Redistribution of payments</w:t>
      </w:r>
    </w:p>
    <w:p>
      <w:pPr>
        <w:spacing w:after="0" w:line="24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5"/>
          <w:szCs w:val="15"/>
          <w:b w:val="1"/>
          <w:bCs w:val="1"/>
          <w:color w:val="auto"/>
        </w:rPr>
        <w:t>Recovering Finance Party's rights</w:t>
      </w:r>
    </w:p>
    <w:p>
      <w:pPr>
        <w:spacing w:after="0" w:line="245"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color w:val="auto"/>
        </w:rPr>
        <w:t>On a distribution by the Agent under clause 34.2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6"/>
          <w:szCs w:val="16"/>
          <w:b w:val="1"/>
          <w:bCs w:val="1"/>
          <w:color w:val="auto"/>
        </w:rPr>
        <w:t>Reversal of redistribution</w:t>
      </w:r>
    </w:p>
    <w:p>
      <w:pPr>
        <w:spacing w:after="0" w:line="25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99" w:lineRule="exact"/>
        <w:rPr>
          <w:sz w:val="20"/>
          <w:szCs w:val="20"/>
          <w:color w:val="auto"/>
        </w:rPr>
      </w:pPr>
    </w:p>
    <w:p>
      <w:pPr>
        <w:jc w:val="both"/>
        <w:ind w:left="1080" w:right="80" w:hanging="532"/>
        <w:spacing w:after="0" w:line="335" w:lineRule="auto"/>
        <w:tabs>
          <w:tab w:leader="none" w:pos="1080" w:val="left"/>
        </w:tabs>
        <w:numPr>
          <w:ilvl w:val="0"/>
          <w:numId w:val="502"/>
        </w:numPr>
        <w:rPr>
          <w:rFonts w:ascii="Arial" w:cs="Arial" w:eastAsia="Arial" w:hAnsi="Arial"/>
          <w:sz w:val="15"/>
          <w:szCs w:val="15"/>
          <w:color w:val="auto"/>
        </w:rPr>
      </w:pPr>
      <w:r>
        <w:rPr>
          <w:rFonts w:ascii="Arial" w:cs="Arial" w:eastAsia="Arial" w:hAnsi="Arial"/>
          <w:sz w:val="15"/>
          <w:szCs w:val="15"/>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5"/>
          <w:szCs w:val="15"/>
          <w:b w:val="1"/>
          <w:bCs w:val="1"/>
          <w:color w:val="auto"/>
        </w:rPr>
        <w:t>Redistributed Amount</w:t>
      </w:r>
      <w:r>
        <w:rPr>
          <w:rFonts w:ascii="Arial" w:cs="Arial" w:eastAsia="Arial" w:hAnsi="Arial"/>
          <w:sz w:val="15"/>
          <w:szCs w:val="15"/>
          <w:color w:val="auto"/>
        </w:rPr>
        <w:t>); and</w:t>
      </w:r>
    </w:p>
    <w:p>
      <w:pPr>
        <w:spacing w:after="0" w:line="155" w:lineRule="exact"/>
        <w:rPr>
          <w:rFonts w:ascii="Arial" w:cs="Arial" w:eastAsia="Arial" w:hAnsi="Arial"/>
          <w:sz w:val="15"/>
          <w:szCs w:val="15"/>
          <w:color w:val="auto"/>
        </w:rPr>
      </w:pPr>
    </w:p>
    <w:p>
      <w:pPr>
        <w:ind w:left="1080" w:right="180" w:hanging="532"/>
        <w:spacing w:after="0" w:line="268" w:lineRule="auto"/>
        <w:tabs>
          <w:tab w:leader="none" w:pos="10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347" w:name="page348"/>
    <w:bookmarkEnd w:id="347"/>
    <w:p>
      <w:pPr>
        <w:spacing w:after="0"/>
        <w:tabs>
          <w:tab w:leader="none" w:pos="52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5"/>
          <w:szCs w:val="15"/>
          <w:b w:val="1"/>
          <w:bCs w:val="1"/>
          <w:color w:val="auto"/>
        </w:rPr>
        <w:t>Exceptions</w:t>
      </w:r>
    </w:p>
    <w:p>
      <w:pPr>
        <w:spacing w:after="0" w:line="200" w:lineRule="exact"/>
        <w:rPr>
          <w:sz w:val="20"/>
          <w:szCs w:val="20"/>
          <w:color w:val="auto"/>
        </w:rPr>
      </w:pPr>
    </w:p>
    <w:p>
      <w:pPr>
        <w:spacing w:after="0" w:line="288" w:lineRule="exact"/>
        <w:rPr>
          <w:sz w:val="20"/>
          <w:szCs w:val="20"/>
          <w:color w:val="auto"/>
        </w:rPr>
      </w:pPr>
    </w:p>
    <w:p>
      <w:pPr>
        <w:ind w:left="1080" w:right="180" w:hanging="532"/>
        <w:spacing w:after="0" w:line="268" w:lineRule="auto"/>
        <w:tabs>
          <w:tab w:leader="none" w:pos="10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This clause 34 shall not apply to the extent that the Recovering Finance Party would not, after making any payment pursuant to this clause, have a valid and enforceable claim against the relevant Obligor.</w:t>
      </w:r>
    </w:p>
    <w:p>
      <w:pPr>
        <w:spacing w:after="0" w:line="199"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370" w:lineRule="exact"/>
        <w:rPr>
          <w:rFonts w:ascii="Arial" w:cs="Arial" w:eastAsia="Arial" w:hAnsi="Arial"/>
          <w:sz w:val="16"/>
          <w:szCs w:val="16"/>
          <w:color w:val="auto"/>
        </w:rPr>
      </w:pPr>
    </w:p>
    <w:p>
      <w:pPr>
        <w:ind w:left="1620" w:hanging="532"/>
        <w:spacing w:after="0"/>
        <w:tabs>
          <w:tab w:leader="none" w:pos="16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200" w:lineRule="exact"/>
        <w:rPr>
          <w:sz w:val="20"/>
          <w:szCs w:val="20"/>
          <w:color w:val="auto"/>
        </w:rPr>
      </w:pPr>
    </w:p>
    <w:p>
      <w:pPr>
        <w:spacing w:after="0" w:line="209" w:lineRule="exact"/>
        <w:rPr>
          <w:sz w:val="20"/>
          <w:szCs w:val="20"/>
          <w:color w:val="auto"/>
        </w:rPr>
      </w:pPr>
    </w:p>
    <w:p>
      <w:pPr>
        <w:ind w:right="9280" w:firstLine="8"/>
        <w:spacing w:after="0" w:line="639" w:lineRule="auto"/>
        <w:tabs>
          <w:tab w:leader="none" w:pos="540" w:val="left"/>
        </w:tabs>
        <w:numPr>
          <w:ilvl w:val="0"/>
          <w:numId w:val="504"/>
        </w:numPr>
        <w:rPr>
          <w:rFonts w:ascii="Arial" w:cs="Arial" w:eastAsia="Arial" w:hAnsi="Arial"/>
          <w:sz w:val="16"/>
          <w:szCs w:val="16"/>
          <w:b w:val="1"/>
          <w:bCs w:val="1"/>
          <w:color w:val="auto"/>
        </w:rPr>
      </w:pPr>
      <w:r>
        <w:rPr>
          <w:rFonts w:ascii="Arial" w:cs="Arial" w:eastAsia="Arial" w:hAnsi="Arial"/>
          <w:sz w:val="16"/>
          <w:szCs w:val="16"/>
          <w:b w:val="1"/>
          <w:bCs w:val="1"/>
          <w:color w:val="auto"/>
        </w:rPr>
        <w:t>Payment mechanics 35.1 Payments to the Agent</w:t>
      </w:r>
    </w:p>
    <w:p>
      <w:pPr>
        <w:spacing w:after="0" w:line="146" w:lineRule="exact"/>
        <w:rPr>
          <w:rFonts w:ascii="Arial" w:cs="Arial" w:eastAsia="Arial" w:hAnsi="Arial"/>
          <w:sz w:val="16"/>
          <w:szCs w:val="16"/>
          <w:b w:val="1"/>
          <w:bCs w:val="1"/>
          <w:color w:val="auto"/>
        </w:rPr>
      </w:pPr>
    </w:p>
    <w:p>
      <w:pPr>
        <w:jc w:val="both"/>
        <w:ind w:left="1080" w:right="300" w:hanging="532"/>
        <w:spacing w:after="0" w:line="306" w:lineRule="auto"/>
        <w:tabs>
          <w:tab w:leader="none" w:pos="1080" w:val="left"/>
        </w:tabs>
        <w:numPr>
          <w:ilvl w:val="1"/>
          <w:numId w:val="504"/>
        </w:numPr>
        <w:rPr>
          <w:rFonts w:ascii="Arial" w:cs="Arial" w:eastAsia="Arial" w:hAnsi="Arial"/>
          <w:sz w:val="16"/>
          <w:szCs w:val="16"/>
          <w:color w:val="auto"/>
        </w:rPr>
      </w:pPr>
      <w:r>
        <w:rPr>
          <w:rFonts w:ascii="Arial" w:cs="Arial" w:eastAsia="Arial" w:hAnsi="Arial"/>
          <w:sz w:val="16"/>
          <w:szCs w:val="16"/>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73"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504"/>
        </w:numPr>
        <w:rPr>
          <w:rFonts w:ascii="Arial" w:cs="Arial" w:eastAsia="Arial" w:hAnsi="Arial"/>
          <w:sz w:val="16"/>
          <w:szCs w:val="16"/>
          <w:color w:val="auto"/>
        </w:rPr>
      </w:pPr>
      <w:r>
        <w:rPr>
          <w:rFonts w:ascii="Arial" w:cs="Arial" w:eastAsia="Arial" w:hAnsi="Arial"/>
          <w:sz w:val="16"/>
          <w:szCs w:val="16"/>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5"/>
          <w:szCs w:val="15"/>
          <w:b w:val="1"/>
          <w:bCs w:val="1"/>
          <w:color w:val="auto"/>
        </w:rPr>
        <w:t>Distributions by the Agent</w:t>
      </w:r>
    </w:p>
    <w:p>
      <w:pPr>
        <w:spacing w:after="0" w:line="24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Each payment received by the Agent under the Finance Documents for another Party shall, subject to clause 35.3 (</w:t>
      </w:r>
      <w:r>
        <w:rPr>
          <w:rFonts w:ascii="Arial" w:cs="Arial" w:eastAsia="Arial" w:hAnsi="Arial"/>
          <w:sz w:val="16"/>
          <w:szCs w:val="16"/>
          <w:i w:val="1"/>
          <w:iCs w:val="1"/>
          <w:color w:val="auto"/>
        </w:rPr>
        <w:t>Distributions to an Obligor</w:t>
      </w:r>
      <w:r>
        <w:rPr>
          <w:rFonts w:ascii="Arial" w:cs="Arial" w:eastAsia="Arial" w:hAnsi="Arial"/>
          <w:sz w:val="16"/>
          <w:szCs w:val="16"/>
          <w:color w:val="auto"/>
        </w:rPr>
        <w:t>) and clause 35.4 (</w:t>
      </w:r>
      <w:r>
        <w:rPr>
          <w:rFonts w:ascii="Arial" w:cs="Arial" w:eastAsia="Arial" w:hAnsi="Arial"/>
          <w:sz w:val="16"/>
          <w:szCs w:val="16"/>
          <w:i w:val="1"/>
          <w:iCs w:val="1"/>
          <w:color w:val="auto"/>
        </w:rPr>
        <w:t>Clawback and pre-funding</w:t>
      </w:r>
      <w:r>
        <w:rPr>
          <w:rFonts w:ascii="Arial" w:cs="Arial" w:eastAsia="Arial" w:hAnsi="Arial"/>
          <w:sz w:val="16"/>
          <w:szCs w:val="16"/>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6"/>
          <w:szCs w:val="16"/>
          <w:b w:val="1"/>
          <w:bCs w:val="1"/>
          <w:color w:val="auto"/>
        </w:rPr>
        <w:t>Distributions to an Obligor</w:t>
      </w:r>
    </w:p>
    <w:p>
      <w:pPr>
        <w:spacing w:after="0" w:line="25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Agent may (with the consent of the Obligor or in accordance with clause 36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b w:val="1"/>
          <w:bCs w:val="1"/>
          <w:color w:val="auto"/>
        </w:rPr>
        <w:t>Clawback and pre-funding</w:t>
      </w:r>
    </w:p>
    <w:p>
      <w:pPr>
        <w:spacing w:after="0" w:line="200" w:lineRule="exact"/>
        <w:rPr>
          <w:sz w:val="20"/>
          <w:szCs w:val="20"/>
          <w:color w:val="auto"/>
        </w:rPr>
      </w:pPr>
    </w:p>
    <w:p>
      <w:pPr>
        <w:spacing w:after="0" w:line="274" w:lineRule="exact"/>
        <w:rPr>
          <w:sz w:val="20"/>
          <w:szCs w:val="20"/>
          <w:color w:val="auto"/>
        </w:rPr>
      </w:pPr>
    </w:p>
    <w:p>
      <w:pPr>
        <w:jc w:val="both"/>
        <w:ind w:left="1080" w:right="120" w:hanging="532"/>
        <w:spacing w:after="0" w:line="369" w:lineRule="auto"/>
        <w:tabs>
          <w:tab w:leader="none" w:pos="1080" w:val="left"/>
        </w:tabs>
        <w:numPr>
          <w:ilvl w:val="0"/>
          <w:numId w:val="505"/>
        </w:numPr>
        <w:rPr>
          <w:rFonts w:ascii="Arial" w:cs="Arial" w:eastAsia="Arial" w:hAnsi="Arial"/>
          <w:sz w:val="15"/>
          <w:szCs w:val="15"/>
          <w:color w:val="auto"/>
        </w:rPr>
      </w:pPr>
      <w:r>
        <w:rPr>
          <w:rFonts w:ascii="Arial" w:cs="Arial" w:eastAsia="Arial" w:hAnsi="Arial"/>
          <w:sz w:val="15"/>
          <w:szCs w:val="15"/>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48" w:name="page349"/>
    <w:bookmarkEnd w:id="348"/>
    <w:p>
      <w:pPr>
        <w:ind w:left="1080" w:right="80" w:hanging="532"/>
        <w:spacing w:after="0" w:line="256" w:lineRule="auto"/>
        <w:tabs>
          <w:tab w:leader="none" w:pos="10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Unless clause 35.4(c)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23" w:lineRule="exact"/>
        <w:rPr>
          <w:rFonts w:ascii="Arial" w:cs="Arial" w:eastAsia="Arial" w:hAnsi="Arial"/>
          <w:sz w:val="18"/>
          <w:szCs w:val="18"/>
          <w:color w:val="auto"/>
        </w:rPr>
      </w:pPr>
    </w:p>
    <w:p>
      <w:pPr>
        <w:jc w:val="both"/>
        <w:ind w:left="1080" w:right="80" w:hanging="532"/>
        <w:spacing w:after="0" w:line="306" w:lineRule="auto"/>
        <w:tabs>
          <w:tab w:leader="none" w:pos="108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If the Agent has notified the Lenders that, pursuant to the Borrowers' request, it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389" w:lineRule="exact"/>
        <w:rPr>
          <w:rFonts w:ascii="Arial" w:cs="Arial" w:eastAsia="Arial" w:hAnsi="Arial"/>
          <w:sz w:val="16"/>
          <w:szCs w:val="16"/>
          <w:color w:val="auto"/>
        </w:rPr>
      </w:pPr>
    </w:p>
    <w:p>
      <w:pPr>
        <w:ind w:left="1620" w:hanging="532"/>
        <w:spacing w:after="0"/>
        <w:tabs>
          <w:tab w:leader="none" w:pos="16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38"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b w:val="1"/>
          <w:bCs w:val="1"/>
          <w:color w:val="auto"/>
        </w:rPr>
        <w:t>Partial payments</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59" w:lineRule="auto"/>
        <w:tabs>
          <w:tab w:leader="none" w:pos="10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1620" w:right="320" w:hanging="532"/>
        <w:spacing w:after="0" w:line="275" w:lineRule="auto"/>
        <w:tabs>
          <w:tab w:leader="none" w:pos="1620" w:val="left"/>
        </w:tabs>
        <w:numPr>
          <w:ilvl w:val="1"/>
          <w:numId w:val="50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200" w:lineRule="exact"/>
        <w:rPr>
          <w:rFonts w:ascii="Arial" w:cs="Arial" w:eastAsia="Arial" w:hAnsi="Arial"/>
          <w:sz w:val="18"/>
          <w:szCs w:val="18"/>
          <w:color w:val="auto"/>
        </w:rPr>
      </w:pPr>
    </w:p>
    <w:p>
      <w:pPr>
        <w:ind w:left="1620" w:right="140" w:hanging="532"/>
        <w:spacing w:after="0" w:line="262" w:lineRule="auto"/>
        <w:tabs>
          <w:tab w:leader="none" w:pos="1620" w:val="left"/>
        </w:tabs>
        <w:numPr>
          <w:ilvl w:val="1"/>
          <w:numId w:val="507"/>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32.11 (</w:t>
      </w:r>
      <w:r>
        <w:rPr>
          <w:rFonts w:ascii="Arial" w:cs="Arial" w:eastAsia="Arial" w:hAnsi="Arial"/>
          <w:sz w:val="18"/>
          <w:szCs w:val="18"/>
          <w:i w:val="1"/>
          <w:iCs w:val="1"/>
          <w:color w:val="auto"/>
        </w:rPr>
        <w:t>Lenders' indemnity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including any amount resulting from the indemnity to the Security Agent under clause 32.21(a)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07"/>
        </w:numPr>
        <w:rPr>
          <w:rFonts w:ascii="Arial" w:cs="Arial" w:eastAsia="Arial" w:hAnsi="Arial"/>
          <w:sz w:val="16"/>
          <w:szCs w:val="16"/>
          <w:color w:val="auto"/>
        </w:rPr>
      </w:pPr>
      <w:r>
        <w:rPr>
          <w:rFonts w:ascii="Arial" w:cs="Arial" w:eastAsia="Arial" w:hAnsi="Arial"/>
          <w:sz w:val="16"/>
          <w:szCs w:val="16"/>
          <w:b w:val="1"/>
          <w:bCs w:val="1"/>
          <w:color w:val="auto"/>
        </w:rPr>
        <w:t>thirdly</w:t>
      </w:r>
      <w:r>
        <w:rPr>
          <w:rFonts w:ascii="Arial" w:cs="Arial" w:eastAsia="Arial" w:hAnsi="Arial"/>
          <w:sz w:val="16"/>
          <w:szCs w:val="16"/>
          <w:color w:val="auto"/>
        </w:rPr>
        <w:t>, in or towards payment to the Lenders pro rata of any accrued interest or fee due but unpaid under those Finance Documents;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507"/>
        </w:numPr>
        <w:rPr>
          <w:rFonts w:ascii="Arial" w:cs="Arial" w:eastAsia="Arial" w:hAnsi="Arial"/>
          <w:sz w:val="15"/>
          <w:szCs w:val="15"/>
          <w:color w:val="auto"/>
        </w:rPr>
      </w:pPr>
      <w:r>
        <w:rPr>
          <w:rFonts w:ascii="Arial" w:cs="Arial" w:eastAsia="Arial" w:hAnsi="Arial"/>
          <w:sz w:val="15"/>
          <w:szCs w:val="15"/>
          <w:b w:val="1"/>
          <w:bCs w:val="1"/>
          <w:color w:val="auto"/>
        </w:rPr>
        <w:t>fourthly</w:t>
      </w:r>
      <w:r>
        <w:rPr>
          <w:rFonts w:ascii="Arial" w:cs="Arial" w:eastAsia="Arial" w:hAnsi="Arial"/>
          <w:sz w:val="15"/>
          <w:szCs w:val="15"/>
          <w:color w:val="auto"/>
        </w:rPr>
        <w:t>, in or towards payment to the Lenders pro rata of any principal due but unpaid to the Lenders under those Finance Documents; and</w:t>
      </w:r>
    </w:p>
    <w:p>
      <w:pPr>
        <w:spacing w:after="0" w:line="286" w:lineRule="exact"/>
        <w:rPr>
          <w:rFonts w:ascii="Arial" w:cs="Arial" w:eastAsia="Arial" w:hAnsi="Arial"/>
          <w:sz w:val="15"/>
          <w:szCs w:val="15"/>
          <w:color w:val="auto"/>
        </w:rPr>
      </w:pPr>
    </w:p>
    <w:p>
      <w:pPr>
        <w:ind w:left="1620" w:hanging="532"/>
        <w:spacing w:after="0"/>
        <w:tabs>
          <w:tab w:leader="none" w:pos="1620" w:val="left"/>
        </w:tabs>
        <w:numPr>
          <w:ilvl w:val="1"/>
          <w:numId w:val="507"/>
        </w:numPr>
        <w:rPr>
          <w:rFonts w:ascii="Arial" w:cs="Arial" w:eastAsia="Arial" w:hAnsi="Arial"/>
          <w:sz w:val="16"/>
          <w:szCs w:val="16"/>
          <w:color w:val="auto"/>
        </w:rPr>
      </w:pPr>
      <w:r>
        <w:rPr>
          <w:rFonts w:ascii="Arial" w:cs="Arial" w:eastAsia="Arial" w:hAnsi="Arial"/>
          <w:sz w:val="16"/>
          <w:szCs w:val="16"/>
          <w:b w:val="1"/>
          <w:bCs w:val="1"/>
          <w:color w:val="auto"/>
        </w:rPr>
        <w:t>fifthly</w:t>
      </w:r>
      <w:r>
        <w:rPr>
          <w:rFonts w:ascii="Arial" w:cs="Arial" w:eastAsia="Arial" w:hAnsi="Arial"/>
          <w:sz w:val="16"/>
          <w:szCs w:val="16"/>
          <w:color w:val="auto"/>
        </w:rPr>
        <w:t>, in or towards payment pro rata of any other sum due but unpaid to the Finance Parties under the Finance Documents.</w:t>
      </w: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ind w:left="1080" w:hanging="532"/>
        <w:spacing w:after="0"/>
        <w:tabs>
          <w:tab w:leader="none" w:pos="10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paragraphs (iii) to (v) of clause 35.5(a).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Clauses 35.5(a) and 35.5(b) above will override any appropriation made by an Obligor.</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35.6</w:t>
      </w:r>
      <w:r>
        <w:rPr>
          <w:sz w:val="20"/>
          <w:szCs w:val="20"/>
          <w:color w:val="auto"/>
        </w:rPr>
        <w:tab/>
      </w:r>
      <w:r>
        <w:rPr>
          <w:rFonts w:ascii="Arial" w:cs="Arial" w:eastAsia="Arial" w:hAnsi="Arial"/>
          <w:sz w:val="15"/>
          <w:szCs w:val="15"/>
          <w:b w:val="1"/>
          <w:bCs w:val="1"/>
          <w:color w:val="auto"/>
        </w:rPr>
        <w:t>No set-off by Obligors</w:t>
      </w:r>
    </w:p>
    <w:p>
      <w:pPr>
        <w:spacing w:after="0" w:line="258"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349" w:name="page350"/>
    <w:bookmarkEnd w:id="349"/>
    <w:p>
      <w:pPr>
        <w:spacing w:after="0"/>
        <w:tabs>
          <w:tab w:leader="none" w:pos="52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4"/>
          <w:szCs w:val="14"/>
          <w:b w:val="1"/>
          <w:bCs w:val="1"/>
          <w:color w:val="auto"/>
        </w:rPr>
        <w:t>Business Days</w:t>
      </w:r>
    </w:p>
    <w:p>
      <w:pPr>
        <w:spacing w:after="0" w:line="200" w:lineRule="exact"/>
        <w:rPr>
          <w:sz w:val="20"/>
          <w:szCs w:val="20"/>
          <w:color w:val="auto"/>
        </w:rPr>
      </w:pPr>
    </w:p>
    <w:p>
      <w:pPr>
        <w:spacing w:after="0" w:line="288" w:lineRule="exact"/>
        <w:rPr>
          <w:sz w:val="20"/>
          <w:szCs w:val="20"/>
          <w:color w:val="auto"/>
        </w:rPr>
      </w:pPr>
    </w:p>
    <w:p>
      <w:pPr>
        <w:ind w:left="1080" w:right="220" w:hanging="532"/>
        <w:spacing w:after="0" w:line="268" w:lineRule="auto"/>
        <w:tabs>
          <w:tab w:leader="none" w:pos="108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35.8</w:t>
      </w:r>
      <w:r>
        <w:rPr>
          <w:sz w:val="20"/>
          <w:szCs w:val="20"/>
          <w:color w:val="auto"/>
        </w:rPr>
        <w:tab/>
      </w:r>
      <w:r>
        <w:rPr>
          <w:rFonts w:ascii="Arial" w:cs="Arial" w:eastAsia="Arial" w:hAnsi="Arial"/>
          <w:sz w:val="15"/>
          <w:szCs w:val="15"/>
          <w:b w:val="1"/>
          <w:bCs w:val="1"/>
          <w:color w:val="auto"/>
        </w:rPr>
        <w:t>Payments on demand</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For the purposes of clause 29.1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35.9</w:t>
      </w:r>
      <w:r>
        <w:rPr>
          <w:sz w:val="20"/>
          <w:szCs w:val="20"/>
          <w:color w:val="auto"/>
        </w:rPr>
        <w:tab/>
      </w:r>
      <w:r>
        <w:rPr>
          <w:rFonts w:ascii="Arial" w:cs="Arial" w:eastAsia="Arial" w:hAnsi="Arial"/>
          <w:sz w:val="15"/>
          <w:szCs w:val="15"/>
          <w:b w:val="1"/>
          <w:bCs w:val="1"/>
          <w:color w:val="auto"/>
        </w:rPr>
        <w:t>Currency of account</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509"/>
        </w:numPr>
        <w:rPr>
          <w:rFonts w:ascii="Arial" w:cs="Arial" w:eastAsia="Arial" w:hAnsi="Arial"/>
          <w:sz w:val="15"/>
          <w:szCs w:val="15"/>
          <w:color w:val="auto"/>
        </w:rPr>
      </w:pPr>
      <w:r>
        <w:rPr>
          <w:rFonts w:ascii="Arial" w:cs="Arial" w:eastAsia="Arial" w:hAnsi="Arial"/>
          <w:sz w:val="15"/>
          <w:szCs w:val="15"/>
          <w:color w:val="auto"/>
        </w:rPr>
        <w:t>Subject to clauses 35.9(b) to 35.9(c), dollars is the currency of account and payment for any sum due from an Obligor under any Finance Document.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A repayment of all or part of the Revolving Loans or an Unpaid Sum and each payment of interest shall be made in dollars on its due date.</w:t>
      </w:r>
    </w:p>
    <w:p>
      <w:pPr>
        <w:spacing w:after="0" w:line="275"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35.10</w:t>
      </w:r>
      <w:r>
        <w:rPr>
          <w:sz w:val="20"/>
          <w:szCs w:val="20"/>
          <w:color w:val="auto"/>
        </w:rPr>
        <w:tab/>
      </w:r>
      <w:r>
        <w:rPr>
          <w:rFonts w:ascii="Arial" w:cs="Arial" w:eastAsia="Arial" w:hAnsi="Arial"/>
          <w:sz w:val="15"/>
          <w:szCs w:val="15"/>
          <w:b w:val="1"/>
          <w:bCs w:val="1"/>
          <w:color w:val="auto"/>
        </w:rPr>
        <w:t>Change of currency</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68" w:lineRule="auto"/>
        <w:tabs>
          <w:tab w:leader="none" w:pos="10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620" w:right="140" w:hanging="532"/>
        <w:spacing w:after="0" w:line="259" w:lineRule="auto"/>
        <w:tabs>
          <w:tab w:leader="none" w:pos="162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207" w:lineRule="exact"/>
        <w:rPr>
          <w:rFonts w:ascii="Arial" w:cs="Arial" w:eastAsia="Arial" w:hAnsi="Arial"/>
          <w:sz w:val="18"/>
          <w:szCs w:val="18"/>
          <w:color w:val="auto"/>
        </w:rPr>
      </w:pPr>
    </w:p>
    <w:p>
      <w:pPr>
        <w:ind w:left="1620" w:right="140" w:hanging="532"/>
        <w:spacing w:after="0" w:line="331" w:lineRule="auto"/>
        <w:tabs>
          <w:tab w:leader="none" w:pos="162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383"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50" w:name="page351"/>
    <w:bookmarkEnd w:id="350"/>
    <w:p>
      <w:pPr>
        <w:spacing w:after="0"/>
        <w:tabs>
          <w:tab w:leader="none" w:pos="520" w:val="left"/>
        </w:tabs>
        <w:rPr>
          <w:sz w:val="20"/>
          <w:szCs w:val="20"/>
          <w:color w:val="auto"/>
        </w:rPr>
      </w:pPr>
      <w:r>
        <w:rPr>
          <w:rFonts w:ascii="Arial" w:cs="Arial" w:eastAsia="Arial" w:hAnsi="Arial"/>
          <w:sz w:val="18"/>
          <w:szCs w:val="18"/>
          <w:b w:val="1"/>
          <w:bCs w:val="1"/>
          <w:color w:val="auto"/>
        </w:rPr>
        <w:t>35.11</w:t>
      </w:r>
      <w:r>
        <w:rPr>
          <w:sz w:val="20"/>
          <w:szCs w:val="20"/>
          <w:color w:val="auto"/>
        </w:rPr>
        <w:tab/>
      </w:r>
      <w:r>
        <w:rPr>
          <w:rFonts w:ascii="Arial" w:cs="Arial" w:eastAsia="Arial" w:hAnsi="Arial"/>
          <w:sz w:val="15"/>
          <w:szCs w:val="15"/>
          <w:b w:val="1"/>
          <w:bCs w:val="1"/>
          <w:color w:val="auto"/>
        </w:rPr>
        <w:t>Disruption to Payment Systems etc.</w:t>
      </w:r>
    </w:p>
    <w:p>
      <w:pPr>
        <w:spacing w:after="0" w:line="24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If either the Agent determines (in its discretion) that a Payment Disruption Event has occurred or the Agent is notified by the Borrowers that a Payment Disruption Event has occurred:</w:t>
      </w:r>
    </w:p>
    <w:p>
      <w:pPr>
        <w:spacing w:after="0" w:line="213" w:lineRule="exact"/>
        <w:rPr>
          <w:sz w:val="20"/>
          <w:szCs w:val="20"/>
          <w:color w:val="auto"/>
        </w:rPr>
      </w:pPr>
    </w:p>
    <w:p>
      <w:pPr>
        <w:ind w:left="1080" w:right="540" w:hanging="532"/>
        <w:spacing w:after="0" w:line="331" w:lineRule="auto"/>
        <w:tabs>
          <w:tab w:leader="none" w:pos="108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Agent may, and shall if requested to do so by the Borrowers, consult with the Borrowers with a view to agreeing with the Borrowers such changes to the operation or administration of the Facility as the Agent may deem necessary in the circumstances;</w:t>
      </w:r>
    </w:p>
    <w:p>
      <w:pPr>
        <w:spacing w:after="0" w:line="154"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35.11; and</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35.12</w:t>
      </w:r>
      <w:r>
        <w:rPr>
          <w:sz w:val="20"/>
          <w:szCs w:val="20"/>
          <w:color w:val="auto"/>
        </w:rPr>
        <w:tab/>
      </w:r>
      <w:r>
        <w:rPr>
          <w:rFonts w:ascii="Arial" w:cs="Arial" w:eastAsia="Arial" w:hAnsi="Arial"/>
          <w:sz w:val="16"/>
          <w:szCs w:val="16"/>
          <w:b w:val="1"/>
          <w:bCs w:val="1"/>
          <w:color w:val="auto"/>
        </w:rPr>
        <w:t>Impaired Agent</w:t>
      </w:r>
    </w:p>
    <w:p>
      <w:pPr>
        <w:spacing w:after="0" w:line="200" w:lineRule="exact"/>
        <w:rPr>
          <w:sz w:val="20"/>
          <w:szCs w:val="20"/>
          <w:color w:val="auto"/>
        </w:rPr>
      </w:pPr>
    </w:p>
    <w:p>
      <w:pPr>
        <w:spacing w:after="0" w:line="288" w:lineRule="exact"/>
        <w:rPr>
          <w:sz w:val="20"/>
          <w:szCs w:val="20"/>
          <w:color w:val="auto"/>
        </w:rPr>
      </w:pPr>
    </w:p>
    <w:p>
      <w:pPr>
        <w:ind w:left="1080" w:right="20" w:hanging="532"/>
        <w:spacing w:after="0" w:line="291" w:lineRule="auto"/>
        <w:tabs>
          <w:tab w:leader="none" w:pos="108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If, at any time, the Agent becomes an Impaired Agent, an Obligor or a Lender which is required to make a payment under the Finance Documents to the Agent in accordance with clause 35.1 (</w:t>
      </w:r>
      <w:r>
        <w:rPr>
          <w:rFonts w:ascii="Arial" w:cs="Arial" w:eastAsia="Arial" w:hAnsi="Arial"/>
          <w:sz w:val="16"/>
          <w:szCs w:val="16"/>
          <w:i w:val="1"/>
          <w:iCs w:val="1"/>
          <w:color w:val="auto"/>
        </w:rPr>
        <w:t>Payments to the Agent</w:t>
      </w:r>
      <w:r>
        <w:rPr>
          <w:rFonts w:ascii="Arial" w:cs="Arial" w:eastAsia="Arial" w:hAnsi="Arial"/>
          <w:sz w:val="16"/>
          <w:szCs w:val="16"/>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6"/>
          <w:szCs w:val="16"/>
          <w:b w:val="1"/>
          <w:bCs w:val="1"/>
          <w:color w:val="auto"/>
        </w:rPr>
        <w:t>Acceptable Bank</w:t>
      </w:r>
      <w:r>
        <w:rPr>
          <w:rFonts w:ascii="Arial" w:cs="Arial" w:eastAsia="Arial" w:hAnsi="Arial"/>
          <w:sz w:val="16"/>
          <w:szCs w:val="16"/>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212"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clause 35.1 (</w:t>
      </w:r>
      <w:r>
        <w:rPr>
          <w:rFonts w:ascii="Arial" w:cs="Arial" w:eastAsia="Arial" w:hAnsi="Arial"/>
          <w:sz w:val="16"/>
          <w:szCs w:val="16"/>
          <w:i w:val="1"/>
          <w:iCs w:val="1"/>
          <w:color w:val="auto"/>
        </w:rPr>
        <w:t>Payments to the Agent</w:t>
      </w:r>
      <w:r>
        <w:rPr>
          <w:rFonts w:ascii="Arial" w:cs="Arial" w:eastAsia="Arial" w:hAnsi="Arial"/>
          <w:sz w:val="16"/>
          <w:szCs w:val="16"/>
          <w:color w:val="auto"/>
        </w:rPr>
        <w:t>) shall be discharged of the relevant payment obligation under the Finance Documents and shall not take any credit risk with respect to the amounts standing to the credit of the trust account.</w:t>
      </w:r>
    </w:p>
    <w:p>
      <w:pPr>
        <w:spacing w:after="0" w:line="154" w:lineRule="exact"/>
        <w:rPr>
          <w:rFonts w:ascii="Arial" w:cs="Arial" w:eastAsia="Arial" w:hAnsi="Arial"/>
          <w:sz w:val="16"/>
          <w:szCs w:val="16"/>
          <w:color w:val="auto"/>
        </w:rPr>
      </w:pPr>
    </w:p>
    <w:p>
      <w:pPr>
        <w:ind w:left="1080" w:right="360" w:hanging="532"/>
        <w:spacing w:after="0" w:line="331" w:lineRule="auto"/>
        <w:tabs>
          <w:tab w:leader="none" w:pos="108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Promptly upon the appointment of a successor Agent in accordance with clause 32.13 (</w:t>
      </w:r>
      <w:r>
        <w:rPr>
          <w:rFonts w:ascii="Arial" w:cs="Arial" w:eastAsia="Arial" w:hAnsi="Arial"/>
          <w:sz w:val="16"/>
          <w:szCs w:val="16"/>
          <w:i w:val="1"/>
          <w:iCs w:val="1"/>
          <w:color w:val="auto"/>
        </w:rPr>
        <w:t>Replacement of the Agent</w:t>
      </w:r>
      <w:r>
        <w:rPr>
          <w:rFonts w:ascii="Arial" w:cs="Arial" w:eastAsia="Arial" w:hAnsi="Arial"/>
          <w:sz w:val="16"/>
          <w:szCs w:val="16"/>
          <w:color w:val="auto"/>
        </w:rPr>
        <w:t>), each Party which has made a payment to a trust account in accordance with clause 35.1 (</w:t>
      </w:r>
      <w:r>
        <w:rPr>
          <w:rFonts w:ascii="Arial" w:cs="Arial" w:eastAsia="Arial" w:hAnsi="Arial"/>
          <w:sz w:val="16"/>
          <w:szCs w:val="16"/>
          <w:i w:val="1"/>
          <w:iCs w:val="1"/>
          <w:color w:val="auto"/>
        </w:rPr>
        <w:t>Payments to the Agent</w:t>
      </w:r>
      <w:r>
        <w:rPr>
          <w:rFonts w:ascii="Arial" w:cs="Arial" w:eastAsia="Arial" w:hAnsi="Arial"/>
          <w:sz w:val="16"/>
          <w:szCs w:val="16"/>
          <w:color w:val="auto"/>
        </w:rPr>
        <w:t>) shall give all requisite instructions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45" w:right="199" w:bottom="1440" w:gutter="0" w:footer="0" w:header="0"/>
        </w:sectPr>
      </w:pPr>
    </w:p>
    <w:bookmarkStart w:id="351" w:name="page352"/>
    <w:bookmarkEnd w:id="351"/>
    <w:p>
      <w:pPr>
        <w:ind w:left="1080" w:right="180"/>
        <w:spacing w:after="0" w:line="268" w:lineRule="auto"/>
        <w:rPr>
          <w:sz w:val="20"/>
          <w:szCs w:val="20"/>
          <w:color w:val="auto"/>
        </w:rPr>
      </w:pPr>
      <w:r>
        <w:rPr>
          <w:rFonts w:ascii="Arial" w:cs="Arial" w:eastAsia="Arial" w:hAnsi="Arial"/>
          <w:sz w:val="18"/>
          <w:szCs w:val="18"/>
          <w:color w:val="auto"/>
        </w:rPr>
        <w:t>the bank with whom the trust account is held to transfer the amount (together with any accrued interest) to the successor Agent for distribution in accordance with clause 35.2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35.13</w:t>
      </w:r>
      <w:r>
        <w:rPr>
          <w:sz w:val="20"/>
          <w:szCs w:val="20"/>
          <w:color w:val="auto"/>
        </w:rPr>
        <w:tab/>
      </w:r>
      <w:r>
        <w:rPr>
          <w:rFonts w:ascii="Arial" w:cs="Arial" w:eastAsia="Arial" w:hAnsi="Arial"/>
          <w:sz w:val="16"/>
          <w:szCs w:val="16"/>
          <w:b w:val="1"/>
          <w:bCs w:val="1"/>
          <w:color w:val="auto"/>
        </w:rPr>
        <w:t>Contractual recognition of bail-in</w:t>
      </w:r>
    </w:p>
    <w:p>
      <w:pPr>
        <w:spacing w:after="0" w:line="200" w:lineRule="exact"/>
        <w:rPr>
          <w:sz w:val="20"/>
          <w:szCs w:val="20"/>
          <w:color w:val="auto"/>
        </w:rPr>
      </w:pPr>
    </w:p>
    <w:p>
      <w:pPr>
        <w:spacing w:after="0" w:line="288" w:lineRule="exact"/>
        <w:rPr>
          <w:sz w:val="20"/>
          <w:szCs w:val="20"/>
          <w:color w:val="auto"/>
        </w:rPr>
      </w:pPr>
    </w:p>
    <w:p>
      <w:pPr>
        <w:jc w:val="both"/>
        <w:ind w:left="1080" w:right="160" w:hanging="532"/>
        <w:spacing w:after="0" w:line="306" w:lineRule="auto"/>
        <w:tabs>
          <w:tab w:leader="none" w:pos="108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389" w:lineRule="exact"/>
        <w:rPr>
          <w:rFonts w:ascii="Arial" w:cs="Arial" w:eastAsia="Arial" w:hAnsi="Arial"/>
          <w:sz w:val="16"/>
          <w:szCs w:val="16"/>
          <w:color w:val="auto"/>
        </w:rPr>
      </w:pPr>
    </w:p>
    <w:p>
      <w:pPr>
        <w:ind w:left="1620" w:hanging="532"/>
        <w:spacing w:after="0"/>
        <w:tabs>
          <w:tab w:leader="none" w:pos="162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right="380" w:hanging="532"/>
        <w:spacing w:after="0" w:line="268" w:lineRule="auto"/>
        <w:tabs>
          <w:tab w:leader="none" w:pos="2160" w:val="left"/>
        </w:tabs>
        <w:numPr>
          <w:ilvl w:val="2"/>
          <w:numId w:val="513"/>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212" w:lineRule="exact"/>
        <w:rPr>
          <w:rFonts w:ascii="Arial" w:cs="Arial" w:eastAsia="Arial" w:hAnsi="Arial"/>
          <w:sz w:val="18"/>
          <w:szCs w:val="18"/>
          <w:color w:val="auto"/>
        </w:rPr>
      </w:pPr>
    </w:p>
    <w:p>
      <w:pPr>
        <w:ind w:left="2160" w:hanging="532"/>
        <w:spacing w:after="0" w:line="268" w:lineRule="auto"/>
        <w:tabs>
          <w:tab w:leader="none" w:pos="2160" w:val="left"/>
        </w:tabs>
        <w:numPr>
          <w:ilvl w:val="2"/>
          <w:numId w:val="513"/>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99" w:lineRule="exact"/>
        <w:rPr>
          <w:rFonts w:ascii="Arial" w:cs="Arial" w:eastAsia="Arial" w:hAnsi="Arial"/>
          <w:sz w:val="18"/>
          <w:szCs w:val="18"/>
          <w:color w:val="auto"/>
        </w:rPr>
      </w:pPr>
    </w:p>
    <w:p>
      <w:pPr>
        <w:ind w:left="2160" w:hanging="532"/>
        <w:spacing w:after="0"/>
        <w:tabs>
          <w:tab w:leader="none" w:pos="2160" w:val="left"/>
        </w:tabs>
        <w:numPr>
          <w:ilvl w:val="2"/>
          <w:numId w:val="513"/>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13"/>
        </w:numPr>
        <w:rPr>
          <w:rFonts w:ascii="Arial" w:cs="Arial" w:eastAsia="Arial" w:hAnsi="Arial"/>
          <w:sz w:val="16"/>
          <w:szCs w:val="16"/>
          <w:color w:val="auto"/>
        </w:rPr>
      </w:pPr>
      <w:r>
        <w:rPr>
          <w:rFonts w:ascii="Arial" w:cs="Arial" w:eastAsia="Arial" w:hAnsi="Arial"/>
          <w:sz w:val="16"/>
          <w:szCs w:val="16"/>
          <w:color w:val="auto"/>
        </w:rPr>
        <w:t>a variation of any term of any Finance Document to the extent necessary to give effect to any Bail-In Action in relation to any such liability.</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2340" w:hanging="532"/>
        <w:spacing w:after="0" w:line="544" w:lineRule="auto"/>
        <w:tabs>
          <w:tab w:leader="none" w:pos="10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00" w:lineRule="exact"/>
        <w:rPr>
          <w:sz w:val="20"/>
          <w:szCs w:val="20"/>
          <w:color w:val="auto"/>
        </w:rPr>
      </w:pPr>
    </w:p>
    <w:p>
      <w:pPr>
        <w:spacing w:after="0" w:line="274" w:lineRule="exact"/>
        <w:rPr>
          <w:sz w:val="20"/>
          <w:szCs w:val="20"/>
          <w:color w:val="auto"/>
        </w:rPr>
      </w:pPr>
    </w:p>
    <w:p>
      <w:pPr>
        <w:jc w:val="both"/>
        <w:ind w:left="1620" w:right="400" w:hanging="532"/>
        <w:spacing w:after="0" w:line="259" w:lineRule="auto"/>
        <w:tabs>
          <w:tab w:leader="none" w:pos="16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207" w:lineRule="exact"/>
        <w:rPr>
          <w:rFonts w:ascii="Arial" w:cs="Arial" w:eastAsia="Arial" w:hAnsi="Arial"/>
          <w:sz w:val="18"/>
          <w:szCs w:val="18"/>
          <w:color w:val="auto"/>
        </w:rPr>
      </w:pPr>
    </w:p>
    <w:p>
      <w:pPr>
        <w:ind w:left="1620" w:right="140" w:hanging="532"/>
        <w:spacing w:after="0" w:line="268" w:lineRule="auto"/>
        <w:tabs>
          <w:tab w:leader="none" w:pos="16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200" w:lineRule="exact"/>
        <w:rPr>
          <w:sz w:val="20"/>
          <w:szCs w:val="20"/>
          <w:color w:val="auto"/>
        </w:rPr>
      </w:pPr>
    </w:p>
    <w:p>
      <w:pPr>
        <w:spacing w:after="0" w:line="23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79" w:lineRule="exact"/>
        <w:rPr>
          <w:sz w:val="20"/>
          <w:szCs w:val="20"/>
          <w:color w:val="auto"/>
        </w:rPr>
      </w:pPr>
    </w:p>
    <w:p>
      <w:pPr>
        <w:ind w:left="1080" w:right="60"/>
        <w:spacing w:after="0" w:line="275"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 successor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00" w:lineRule="exact"/>
        <w:rPr>
          <w:sz w:val="20"/>
          <w:szCs w:val="20"/>
          <w:color w:val="auto"/>
        </w:rPr>
      </w:pPr>
    </w:p>
    <w:p>
      <w:pPr>
        <w:spacing w:after="0" w:line="261" w:lineRule="exact"/>
        <w:rPr>
          <w:sz w:val="20"/>
          <w:szCs w:val="20"/>
          <w:color w:val="auto"/>
        </w:rPr>
      </w:pPr>
    </w:p>
    <w:p>
      <w:pPr>
        <w:ind w:left="1620" w:right="180" w:hanging="532"/>
        <w:spacing w:after="0" w:line="268" w:lineRule="auto"/>
        <w:tabs>
          <w:tab w:leader="none" w:pos="162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60"/>
          </w:cols>
          <w:pgMar w:left="160" w:top="51" w:right="279" w:bottom="1440" w:gutter="0" w:footer="0" w:header="0"/>
        </w:sectPr>
      </w:pPr>
    </w:p>
    <w:bookmarkStart w:id="352" w:name="page353"/>
    <w:bookmarkEnd w:id="352"/>
    <w:p>
      <w:pPr>
        <w:ind w:left="1620" w:hanging="532"/>
        <w:spacing w:after="0"/>
        <w:tabs>
          <w:tab w:leader="none" w:pos="16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line="291" w:lineRule="auto"/>
        <w:tabs>
          <w:tab w:leader="none" w:pos="216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7" w:lineRule="exact"/>
        <w:rPr>
          <w:rFonts w:ascii="Arial" w:cs="Arial" w:eastAsia="Arial" w:hAnsi="Arial"/>
          <w:sz w:val="16"/>
          <w:szCs w:val="16"/>
          <w:color w:val="auto"/>
        </w:rPr>
      </w:pPr>
    </w:p>
    <w:p>
      <w:pPr>
        <w:ind w:left="2160" w:hanging="532"/>
        <w:spacing w:after="0"/>
        <w:tabs>
          <w:tab w:leader="none" w:pos="216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200" w:lineRule="exact"/>
        <w:rPr>
          <w:sz w:val="20"/>
          <w:szCs w:val="20"/>
          <w:color w:val="auto"/>
        </w:rPr>
      </w:pPr>
    </w:p>
    <w:p>
      <w:pPr>
        <w:spacing w:after="0" w:line="249" w:lineRule="exact"/>
        <w:rPr>
          <w:sz w:val="20"/>
          <w:szCs w:val="20"/>
          <w:color w:val="auto"/>
        </w:rPr>
      </w:pPr>
    </w:p>
    <w:p>
      <w:pPr>
        <w:ind w:left="540" w:hanging="532"/>
        <w:spacing w:after="0"/>
        <w:tabs>
          <w:tab w:leader="none" w:pos="5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31" w:lineRule="exact"/>
        <w:rPr>
          <w:rFonts w:ascii="Arial" w:cs="Arial" w:eastAsia="Arial" w:hAnsi="Arial"/>
          <w:sz w:val="18"/>
          <w:szCs w:val="18"/>
          <w:b w:val="1"/>
          <w:bCs w:val="1"/>
          <w:color w:val="auto"/>
        </w:rPr>
      </w:pPr>
    </w:p>
    <w:p>
      <w:pPr>
        <w:ind w:left="54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90" w:lineRule="exact"/>
        <w:rPr>
          <w:rFonts w:ascii="Arial" w:cs="Arial" w:eastAsia="Arial" w:hAnsi="Arial"/>
          <w:sz w:val="18"/>
          <w:szCs w:val="18"/>
          <w:b w:val="1"/>
          <w:bCs w:val="1"/>
          <w:color w:val="auto"/>
        </w:rPr>
      </w:pPr>
    </w:p>
    <w:p>
      <w:pPr>
        <w:ind w:left="540" w:hanging="532"/>
        <w:spacing w:after="0"/>
        <w:tabs>
          <w:tab w:leader="none" w:pos="5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Communications in writing</w:t>
      </w:r>
    </w:p>
    <w:p>
      <w:pPr>
        <w:spacing w:after="0" w:line="245"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4"/>
          <w:szCs w:val="14"/>
          <w:b w:val="1"/>
          <w:bCs w:val="1"/>
          <w:color w:val="auto"/>
        </w:rPr>
        <w:t>Addresses</w:t>
      </w:r>
    </w:p>
    <w:p>
      <w:pPr>
        <w:spacing w:after="0" w:line="245" w:lineRule="exact"/>
        <w:rPr>
          <w:sz w:val="20"/>
          <w:szCs w:val="20"/>
          <w:color w:val="auto"/>
        </w:rPr>
      </w:pPr>
    </w:p>
    <w:p>
      <w:pPr>
        <w:ind w:left="540" w:right="120"/>
        <w:spacing w:after="0" w:line="331"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Obligor or Finance Party for any communication or document to be made or delivered under or in connection with the Finance Documents is:</w:t>
      </w:r>
    </w:p>
    <w:p>
      <w:pPr>
        <w:spacing w:after="0" w:line="168" w:lineRule="exact"/>
        <w:rPr>
          <w:sz w:val="20"/>
          <w:szCs w:val="20"/>
          <w:color w:val="auto"/>
        </w:rPr>
      </w:pPr>
    </w:p>
    <w:p>
      <w:pPr>
        <w:ind w:left="1620" w:hanging="532"/>
        <w:spacing w:after="0"/>
        <w:tabs>
          <w:tab w:leader="none" w:pos="1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38" w:lineRule="exact"/>
        <w:rPr>
          <w:rFonts w:ascii="Arial" w:cs="Arial" w:eastAsia="Arial" w:hAnsi="Arial"/>
          <w:sz w:val="18"/>
          <w:szCs w:val="18"/>
          <w:color w:val="auto"/>
        </w:rPr>
      </w:pPr>
    </w:p>
    <w:p>
      <w:pPr>
        <w:ind w:left="1620" w:right="260" w:hanging="532"/>
        <w:spacing w:after="0" w:line="268" w:lineRule="auto"/>
        <w:tabs>
          <w:tab w:leader="none" w:pos="1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w:t>
      </w:r>
    </w:p>
    <w:p>
      <w:pPr>
        <w:spacing w:after="0" w:line="212" w:lineRule="exact"/>
        <w:rPr>
          <w:rFonts w:ascii="Arial" w:cs="Arial" w:eastAsia="Arial" w:hAnsi="Arial"/>
          <w:sz w:val="18"/>
          <w:szCs w:val="18"/>
          <w:color w:val="auto"/>
        </w:rPr>
      </w:pPr>
    </w:p>
    <w:p>
      <w:pPr>
        <w:ind w:left="1620" w:right="120" w:hanging="532"/>
        <w:spacing w:after="0" w:line="268" w:lineRule="auto"/>
        <w:tabs>
          <w:tab w:leader="none" w:pos="1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86"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or, in each case, any substitute address, fax number, or department or officer as an Obligor or Finance Party may notify to the Agent (or the Agent may notify to the other Parties, if a change is made by the Agent) by not less than five Business Days' notice.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353" w:name="page354"/>
    <w:bookmarkEnd w:id="353"/>
    <w:p>
      <w:pPr>
        <w:spacing w:after="0"/>
        <w:tabs>
          <w:tab w:leader="none" w:pos="5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Delivery</w:t>
      </w:r>
    </w:p>
    <w:p>
      <w:pPr>
        <w:spacing w:after="0" w:line="200" w:lineRule="exact"/>
        <w:rPr>
          <w:sz w:val="20"/>
          <w:szCs w:val="20"/>
          <w:color w:val="auto"/>
        </w:rPr>
      </w:pPr>
    </w:p>
    <w:p>
      <w:pPr>
        <w:spacing w:after="0" w:line="288" w:lineRule="exact"/>
        <w:rPr>
          <w:sz w:val="20"/>
          <w:szCs w:val="20"/>
          <w:color w:val="auto"/>
        </w:rPr>
      </w:pPr>
    </w:p>
    <w:p>
      <w:pPr>
        <w:ind w:left="1080" w:right="420" w:hanging="532"/>
        <w:spacing w:after="0" w:line="268" w:lineRule="auto"/>
        <w:tabs>
          <w:tab w:leader="none" w:pos="10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238"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86"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13" w:lineRule="exact"/>
        <w:rPr>
          <w:sz w:val="20"/>
          <w:szCs w:val="20"/>
          <w:color w:val="auto"/>
        </w:rPr>
      </w:pPr>
    </w:p>
    <w:p>
      <w:pPr>
        <w:ind w:left="1080" w:right="220" w:hanging="532"/>
        <w:spacing w:after="0" w:line="306" w:lineRule="auto"/>
        <w:tabs>
          <w:tab w:leader="none" w:pos="108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original parties</w:t>
      </w:r>
      <w:r>
        <w:rPr>
          <w:rFonts w:ascii="Arial" w:cs="Arial" w:eastAsia="Arial" w:hAnsi="Arial"/>
          <w:sz w:val="16"/>
          <w:szCs w:val="16"/>
          <w:color w:val="auto"/>
        </w:rPr>
        <w:t>) (or any substitute department or officer as the Agent or the Security Agent shall specify for this purpose).</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37.3(a) to 37.3(d) above, after 5:00pm in the place of receipt shall be deemed only to become effective on the following day.</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Notification of address and fax number</w:t>
      </w:r>
    </w:p>
    <w:p>
      <w:pPr>
        <w:spacing w:after="0" w:line="24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Agent shall notify the other Parties on changing its address or fax number. All other Parties should notify promptly upon change of their address or fax number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5"/>
          <w:szCs w:val="15"/>
          <w:b w:val="1"/>
          <w:bCs w:val="1"/>
          <w:color w:val="auto"/>
        </w:rPr>
        <w:t>Electronic communication</w:t>
      </w:r>
    </w:p>
    <w:p>
      <w:pPr>
        <w:spacing w:after="0" w:line="200" w:lineRule="exact"/>
        <w:rPr>
          <w:sz w:val="20"/>
          <w:szCs w:val="20"/>
          <w:color w:val="auto"/>
        </w:rPr>
      </w:pPr>
    </w:p>
    <w:p>
      <w:pPr>
        <w:spacing w:after="0" w:line="288" w:lineRule="exact"/>
        <w:rPr>
          <w:sz w:val="20"/>
          <w:szCs w:val="20"/>
          <w:color w:val="auto"/>
        </w:rPr>
      </w:pPr>
    </w:p>
    <w:p>
      <w:pPr>
        <w:ind w:left="1080" w:right="260" w:hanging="532"/>
        <w:spacing w:after="0" w:line="259"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520" w:hanging="532"/>
        <w:spacing w:after="0" w:line="268" w:lineRule="auto"/>
        <w:tabs>
          <w:tab w:leader="none" w:pos="162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notify each other of any change to their address or any other such information supplied by them by not less than five Business Days' notice.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37.5(b) above, after 5:00 pm in the place of receipt shall be deemed only to become effective on the following day.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54" w:name="page355"/>
    <w:bookmarkEnd w:id="354"/>
    <w:p>
      <w:pPr>
        <w:ind w:left="1080" w:hanging="532"/>
        <w:spacing w:after="0"/>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252" w:lineRule="exact"/>
        <w:rPr>
          <w:rFonts w:ascii="Arial" w:cs="Arial" w:eastAsia="Arial" w:hAnsi="Arial"/>
          <w:sz w:val="18"/>
          <w:szCs w:val="18"/>
          <w:color w:val="auto"/>
        </w:rPr>
      </w:pPr>
    </w:p>
    <w:p>
      <w:pPr>
        <w:jc w:val="both"/>
        <w:ind w:left="1620" w:right="540" w:hanging="532"/>
        <w:spacing w:after="0" w:line="306" w:lineRule="auto"/>
        <w:tabs>
          <w:tab w:leader="none" w:pos="162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73" w:lineRule="exact"/>
        <w:rPr>
          <w:rFonts w:ascii="Arial" w:cs="Arial" w:eastAsia="Arial" w:hAnsi="Arial"/>
          <w:sz w:val="16"/>
          <w:szCs w:val="16"/>
          <w:color w:val="auto"/>
        </w:rPr>
      </w:pPr>
    </w:p>
    <w:p>
      <w:pPr>
        <w:ind w:left="1620" w:right="40" w:hanging="532"/>
        <w:spacing w:after="0" w:line="331" w:lineRule="auto"/>
        <w:tabs>
          <w:tab w:leader="none" w:pos="162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370"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200" w:lineRule="exact"/>
        <w:rPr>
          <w:sz w:val="20"/>
          <w:szCs w:val="20"/>
          <w:color w:val="auto"/>
        </w:rPr>
      </w:pP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5"/>
          <w:szCs w:val="15"/>
          <w:b w:val="1"/>
          <w:bCs w:val="1"/>
          <w:color w:val="auto"/>
        </w:rPr>
        <w:t>English language</w:t>
      </w:r>
    </w:p>
    <w:p>
      <w:pPr>
        <w:spacing w:after="0" w:line="200" w:lineRule="exact"/>
        <w:rPr>
          <w:sz w:val="20"/>
          <w:szCs w:val="20"/>
          <w:color w:val="auto"/>
        </w:rPr>
      </w:pPr>
    </w:p>
    <w:p>
      <w:pPr>
        <w:spacing w:after="0" w:line="288" w:lineRule="exact"/>
        <w:rPr>
          <w:sz w:val="20"/>
          <w:szCs w:val="20"/>
          <w:color w:val="auto"/>
        </w:rPr>
      </w:pPr>
    </w:p>
    <w:p>
      <w:pPr>
        <w:ind w:left="1080" w:hanging="532"/>
        <w:spacing w:after="0"/>
        <w:tabs>
          <w:tab w:leader="none" w:pos="10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3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Communication with Agent when Agent is Impaired Agent</w:t>
      </w:r>
    </w:p>
    <w:p>
      <w:pPr>
        <w:spacing w:after="0" w:line="24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65" w:right="199" w:bottom="1440" w:gutter="0" w:footer="0" w:header="0"/>
        </w:sectPr>
      </w:pPr>
    </w:p>
    <w:bookmarkStart w:id="355" w:name="page356"/>
    <w:bookmarkEnd w:id="355"/>
    <w:p>
      <w:pPr>
        <w:ind w:right="8880" w:firstLine="8"/>
        <w:spacing w:after="0" w:line="520" w:lineRule="auto"/>
        <w:tabs>
          <w:tab w:leader="none" w:pos="54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 38.1 Accounts</w:t>
      </w:r>
    </w:p>
    <w:p>
      <w:pPr>
        <w:ind w:left="540" w:right="520"/>
        <w:spacing w:after="0" w:line="268"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5"/>
          <w:szCs w:val="15"/>
          <w:b w:val="1"/>
          <w:bCs w:val="1"/>
          <w:color w:val="auto"/>
        </w:rPr>
        <w:t>Certificates and determinations</w:t>
      </w:r>
    </w:p>
    <w:p>
      <w:pPr>
        <w:spacing w:after="0" w:line="245"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5"/>
          <w:szCs w:val="15"/>
          <w:b w:val="1"/>
          <w:bCs w:val="1"/>
          <w:color w:val="auto"/>
        </w:rPr>
        <w:t>Day count convention</w:t>
      </w:r>
    </w:p>
    <w:p>
      <w:pPr>
        <w:spacing w:after="0" w:line="245" w:lineRule="exact"/>
        <w:rPr>
          <w:sz w:val="20"/>
          <w:szCs w:val="20"/>
          <w:color w:val="auto"/>
        </w:rPr>
      </w:pPr>
    </w:p>
    <w:p>
      <w:pPr>
        <w:ind w:left="540" w:right="20"/>
        <w:spacing w:after="0" w:line="331" w:lineRule="auto"/>
        <w:rPr>
          <w:sz w:val="20"/>
          <w:szCs w:val="20"/>
          <w:color w:val="auto"/>
        </w:rPr>
      </w:pPr>
      <w:r>
        <w:rPr>
          <w:rFonts w:ascii="Arial" w:cs="Arial" w:eastAsia="Arial" w:hAnsi="Arial"/>
          <w:sz w:val="16"/>
          <w:szCs w:val="16"/>
          <w:color w:val="auto"/>
        </w:rPr>
        <w:t>Any interest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62" w:lineRule="exact"/>
        <w:rPr>
          <w:sz w:val="20"/>
          <w:szCs w:val="20"/>
          <w:color w:val="auto"/>
        </w:rPr>
      </w:pPr>
    </w:p>
    <w:p>
      <w:pPr>
        <w:ind w:left="540" w:hanging="532"/>
        <w:spacing w:after="0"/>
        <w:tabs>
          <w:tab w:leader="none" w:pos="54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31" w:lineRule="exact"/>
        <w:rPr>
          <w:rFonts w:ascii="Arial" w:cs="Arial" w:eastAsia="Arial" w:hAnsi="Arial"/>
          <w:sz w:val="18"/>
          <w:szCs w:val="18"/>
          <w:b w:val="1"/>
          <w:bCs w:val="1"/>
          <w:color w:val="auto"/>
        </w:rPr>
      </w:pPr>
    </w:p>
    <w:p>
      <w:pPr>
        <w:ind w:left="5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201" w:lineRule="exact"/>
        <w:rPr>
          <w:rFonts w:ascii="Arial" w:cs="Arial" w:eastAsia="Arial" w:hAnsi="Arial"/>
          <w:sz w:val="18"/>
          <w:szCs w:val="18"/>
          <w:b w:val="1"/>
          <w:bCs w:val="1"/>
          <w:color w:val="auto"/>
        </w:rPr>
      </w:pPr>
    </w:p>
    <w:p>
      <w:pPr>
        <w:ind w:left="540" w:hanging="532"/>
        <w:spacing w:after="0"/>
        <w:tabs>
          <w:tab w:leader="none" w:pos="54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31" w:lineRule="exact"/>
        <w:rPr>
          <w:rFonts w:ascii="Arial" w:cs="Arial" w:eastAsia="Arial" w:hAnsi="Arial"/>
          <w:sz w:val="18"/>
          <w:szCs w:val="18"/>
          <w:b w:val="1"/>
          <w:bCs w:val="1"/>
          <w:color w:val="auto"/>
        </w:rPr>
      </w:pPr>
    </w:p>
    <w:p>
      <w:pPr>
        <w:ind w:left="5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208" w:lineRule="exact"/>
        <w:rPr>
          <w:rFonts w:ascii="Arial" w:cs="Arial" w:eastAsia="Arial" w:hAnsi="Arial"/>
          <w:sz w:val="18"/>
          <w:szCs w:val="18"/>
          <w:b w:val="1"/>
          <w:bCs w:val="1"/>
          <w:color w:val="auto"/>
        </w:rPr>
      </w:pPr>
    </w:p>
    <w:p>
      <w:pPr>
        <w:ind w:left="540" w:hanging="532"/>
        <w:spacing w:after="0"/>
        <w:tabs>
          <w:tab w:leader="none" w:pos="54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grant of waivers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color w:val="auto"/>
        </w:rPr>
        <w:t>Required consents</w:t>
      </w:r>
    </w:p>
    <w:p>
      <w:pPr>
        <w:spacing w:after="0" w:line="200" w:lineRule="exact"/>
        <w:rPr>
          <w:sz w:val="20"/>
          <w:szCs w:val="20"/>
          <w:color w:val="auto"/>
        </w:rPr>
      </w:pPr>
    </w:p>
    <w:p>
      <w:pPr>
        <w:spacing w:after="0" w:line="288" w:lineRule="exact"/>
        <w:rPr>
          <w:sz w:val="20"/>
          <w:szCs w:val="20"/>
          <w:color w:val="auto"/>
        </w:rPr>
      </w:pPr>
    </w:p>
    <w:p>
      <w:pPr>
        <w:ind w:left="1080" w:right="200" w:hanging="532"/>
        <w:spacing w:after="0" w:line="256" w:lineRule="auto"/>
        <w:tabs>
          <w:tab w:leader="none" w:pos="10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Subject to clauses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41.3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210"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41.</w:t>
      </w:r>
    </w:p>
    <w:p>
      <w:pPr>
        <w:spacing w:after="0" w:line="212"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32.7(c), 32.7(d) and 32.7(e) of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58" w:right="179" w:bottom="1440" w:gutter="0" w:footer="0" w:header="0"/>
        </w:sectPr>
      </w:pPr>
    </w:p>
    <w:bookmarkStart w:id="356" w:name="page357"/>
    <w:bookmarkEnd w:id="356"/>
    <w:p>
      <w:pPr>
        <w:ind w:left="1080" w:right="720" w:hanging="532"/>
        <w:spacing w:after="0" w:line="268" w:lineRule="auto"/>
        <w:tabs>
          <w:tab w:leader="none" w:pos="10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41 which is agreed to by the Borrowers. This includes any amendment or waiver which would, but for this clause 41.1(d), require the consent of the Parent.</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All Lender matters</w:t>
      </w:r>
    </w:p>
    <w:p>
      <w:pPr>
        <w:spacing w:after="0" w:line="25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99" w:lineRule="exact"/>
        <w:rPr>
          <w:sz w:val="20"/>
          <w:szCs w:val="20"/>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a reduction in the Margin or a reduction in the amount of any payment of principal, interest or fees payable or the rate at which they are calculated;</w:t>
      </w:r>
    </w:p>
    <w:p>
      <w:pPr>
        <w:spacing w:after="0" w:line="275"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save as permitted under this Agreement an increase in, or extension of, any Commitment, Ship Commitments or the Total Commitments, an extension of any period within which the Facility is available for Utilisation or any requirement that a cancellation of Commitments reduces the Commitments of the Lenders pro rata;</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252"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clause 2.2 (Finance Parties' rights and obligations), clause 7.9 (</w:t>
      </w:r>
      <w:r>
        <w:rPr>
          <w:rFonts w:ascii="Arial" w:cs="Arial" w:eastAsia="Arial" w:hAnsi="Arial"/>
          <w:sz w:val="16"/>
          <w:szCs w:val="16"/>
          <w:i w:val="1"/>
          <w:iCs w:val="1"/>
          <w:color w:val="auto"/>
        </w:rPr>
        <w:t>Mandatory prepayment and cancellation following non-compliance with Sanctions</w:t>
      </w:r>
      <w:r>
        <w:rPr>
          <w:rFonts w:ascii="Arial" w:cs="Arial" w:eastAsia="Arial" w:hAnsi="Arial"/>
          <w:sz w:val="16"/>
          <w:szCs w:val="16"/>
          <w:color w:val="auto"/>
        </w:rPr>
        <w:t>), clause 18.32 (</w:t>
      </w:r>
      <w:r>
        <w:rPr>
          <w:rFonts w:ascii="Arial" w:cs="Arial" w:eastAsia="Arial" w:hAnsi="Arial"/>
          <w:sz w:val="16"/>
          <w:szCs w:val="16"/>
          <w:i w:val="1"/>
          <w:iCs w:val="1"/>
          <w:color w:val="auto"/>
        </w:rPr>
        <w:t>Sanctions</w:t>
      </w:r>
      <w:r>
        <w:rPr>
          <w:rFonts w:ascii="Arial" w:cs="Arial" w:eastAsia="Arial" w:hAnsi="Arial"/>
          <w:sz w:val="16"/>
          <w:szCs w:val="16"/>
          <w:color w:val="auto"/>
        </w:rPr>
        <w:t>), clause 21.11 (</w:t>
      </w:r>
      <w:r>
        <w:rPr>
          <w:rFonts w:ascii="Arial" w:cs="Arial" w:eastAsia="Arial" w:hAnsi="Arial"/>
          <w:sz w:val="16"/>
          <w:szCs w:val="16"/>
          <w:i w:val="1"/>
          <w:iCs w:val="1"/>
          <w:color w:val="auto"/>
        </w:rPr>
        <w:t>Sanctions</w:t>
      </w:r>
      <w:r>
        <w:rPr>
          <w:rFonts w:ascii="Arial" w:cs="Arial" w:eastAsia="Arial" w:hAnsi="Arial"/>
          <w:sz w:val="16"/>
          <w:szCs w:val="16"/>
          <w:color w:val="auto"/>
        </w:rPr>
        <w:t>), clause 30 (</w:t>
      </w:r>
      <w:r>
        <w:rPr>
          <w:rFonts w:ascii="Arial" w:cs="Arial" w:eastAsia="Arial" w:hAnsi="Arial"/>
          <w:sz w:val="16"/>
          <w:szCs w:val="16"/>
          <w:i w:val="1"/>
          <w:iCs w:val="1"/>
          <w:color w:val="auto"/>
        </w:rPr>
        <w:t>Changes to the Lenders</w:t>
      </w:r>
      <w:r>
        <w:rPr>
          <w:rFonts w:ascii="Arial" w:cs="Arial" w:eastAsia="Arial" w:hAnsi="Arial"/>
          <w:sz w:val="16"/>
          <w:szCs w:val="16"/>
          <w:color w:val="auto"/>
        </w:rPr>
        <w:t>), clause 34.1 (</w:t>
      </w:r>
      <w:r>
        <w:rPr>
          <w:rFonts w:ascii="Arial" w:cs="Arial" w:eastAsia="Arial" w:hAnsi="Arial"/>
          <w:sz w:val="16"/>
          <w:szCs w:val="16"/>
          <w:i w:val="1"/>
          <w:iCs w:val="1"/>
          <w:color w:val="auto"/>
        </w:rPr>
        <w:t>Payments to Finance Parties</w:t>
      </w:r>
      <w:r>
        <w:rPr>
          <w:rFonts w:ascii="Arial" w:cs="Arial" w:eastAsia="Arial" w:hAnsi="Arial"/>
          <w:sz w:val="16"/>
          <w:szCs w:val="16"/>
          <w:color w:val="auto"/>
        </w:rPr>
        <w:t>), this clause 41 (</w:t>
      </w:r>
      <w:r>
        <w:rPr>
          <w:rFonts w:ascii="Arial" w:cs="Arial" w:eastAsia="Arial" w:hAnsi="Arial"/>
          <w:sz w:val="16"/>
          <w:szCs w:val="16"/>
          <w:i w:val="1"/>
          <w:iCs w:val="1"/>
          <w:color w:val="auto"/>
        </w:rPr>
        <w:t>Amendments and grant of waivers</w:t>
      </w:r>
      <w:r>
        <w:rPr>
          <w:rFonts w:ascii="Arial" w:cs="Arial" w:eastAsia="Arial" w:hAnsi="Arial"/>
          <w:sz w:val="16"/>
          <w:szCs w:val="16"/>
          <w:color w:val="auto"/>
        </w:rPr>
        <w:t>), clause 44 (</w:t>
      </w:r>
      <w:r>
        <w:rPr>
          <w:rFonts w:ascii="Arial" w:cs="Arial" w:eastAsia="Arial" w:hAnsi="Arial"/>
          <w:sz w:val="16"/>
          <w:szCs w:val="16"/>
          <w:i w:val="1"/>
          <w:iCs w:val="1"/>
          <w:color w:val="auto"/>
        </w:rPr>
        <w:t>Governing law</w:t>
      </w:r>
      <w:r>
        <w:rPr>
          <w:rFonts w:ascii="Arial" w:cs="Arial" w:eastAsia="Arial" w:hAnsi="Arial"/>
          <w:sz w:val="16"/>
          <w:szCs w:val="16"/>
          <w:color w:val="auto"/>
        </w:rPr>
        <w:t>) or clause 45.1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order of distribution under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order of distribution under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the nature or scope of the Charged Property or the manner in which the proceeds of enforcement of the Security Documents are distributed;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(including the Guarantee) are permitted or required to be released under any of the Finance Documents,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Other exceptions</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331" w:lineRule="auto"/>
        <w:tabs>
          <w:tab w:leader="none" w:pos="108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65" w:right="239" w:bottom="1440" w:gutter="0" w:footer="0" w:header="0"/>
        </w:sectPr>
      </w:pPr>
    </w:p>
    <w:bookmarkStart w:id="357" w:name="page358"/>
    <w:bookmarkEnd w:id="357"/>
    <w:p>
      <w:pPr>
        <w:ind w:left="1080" w:hanging="532"/>
        <w:spacing w:after="0"/>
        <w:tabs>
          <w:tab w:leader="none" w:pos="108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252" w:lineRule="exact"/>
        <w:rPr>
          <w:rFonts w:ascii="Arial" w:cs="Arial" w:eastAsia="Arial" w:hAnsi="Arial"/>
          <w:sz w:val="18"/>
          <w:szCs w:val="18"/>
          <w:color w:val="auto"/>
        </w:rPr>
      </w:pPr>
    </w:p>
    <w:p>
      <w:pPr>
        <w:ind w:left="1080" w:right="360" w:hanging="532"/>
        <w:spacing w:after="0" w:line="306" w:lineRule="auto"/>
        <w:tabs>
          <w:tab w:leader="none" w:pos="108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Notwithstanding clauses 41.1 (</w:t>
      </w:r>
      <w:r>
        <w:rPr>
          <w:rFonts w:ascii="Arial" w:cs="Arial" w:eastAsia="Arial" w:hAnsi="Arial"/>
          <w:sz w:val="16"/>
          <w:szCs w:val="16"/>
          <w:i w:val="1"/>
          <w:iCs w:val="1"/>
          <w:color w:val="auto"/>
        </w:rPr>
        <w:t>Required consents</w:t>
      </w:r>
      <w:r>
        <w:rPr>
          <w:rFonts w:ascii="Arial" w:cs="Arial" w:eastAsia="Arial" w:hAnsi="Arial"/>
          <w:sz w:val="16"/>
          <w:szCs w:val="16"/>
          <w:color w:val="auto"/>
        </w:rPr>
        <w:t>), 41.2 (</w:t>
      </w:r>
      <w:r>
        <w:rPr>
          <w:rFonts w:ascii="Arial" w:cs="Arial" w:eastAsia="Arial" w:hAnsi="Arial"/>
          <w:sz w:val="16"/>
          <w:szCs w:val="16"/>
          <w:i w:val="1"/>
          <w:iCs w:val="1"/>
          <w:color w:val="auto"/>
        </w:rPr>
        <w:t>All Lender matters</w:t>
      </w:r>
      <w:r>
        <w:rPr>
          <w:rFonts w:ascii="Arial" w:cs="Arial" w:eastAsia="Arial" w:hAnsi="Arial"/>
          <w:sz w:val="16"/>
          <w:szCs w:val="16"/>
          <w:color w:val="auto"/>
        </w:rPr>
        <w:t>) and paragraphs (a) and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5"/>
          <w:szCs w:val="15"/>
          <w:b w:val="1"/>
          <w:bCs w:val="1"/>
          <w:color w:val="auto"/>
        </w:rPr>
        <w:t>Disenfranchisement of Defaulting Lenders</w:t>
      </w:r>
    </w:p>
    <w:p>
      <w:pPr>
        <w:spacing w:after="0" w:line="200" w:lineRule="exact"/>
        <w:rPr>
          <w:sz w:val="20"/>
          <w:szCs w:val="20"/>
          <w:color w:val="auto"/>
        </w:rPr>
      </w:pPr>
    </w:p>
    <w:p>
      <w:pPr>
        <w:spacing w:after="0" w:line="274" w:lineRule="exact"/>
        <w:rPr>
          <w:sz w:val="20"/>
          <w:szCs w:val="20"/>
          <w:color w:val="auto"/>
        </w:rPr>
      </w:pPr>
    </w:p>
    <w:p>
      <w:pPr>
        <w:ind w:left="1080" w:right="60" w:hanging="532"/>
        <w:spacing w:after="0" w:line="291" w:lineRule="auto"/>
        <w:tabs>
          <w:tab w:leader="none" w:pos="108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For so long as a Defaulting Lender has any Commitment, in ascertaining (i) the Majority Lenders or (ii) whether any given percentage (including, for the avoidance of doubt, unanimity) of the Total Commitments,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Revolving Loans, that Defaulting Lender shall be deemed not to be a Lender for the purposes paragraphs (i) and (ii) above.</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For the purposes of this clause 41.4, the Agent may assume that the following Lenders are Defaulting Lenders: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238" w:lineRule="exact"/>
        <w:rPr>
          <w:rFonts w:ascii="Arial" w:cs="Arial" w:eastAsia="Arial" w:hAnsi="Arial"/>
          <w:sz w:val="18"/>
          <w:szCs w:val="18"/>
          <w:color w:val="auto"/>
        </w:rPr>
      </w:pPr>
    </w:p>
    <w:p>
      <w:pPr>
        <w:ind w:left="1620" w:right="80" w:hanging="532"/>
        <w:spacing w:after="0" w:line="306" w:lineRule="auto"/>
        <w:tabs>
          <w:tab w:leader="none" w:pos="162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 xml:space="preserve">any Lender in relation to which it is aware that any of the events or circumstances referred to in paragraphs (a), (b) or (c) of the definition of </w:t>
      </w:r>
      <w:r>
        <w:rPr>
          <w:rFonts w:ascii="Arial" w:cs="Arial" w:eastAsia="Arial" w:hAnsi="Arial"/>
          <w:sz w:val="16"/>
          <w:szCs w:val="16"/>
          <w:b w:val="1"/>
          <w:bCs w:val="1"/>
          <w:color w:val="auto"/>
        </w:rPr>
        <w:t xml:space="preserve">Defaulting Lender </w:t>
      </w:r>
      <w:r>
        <w:rPr>
          <w:rFonts w:ascii="Arial" w:cs="Arial" w:eastAsia="Arial" w:hAnsi="Arial"/>
          <w:sz w:val="16"/>
          <w:szCs w:val="16"/>
          <w:color w:val="auto"/>
        </w:rPr>
        <w:t>has occurred, unless it has received notice to the contrary from the Lender concerned (together with any supporting</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reasonably requested by the Agent) or the Agent is otherwise aware that the Lender has ceased to be a Defaulting Lender.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5"/>
          <w:szCs w:val="15"/>
          <w:b w:val="1"/>
          <w:bCs w:val="1"/>
          <w:color w:val="auto"/>
        </w:rPr>
        <w:t>Replacement of a Defaulting Lender</w:t>
      </w:r>
    </w:p>
    <w:p>
      <w:pPr>
        <w:spacing w:after="0" w:line="200" w:lineRule="exact"/>
        <w:rPr>
          <w:sz w:val="20"/>
          <w:szCs w:val="20"/>
          <w:color w:val="auto"/>
        </w:rPr>
      </w:pPr>
    </w:p>
    <w:p>
      <w:pPr>
        <w:spacing w:after="0" w:line="288" w:lineRule="exact"/>
        <w:rPr>
          <w:sz w:val="20"/>
          <w:szCs w:val="20"/>
          <w:color w:val="auto"/>
        </w:rPr>
      </w:pPr>
    </w:p>
    <w:p>
      <w:pPr>
        <w:ind w:left="1080" w:hanging="532"/>
        <w:spacing w:after="0" w:line="287" w:lineRule="auto"/>
        <w:tabs>
          <w:tab w:leader="none" w:pos="10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The Borrowers may, at any time a Lender has become and continues to be a Defaulting Lender, by giving ten (10) Business Days' prior written notice to the Agent and such Lender replace such Lender by requiring such Lender to (and, to the extent permitted by law such Lender shall) transfer pursuant to clause 30 (</w:t>
      </w:r>
      <w:r>
        <w:rPr>
          <w:rFonts w:ascii="Arial" w:cs="Arial" w:eastAsia="Arial" w:hAnsi="Arial"/>
          <w:sz w:val="16"/>
          <w:szCs w:val="16"/>
          <w:i w:val="1"/>
          <w:iCs w:val="1"/>
          <w:color w:val="auto"/>
        </w:rPr>
        <w:t>Changes to the Lenders</w:t>
      </w:r>
      <w:r>
        <w:rPr>
          <w:rFonts w:ascii="Arial" w:cs="Arial" w:eastAsia="Arial" w:hAnsi="Arial"/>
          <w:sz w:val="16"/>
          <w:szCs w:val="16"/>
          <w:color w:val="auto"/>
        </w:rPr>
        <w:t xml:space="preserve">) all (and not part only) of its rights and obligations under this Agreement to a Lender or other bank, financial institution, trust, fund or other entity (a </w:t>
      </w:r>
      <w:r>
        <w:rPr>
          <w:rFonts w:ascii="Arial" w:cs="Arial" w:eastAsia="Arial" w:hAnsi="Arial"/>
          <w:sz w:val="16"/>
          <w:szCs w:val="16"/>
          <w:b w:val="1"/>
          <w:bCs w:val="1"/>
          <w:color w:val="auto"/>
        </w:rPr>
        <w:t>Replacement Lender</w:t>
      </w:r>
      <w:r>
        <w:rPr>
          <w:rFonts w:ascii="Arial" w:cs="Arial" w:eastAsia="Arial" w:hAnsi="Arial"/>
          <w:sz w:val="16"/>
          <w:szCs w:val="16"/>
          <w:color w:val="auto"/>
        </w:rPr>
        <w:t>) selected by the Borrowers, and which (unless the Agent is an Impaired Agent) is acceptable to the Agent (acting 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58" w:name="page359"/>
    <w:bookmarkEnd w:id="358"/>
    <w:p>
      <w:pPr>
        <w:ind w:left="1080" w:hanging="532"/>
        <w:spacing w:after="0"/>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238"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41.5(a) above (or such other longer period as agreed by the Majority Lenders); and</w:t>
      </w:r>
    </w:p>
    <w:p>
      <w:pPr>
        <w:spacing w:after="0" w:line="212"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5"/>
          <w:szCs w:val="15"/>
          <w:b w:val="1"/>
          <w:bCs w:val="1"/>
          <w:color w:val="auto"/>
        </w:rPr>
        <w:t>Excluded Commitments; "Snooze you lose"</w:t>
      </w:r>
    </w:p>
    <w:p>
      <w:pPr>
        <w:spacing w:after="0" w:line="200" w:lineRule="exact"/>
        <w:rPr>
          <w:sz w:val="20"/>
          <w:szCs w:val="20"/>
          <w:color w:val="auto"/>
        </w:rPr>
      </w:pPr>
    </w:p>
    <w:p>
      <w:pPr>
        <w:spacing w:after="0" w:line="274" w:lineRule="exact"/>
        <w:rPr>
          <w:sz w:val="20"/>
          <w:szCs w:val="20"/>
          <w:color w:val="auto"/>
        </w:rPr>
      </w:pPr>
    </w:p>
    <w:p>
      <w:pPr>
        <w:ind w:left="1080" w:hanging="532"/>
        <w:spacing w:after="0" w:line="259" w:lineRule="auto"/>
        <w:tabs>
          <w:tab w:leader="none" w:pos="10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20 Business Days of that request being made (unless the Borrowers and the Agent agree to a longer time period in relation to any request):</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its Commitments or its participation in the Revolving Loans shall not be included for the purpose of calculating the Total Commitments or the amount of the Revolving Loans when ascertaining whether any relevant percentage (including, for the avoidance of doubt, unanimity) of Total Commitments or the amount of the Revolving Loans has been obtained to approve that request; and</w:t>
      </w:r>
    </w:p>
    <w:p>
      <w:pPr>
        <w:spacing w:after="0" w:line="173" w:lineRule="exact"/>
        <w:rPr>
          <w:rFonts w:ascii="Arial" w:cs="Arial" w:eastAsia="Arial" w:hAnsi="Arial"/>
          <w:sz w:val="16"/>
          <w:szCs w:val="16"/>
          <w:color w:val="auto"/>
        </w:rPr>
      </w:pPr>
    </w:p>
    <w:p>
      <w:pPr>
        <w:ind w:left="1620" w:right="100" w:hanging="532"/>
        <w:spacing w:after="0" w:line="268" w:lineRule="auto"/>
        <w:tabs>
          <w:tab w:leader="none" w:pos="162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If any Lender that is not a Defaulting Lender fails to respond to a Relevant Request within 20 Business Days from the Relevant Date (unless the Borrowers and the Agent agree to a longer time period in relation to any Relevant Request):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its Commitments or its participation in the Revolving Loans shall not be included for the purpose of calculating the Total Commitments or the amount of the Revolving Loans when ascertaining whether any relevant percentage (including, for the avoidance of doubt, unanimity) of Total Commitments or the amount of the Revolving Loans has been obtained to approve that request; and</w:t>
      </w:r>
    </w:p>
    <w:p>
      <w:pPr>
        <w:spacing w:after="0" w:line="173" w:lineRule="exact"/>
        <w:rPr>
          <w:rFonts w:ascii="Arial" w:cs="Arial" w:eastAsia="Arial" w:hAnsi="Arial"/>
          <w:sz w:val="16"/>
          <w:szCs w:val="16"/>
          <w:color w:val="auto"/>
        </w:rPr>
      </w:pPr>
    </w:p>
    <w:p>
      <w:pPr>
        <w:ind w:left="1620" w:right="100" w:hanging="532"/>
        <w:spacing w:after="0" w:line="268" w:lineRule="auto"/>
        <w:tabs>
          <w:tab w:leader="none" w:pos="162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85" w:lineRule="exact"/>
        <w:rPr>
          <w:rFonts w:ascii="Arial" w:cs="Arial" w:eastAsia="Arial" w:hAnsi="Arial"/>
          <w:sz w:val="18"/>
          <w:szCs w:val="18"/>
          <w:color w:val="auto"/>
        </w:rPr>
      </w:pPr>
    </w:p>
    <w:p>
      <w:pPr>
        <w:ind w:left="1620" w:right="7240"/>
        <w:spacing w:after="0" w:line="563" w:lineRule="auto"/>
        <w:rPr>
          <w:rFonts w:ascii="Arial" w:cs="Arial" w:eastAsia="Arial" w:hAnsi="Arial"/>
          <w:sz w:val="18"/>
          <w:szCs w:val="18"/>
          <w:color w:val="auto"/>
        </w:rPr>
      </w:pPr>
      <w:r>
        <w:rPr>
          <w:rFonts w:ascii="Arial" w:cs="Arial" w:eastAsia="Arial" w:hAnsi="Arial"/>
          <w:sz w:val="16"/>
          <w:szCs w:val="16"/>
          <w:color w:val="auto"/>
        </w:rPr>
        <w:t xml:space="preserve">For the purposes of this paragraph (b): </w:t>
      </w:r>
      <w:r>
        <w:rPr>
          <w:rFonts w:ascii="Arial" w:cs="Arial" w:eastAsia="Arial" w:hAnsi="Arial"/>
          <w:sz w:val="16"/>
          <w:szCs w:val="16"/>
          <w:b w:val="1"/>
          <w:bCs w:val="1"/>
          <w:color w:val="auto"/>
        </w:rPr>
        <w:t xml:space="preserve">Relevant Date </w:t>
      </w:r>
      <w:r>
        <w:rPr>
          <w:rFonts w:ascii="Arial" w:cs="Arial" w:eastAsia="Arial" w:hAnsi="Arial"/>
          <w:sz w:val="16"/>
          <w:szCs w:val="16"/>
          <w:color w:val="auto"/>
        </w:rPr>
        <w:t>means the later of</w:t>
      </w:r>
    </w:p>
    <w:p>
      <w:pPr>
        <w:spacing w:after="0" w:line="14" w:lineRule="exact"/>
        <w:rPr>
          <w:sz w:val="20"/>
          <w:szCs w:val="20"/>
          <w:color w:val="auto"/>
        </w:rPr>
      </w:pPr>
    </w:p>
    <w:p>
      <w:pPr>
        <w:ind w:left="1620" w:hanging="532"/>
        <w:spacing w:after="0"/>
        <w:tabs>
          <w:tab w:leader="none" w:pos="1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date on which a Relevant Request is made; and</w:t>
      </w:r>
    </w:p>
    <w:p>
      <w:pPr>
        <w:spacing w:after="0" w:line="252" w:lineRule="exact"/>
        <w:rPr>
          <w:rFonts w:ascii="Arial" w:cs="Arial" w:eastAsia="Arial" w:hAnsi="Arial"/>
          <w:sz w:val="18"/>
          <w:szCs w:val="18"/>
          <w:color w:val="auto"/>
        </w:rPr>
      </w:pPr>
    </w:p>
    <w:p>
      <w:pPr>
        <w:ind w:left="1620" w:right="240" w:hanging="532"/>
        <w:spacing w:after="0" w:line="259" w:lineRule="auto"/>
        <w:tabs>
          <w:tab w:leader="none" w:pos="1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the Agent determines (acting reasonably) that additional information or evidence are required for the Lenders to make an informed decision in respect of that Relevant Request, the date on which the Agent determines (acting reasonably) that it has been provided with all such information or evidence;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59" w:name="page360"/>
    <w:bookmarkEnd w:id="359"/>
    <w:p>
      <w:pPr>
        <w:ind w:left="1620" w:right="260"/>
        <w:spacing w:after="0" w:line="262" w:lineRule="auto"/>
        <w:rPr>
          <w:sz w:val="20"/>
          <w:szCs w:val="20"/>
          <w:color w:val="auto"/>
        </w:rPr>
      </w:pPr>
      <w:r>
        <w:rPr>
          <w:rFonts w:ascii="Arial" w:cs="Arial" w:eastAsia="Arial" w:hAnsi="Arial"/>
          <w:sz w:val="18"/>
          <w:szCs w:val="18"/>
          <w:b w:val="1"/>
          <w:bCs w:val="1"/>
          <w:color w:val="auto"/>
        </w:rPr>
        <w:t xml:space="preserve">Relevant Request </w:t>
      </w:r>
      <w:r>
        <w:rPr>
          <w:rFonts w:ascii="Arial" w:cs="Arial" w:eastAsia="Arial" w:hAnsi="Arial"/>
          <w:sz w:val="18"/>
          <w:szCs w:val="18"/>
          <w:color w:val="auto"/>
        </w:rPr>
        <w:t>means a request for a consent, waiver, amendment of or in relation to any term of any Finance Document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Lenders under the terms of this Agreement other than an amendment, waiver or consent referred to in clause 41.2 (</w:t>
      </w:r>
      <w:r>
        <w:rPr>
          <w:rFonts w:ascii="Arial" w:cs="Arial" w:eastAsia="Arial" w:hAnsi="Arial"/>
          <w:sz w:val="18"/>
          <w:szCs w:val="18"/>
          <w:i w:val="1"/>
          <w:iCs w:val="1"/>
          <w:color w:val="auto"/>
        </w:rPr>
        <w:t>All Lender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excluding paragraph (h) thereof.</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4"/>
          <w:szCs w:val="14"/>
          <w:b w:val="1"/>
          <w:bCs w:val="1"/>
          <w:color w:val="auto"/>
        </w:rPr>
        <w:t>Releases</w:t>
      </w:r>
    </w:p>
    <w:p>
      <w:pPr>
        <w:spacing w:after="0" w:line="245"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 Agent shall not have authority to authorise the Security Agent to release:</w:t>
      </w:r>
    </w:p>
    <w:p>
      <w:pPr>
        <w:spacing w:after="0" w:line="213" w:lineRule="exact"/>
        <w:rPr>
          <w:sz w:val="20"/>
          <w:szCs w:val="20"/>
          <w:color w:val="auto"/>
        </w:rPr>
      </w:pPr>
    </w:p>
    <w:p>
      <w:pPr>
        <w:ind w:left="1080" w:hanging="532"/>
        <w:spacing w:after="0"/>
        <w:tabs>
          <w:tab w:leader="none" w:pos="108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5"/>
          <w:szCs w:val="15"/>
          <w:b w:val="1"/>
          <w:bCs w:val="1"/>
          <w:color w:val="auto"/>
        </w:rPr>
        <w:t>Replacement of Screen Rate</w:t>
      </w:r>
    </w:p>
    <w:p>
      <w:pPr>
        <w:spacing w:after="0" w:line="245"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Subject to clause 41.3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w:t>
      </w:r>
    </w:p>
    <w:p>
      <w:pPr>
        <w:spacing w:after="0" w:line="213" w:lineRule="exact"/>
        <w:rPr>
          <w:sz w:val="20"/>
          <w:szCs w:val="20"/>
          <w:color w:val="auto"/>
        </w:rPr>
      </w:pPr>
    </w:p>
    <w:p>
      <w:pPr>
        <w:ind w:left="1080" w:hanging="532"/>
        <w:spacing w:after="0"/>
        <w:tabs>
          <w:tab w:leader="none" w:pos="10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225" w:lineRule="exact"/>
        <w:rPr>
          <w:rFonts w:ascii="Arial" w:cs="Arial" w:eastAsia="Arial" w:hAnsi="Arial"/>
          <w:sz w:val="18"/>
          <w:szCs w:val="18"/>
          <w:color w:val="auto"/>
        </w:rPr>
      </w:pPr>
    </w:p>
    <w:p>
      <w:pPr>
        <w:spacing w:after="0"/>
        <w:tabs>
          <w:tab w:leader="none" w:pos="0" w:val="left"/>
        </w:tabs>
        <w:numPr>
          <w:ilvl w:val="0"/>
          <w:numId w:val="537"/>
        </w:numPr>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38" w:lineRule="exact"/>
        <w:rPr>
          <w:rFonts w:ascii="Arial" w:cs="Arial" w:eastAsia="Arial" w:hAnsi="Arial"/>
          <w:sz w:val="18"/>
          <w:szCs w:val="18"/>
          <w:color w:val="auto"/>
        </w:rPr>
      </w:pPr>
    </w:p>
    <w:p>
      <w:pPr>
        <w:ind w:left="1620" w:right="320" w:hanging="532"/>
        <w:spacing w:after="0" w:line="331" w:lineRule="auto"/>
        <w:tabs>
          <w:tab w:leader="none" w:pos="1620" w:val="left"/>
        </w:tabs>
        <w:numPr>
          <w:ilvl w:val="1"/>
          <w:numId w:val="537"/>
        </w:numPr>
        <w:rPr>
          <w:rFonts w:ascii="Arial" w:cs="Arial" w:eastAsia="Arial" w:hAnsi="Arial"/>
          <w:sz w:val="16"/>
          <w:szCs w:val="16"/>
          <w:color w:val="auto"/>
        </w:rPr>
      </w:pPr>
      <w:r>
        <w:rPr>
          <w:rFonts w:ascii="Arial" w:cs="Arial" w:eastAsia="Arial" w:hAnsi="Arial"/>
          <w:sz w:val="16"/>
          <w:szCs w:val="16"/>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67" w:lineRule="exact"/>
        <w:rPr>
          <w:rFonts w:ascii="Arial" w:cs="Arial" w:eastAsia="Arial" w:hAnsi="Arial"/>
          <w:sz w:val="16"/>
          <w:szCs w:val="16"/>
          <w:color w:val="auto"/>
        </w:rPr>
      </w:pPr>
    </w:p>
    <w:p>
      <w:pPr>
        <w:ind w:left="1620" w:hanging="532"/>
        <w:spacing w:after="0"/>
        <w:tabs>
          <w:tab w:leader="none" w:pos="16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38" w:lineRule="exact"/>
        <w:rPr>
          <w:rFonts w:ascii="Arial" w:cs="Arial" w:eastAsia="Arial" w:hAnsi="Arial"/>
          <w:sz w:val="18"/>
          <w:szCs w:val="18"/>
          <w:color w:val="auto"/>
        </w:rPr>
      </w:pPr>
    </w:p>
    <w:p>
      <w:pPr>
        <w:ind w:left="1620" w:hanging="532"/>
        <w:spacing w:after="0" w:line="256" w:lineRule="auto"/>
        <w:tabs>
          <w:tab w:leader="none" w:pos="16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219" w:lineRule="exact"/>
        <w:rPr>
          <w:sz w:val="20"/>
          <w:szCs w:val="20"/>
          <w:color w:val="auto"/>
        </w:rPr>
      </w:pPr>
    </w:p>
    <w:p>
      <w:pPr>
        <w:ind w:left="540"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58" w:lineRule="exact"/>
        <w:rPr>
          <w:sz w:val="20"/>
          <w:szCs w:val="20"/>
          <w:color w:val="auto"/>
        </w:rPr>
      </w:pPr>
    </w:p>
    <w:p>
      <w:pPr>
        <w:ind w:left="1080" w:hanging="532"/>
        <w:spacing w:after="0"/>
        <w:tabs>
          <w:tab w:leader="none" w:pos="10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60" w:name="page361"/>
    <w:bookmarkEnd w:id="360"/>
    <w:p>
      <w:pPr>
        <w:ind w:left="1612" w:right="900"/>
        <w:spacing w:after="0" w:line="268"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99" w:lineRule="exact"/>
        <w:rPr>
          <w:sz w:val="20"/>
          <w:szCs w:val="20"/>
          <w:color w:val="auto"/>
        </w:rPr>
      </w:pPr>
    </w:p>
    <w:p>
      <w:pPr>
        <w:ind w:left="1072" w:right="140" w:hanging="532"/>
        <w:spacing w:after="0" w:line="268" w:lineRule="auto"/>
        <w:tabs>
          <w:tab w:leader="none" w:pos="107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the Screen Rate; or</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the Screen Rate.</w:t>
      </w:r>
    </w:p>
    <w:p>
      <w:pPr>
        <w:spacing w:after="0" w:line="219" w:lineRule="exact"/>
        <w:rPr>
          <w:sz w:val="20"/>
          <w:szCs w:val="20"/>
          <w:color w:val="auto"/>
        </w:rPr>
      </w:pPr>
    </w:p>
    <w:p>
      <w:pPr>
        <w:ind w:left="5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the Screen Rate:</w:t>
      </w:r>
    </w:p>
    <w:p>
      <w:pPr>
        <w:spacing w:after="0" w:line="245" w:lineRule="exact"/>
        <w:rPr>
          <w:sz w:val="20"/>
          <w:szCs w:val="20"/>
          <w:color w:val="auto"/>
        </w:rPr>
      </w:pPr>
    </w:p>
    <w:p>
      <w:pPr>
        <w:ind w:left="1072" w:right="80" w:hanging="532"/>
        <w:spacing w:after="0" w:line="268" w:lineRule="auto"/>
        <w:tabs>
          <w:tab w:leader="none" w:pos="107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 or</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82" w:lineRule="exact"/>
        <w:rPr>
          <w:sz w:val="20"/>
          <w:szCs w:val="20"/>
          <w:color w:val="auto"/>
        </w:rPr>
      </w:pPr>
    </w:p>
    <w:p>
      <w:pPr>
        <w:ind w:left="2152" w:hanging="532"/>
        <w:spacing w:after="0"/>
        <w:tabs>
          <w:tab w:leader="none" w:pos="215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238" w:lineRule="exact"/>
        <w:rPr>
          <w:rFonts w:ascii="Arial" w:cs="Arial" w:eastAsia="Arial" w:hAnsi="Arial"/>
          <w:sz w:val="18"/>
          <w:szCs w:val="18"/>
          <w:color w:val="auto"/>
        </w:rPr>
      </w:pPr>
    </w:p>
    <w:p>
      <w:pPr>
        <w:ind w:left="2152" w:hanging="532"/>
        <w:spacing w:after="0" w:line="259" w:lineRule="auto"/>
        <w:tabs>
          <w:tab w:leader="none" w:pos="215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94" w:lineRule="exact"/>
        <w:rPr>
          <w:sz w:val="20"/>
          <w:szCs w:val="20"/>
          <w:color w:val="auto"/>
        </w:rPr>
      </w:pPr>
    </w:p>
    <w:p>
      <w:pPr>
        <w:ind w:left="532"/>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 Rate; or</w:t>
      </w:r>
    </w:p>
    <w:p>
      <w:pPr>
        <w:spacing w:after="0" w:line="252" w:lineRule="exact"/>
        <w:rPr>
          <w:sz w:val="20"/>
          <w:szCs w:val="20"/>
          <w:color w:val="auto"/>
        </w:rPr>
      </w:pPr>
    </w:p>
    <w:p>
      <w:pPr>
        <w:ind w:left="1612" w:right="660" w:hanging="532"/>
        <w:spacing w:after="0" w:line="331" w:lineRule="auto"/>
        <w:tabs>
          <w:tab w:leader="none" w:pos="1612" w:val="left"/>
        </w:tabs>
        <w:numPr>
          <w:ilvl w:val="1"/>
          <w:numId w:val="542"/>
        </w:numPr>
        <w:rPr>
          <w:rFonts w:ascii="Arial" w:cs="Arial" w:eastAsia="Arial" w:hAnsi="Arial"/>
          <w:sz w:val="16"/>
          <w:szCs w:val="16"/>
          <w:color w:val="auto"/>
        </w:rPr>
      </w:pPr>
      <w:r>
        <w:rPr>
          <w:rFonts w:ascii="Arial" w:cs="Arial" w:eastAsia="Arial" w:hAnsi="Arial"/>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154" w:lineRule="exact"/>
        <w:rPr>
          <w:rFonts w:ascii="Arial" w:cs="Arial" w:eastAsia="Arial" w:hAnsi="Arial"/>
          <w:sz w:val="16"/>
          <w:szCs w:val="16"/>
          <w:color w:val="auto"/>
        </w:rPr>
      </w:pPr>
    </w:p>
    <w:p>
      <w:pPr>
        <w:ind w:left="1612" w:right="780" w:hanging="532"/>
        <w:spacing w:after="0" w:line="268" w:lineRule="auto"/>
        <w:tabs>
          <w:tab w:leader="none" w:pos="161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99" w:lineRule="exact"/>
        <w:rPr>
          <w:rFonts w:ascii="Arial" w:cs="Arial" w:eastAsia="Arial" w:hAnsi="Arial"/>
          <w:sz w:val="18"/>
          <w:szCs w:val="18"/>
          <w:color w:val="auto"/>
        </w:rPr>
      </w:pPr>
    </w:p>
    <w:p>
      <w:pPr>
        <w:ind w:left="1612" w:hanging="532"/>
        <w:spacing w:after="0"/>
        <w:tabs>
          <w:tab w:leader="none" w:pos="161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right="500" w:hanging="532"/>
        <w:spacing w:after="0" w:line="268" w:lineRule="auto"/>
        <w:tabs>
          <w:tab w:leader="none" w:pos="107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12" w:right="80" w:hanging="532"/>
        <w:spacing w:after="0" w:line="268" w:lineRule="auto"/>
        <w:tabs>
          <w:tab w:leader="none" w:pos="1612"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199" w:lineRule="exact"/>
        <w:rPr>
          <w:rFonts w:ascii="Arial" w:cs="Arial" w:eastAsia="Arial" w:hAnsi="Arial"/>
          <w:sz w:val="18"/>
          <w:szCs w:val="18"/>
          <w:color w:val="auto"/>
        </w:rPr>
      </w:pPr>
    </w:p>
    <w:p>
      <w:pPr>
        <w:ind w:left="1612" w:hanging="532"/>
        <w:spacing w:after="0"/>
        <w:tabs>
          <w:tab w:leader="none" w:pos="1612" w:val="left"/>
        </w:tabs>
        <w:numPr>
          <w:ilvl w:val="1"/>
          <w:numId w:val="543"/>
        </w:numPr>
        <w:rPr>
          <w:rFonts w:ascii="Arial" w:cs="Arial" w:eastAsia="Arial" w:hAnsi="Arial"/>
          <w:sz w:val="16"/>
          <w:szCs w:val="16"/>
          <w:color w:val="auto"/>
        </w:rPr>
      </w:pPr>
      <w:r>
        <w:rPr>
          <w:rFonts w:ascii="Arial" w:cs="Arial" w:eastAsia="Arial" w:hAnsi="Arial"/>
          <w:sz w:val="16"/>
          <w:szCs w:val="16"/>
          <w:color w:val="auto"/>
        </w:rPr>
        <w:t>that Screen Rate is calculated in accordance with any such policy or arrangement for a period no less than 15 Business Days; or</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72" w:right="60" w:hanging="532"/>
        <w:spacing w:after="0" w:line="268" w:lineRule="auto"/>
        <w:tabs>
          <w:tab w:leader="none" w:pos="107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the Screen Rate is otherwise no longer appropriate for the purposes of calculating interest under this Agreement..</w:t>
      </w:r>
    </w:p>
    <w:p>
      <w:pPr>
        <w:spacing w:after="0" w:line="200" w:lineRule="exact"/>
        <w:rPr>
          <w:sz w:val="20"/>
          <w:szCs w:val="20"/>
          <w:color w:val="auto"/>
        </w:rPr>
      </w:pPr>
    </w:p>
    <w:p>
      <w:pPr>
        <w:spacing w:after="0" w:line="209" w:lineRule="exact"/>
        <w:rPr>
          <w:sz w:val="20"/>
          <w:szCs w:val="20"/>
          <w:color w:val="auto"/>
        </w:rPr>
      </w:pPr>
    </w:p>
    <w:p>
      <w:pPr>
        <w:ind w:left="532" w:hanging="532"/>
        <w:spacing w:after="0"/>
        <w:tabs>
          <w:tab w:leader="none" w:pos="532"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31" w:lineRule="exact"/>
        <w:rPr>
          <w:rFonts w:ascii="Arial" w:cs="Arial" w:eastAsia="Arial" w:hAnsi="Arial"/>
          <w:sz w:val="18"/>
          <w:szCs w:val="18"/>
          <w:b w:val="1"/>
          <w:bCs w:val="1"/>
          <w:color w:val="auto"/>
        </w:rPr>
      </w:pPr>
    </w:p>
    <w:p>
      <w:pPr>
        <w:ind w:left="532"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32"/>
          </w:cols>
          <w:pgMar w:left="168" w:top="51" w:right="199" w:bottom="1440" w:gutter="0" w:footer="0" w:header="0"/>
        </w:sectPr>
      </w:pPr>
    </w:p>
    <w:bookmarkStart w:id="361" w:name="page362"/>
    <w:bookmarkEnd w:id="361"/>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Confidentiality</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b w:val="1"/>
          <w:bCs w:val="1"/>
          <w:color w:val="auto"/>
        </w:rPr>
        <w:t>Confidential Information</w:t>
      </w:r>
    </w:p>
    <w:p>
      <w:pPr>
        <w:spacing w:after="0" w:line="258" w:lineRule="exact"/>
        <w:rPr>
          <w:sz w:val="20"/>
          <w:szCs w:val="20"/>
          <w:color w:val="auto"/>
        </w:rPr>
      </w:pPr>
    </w:p>
    <w:p>
      <w:pPr>
        <w:jc w:val="both"/>
        <w:ind w:left="540" w:right="300"/>
        <w:spacing w:after="0" w:line="306" w:lineRule="auto"/>
        <w:rPr>
          <w:sz w:val="20"/>
          <w:szCs w:val="20"/>
          <w:color w:val="auto"/>
        </w:rPr>
      </w:pPr>
      <w:r>
        <w:rPr>
          <w:rFonts w:ascii="Arial" w:cs="Arial" w:eastAsia="Arial" w:hAnsi="Arial"/>
          <w:sz w:val="16"/>
          <w:szCs w:val="16"/>
          <w:color w:val="auto"/>
        </w:rPr>
        <w:t>Each Finance Party agrees to keep all Confidential Information confidential and not to disclose it to anyone, save to the extent permitted by clause 43.2 (</w:t>
      </w:r>
      <w:r>
        <w:rPr>
          <w:rFonts w:ascii="Arial" w:cs="Arial" w:eastAsia="Arial" w:hAnsi="Arial"/>
          <w:sz w:val="16"/>
          <w:szCs w:val="16"/>
          <w:i w:val="1"/>
          <w:iCs w:val="1"/>
          <w:color w:val="auto"/>
        </w:rPr>
        <w:t>Disclosure of Confidential Information</w:t>
      </w:r>
      <w:r>
        <w:rPr>
          <w:rFonts w:ascii="Arial" w:cs="Arial" w:eastAsia="Arial" w:hAnsi="Arial"/>
          <w:sz w:val="16"/>
          <w:szCs w:val="16"/>
          <w:color w:val="auto"/>
        </w:rPr>
        <w:t>) and clause 43.3 (</w:t>
      </w:r>
      <w:r>
        <w:rPr>
          <w:rFonts w:ascii="Arial" w:cs="Arial" w:eastAsia="Arial" w:hAnsi="Arial"/>
          <w:sz w:val="16"/>
          <w:szCs w:val="16"/>
          <w:i w:val="1"/>
          <w:iCs w:val="1"/>
          <w:color w:val="auto"/>
        </w:rPr>
        <w:t>Disclosure to numbering service providers</w:t>
      </w:r>
      <w:r>
        <w:rPr>
          <w:rFonts w:ascii="Arial" w:cs="Arial" w:eastAsia="Arial" w:hAnsi="Arial"/>
          <w:sz w:val="16"/>
          <w:szCs w:val="16"/>
          <w:color w:val="auto"/>
        </w:rPr>
        <w:t>), and to ensure that all Confidential Information is protected with security measures and a degree of care that would apply to its own confidential information.</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6"/>
          <w:szCs w:val="16"/>
          <w:b w:val="1"/>
          <w:bCs w:val="1"/>
          <w:color w:val="auto"/>
        </w:rPr>
        <w:t>Disclosure of Confidential Information</w:t>
      </w:r>
    </w:p>
    <w:p>
      <w:pPr>
        <w:spacing w:after="0" w:line="24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99" w:lineRule="exact"/>
        <w:rPr>
          <w:sz w:val="20"/>
          <w:szCs w:val="20"/>
          <w:color w:val="auto"/>
        </w:rPr>
      </w:pPr>
    </w:p>
    <w:p>
      <w:pPr>
        <w:ind w:left="1080" w:right="520" w:hanging="532"/>
        <w:spacing w:after="0" w:line="268"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may potentially assign) all or any of its rights and obligations under the Finance Documents;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30.7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right="260" w:hanging="532"/>
        <w:spacing w:after="0" w:line="331" w:lineRule="auto"/>
        <w:tabs>
          <w:tab w:leader="none" w:pos="108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and brokers);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86"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any information about any Obligor, the Group and the Finance Documents as that Finance Party shall consider appropriate if any such person has entered into a confidentiality agreement substantially in the form of the then current form of LMA Confidentiality Letter (Purchaser) for the secondary trading of loans ; and any Finance Party may disclose (with the consent of the Borrowers) to any other person not included in paragraphs 43.2(a) - 43.2(h) above, any information about any Obligor, the Group and the Finance Documents as that Finance Party shall consider appropriate if any such person has entered into a confidentiality agreement substantially in the form agreed between the Borrowers and the relevant Finance Party.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362" w:name="page363"/>
    <w:bookmarkEnd w:id="362"/>
    <w:p>
      <w:pPr>
        <w:spacing w:after="0"/>
        <w:tabs>
          <w:tab w:leader="none" w:pos="52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5"/>
          <w:szCs w:val="15"/>
          <w:b w:val="1"/>
          <w:bCs w:val="1"/>
          <w:color w:val="auto"/>
        </w:rPr>
        <w:t>Disclosure to numbering service providers</w:t>
      </w:r>
    </w:p>
    <w:p>
      <w:pPr>
        <w:spacing w:after="0" w:line="200" w:lineRule="exact"/>
        <w:rPr>
          <w:sz w:val="20"/>
          <w:szCs w:val="20"/>
          <w:color w:val="auto"/>
        </w:rPr>
      </w:pPr>
    </w:p>
    <w:p>
      <w:pPr>
        <w:spacing w:after="0" w:line="288" w:lineRule="exact"/>
        <w:rPr>
          <w:sz w:val="20"/>
          <w:szCs w:val="20"/>
          <w:color w:val="auto"/>
        </w:rPr>
      </w:pPr>
    </w:p>
    <w:p>
      <w:pPr>
        <w:ind w:left="1080" w:right="920" w:hanging="532"/>
        <w:spacing w:after="0" w:line="331" w:lineRule="auto"/>
        <w:tabs>
          <w:tab w:leader="none" w:pos="108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370" w:lineRule="exact"/>
        <w:rPr>
          <w:rFonts w:ascii="Arial" w:cs="Arial" w:eastAsia="Arial" w:hAnsi="Arial"/>
          <w:sz w:val="16"/>
          <w:szCs w:val="16"/>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clause 44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ranking of the Facility;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term of the Facility;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43.3(a)(i) to 43.3(a)(xii) above;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43.3(a)(i) to 43.3(a)(xiii) above is, nor will at any time be, unpublished price-sensitive information.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3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6"/>
          <w:szCs w:val="16"/>
          <w:b w:val="1"/>
          <w:bCs w:val="1"/>
          <w:color w:val="auto"/>
        </w:rPr>
        <w:t>Entire agreement</w:t>
      </w:r>
    </w:p>
    <w:p>
      <w:pPr>
        <w:spacing w:after="0" w:line="258" w:lineRule="exact"/>
        <w:rPr>
          <w:sz w:val="20"/>
          <w:szCs w:val="20"/>
          <w:color w:val="auto"/>
        </w:rPr>
      </w:pPr>
    </w:p>
    <w:p>
      <w:pPr>
        <w:ind w:left="540" w:right="520"/>
        <w:spacing w:after="0" w:line="369" w:lineRule="auto"/>
        <w:rPr>
          <w:sz w:val="20"/>
          <w:szCs w:val="20"/>
          <w:color w:val="auto"/>
        </w:rPr>
      </w:pPr>
      <w:r>
        <w:rPr>
          <w:rFonts w:ascii="Arial" w:cs="Arial" w:eastAsia="Arial" w:hAnsi="Arial"/>
          <w:sz w:val="15"/>
          <w:szCs w:val="15"/>
          <w:color w:val="auto"/>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00"/>
          </w:cols>
          <w:pgMar w:left="160" w:top="45" w:right="239" w:bottom="1440" w:gutter="0" w:footer="0" w:header="0"/>
        </w:sectPr>
      </w:pPr>
    </w:p>
    <w:bookmarkStart w:id="363" w:name="page364"/>
    <w:bookmarkEnd w:id="363"/>
    <w:p>
      <w:pPr>
        <w:spacing w:after="0"/>
        <w:tabs>
          <w:tab w:leader="none" w:pos="52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6"/>
          <w:szCs w:val="16"/>
          <w:b w:val="1"/>
          <w:bCs w:val="1"/>
          <w:color w:val="auto"/>
        </w:rPr>
        <w:t>Inside information</w:t>
      </w:r>
    </w:p>
    <w:p>
      <w:pPr>
        <w:spacing w:after="0" w:line="24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5"/>
          <w:szCs w:val="15"/>
          <w:b w:val="1"/>
          <w:bCs w:val="1"/>
          <w:color w:val="auto"/>
        </w:rPr>
        <w:t>Banking secrecy laws</w:t>
      </w:r>
    </w:p>
    <w:p>
      <w:pPr>
        <w:spacing w:after="0" w:line="200" w:lineRule="exact"/>
        <w:rPr>
          <w:sz w:val="20"/>
          <w:szCs w:val="20"/>
          <w:color w:val="auto"/>
        </w:rPr>
      </w:pPr>
    </w:p>
    <w:p>
      <w:pPr>
        <w:spacing w:after="0" w:line="288" w:lineRule="exact"/>
        <w:rPr>
          <w:sz w:val="20"/>
          <w:szCs w:val="20"/>
          <w:color w:val="auto"/>
        </w:rPr>
      </w:pPr>
    </w:p>
    <w:p>
      <w:pPr>
        <w:ind w:left="1080" w:right="40" w:hanging="532"/>
        <w:spacing w:after="0" w:line="298" w:lineRule="auto"/>
        <w:tabs>
          <w:tab w:leader="none" w:pos="108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6"/>
          <w:szCs w:val="16"/>
          <w:b w:val="1"/>
          <w:bCs w:val="1"/>
          <w:color w:val="auto"/>
        </w:rPr>
        <w:t>Disclosing Party</w:t>
      </w:r>
      <w:r>
        <w:rPr>
          <w:rFonts w:ascii="Arial" w:cs="Arial" w:eastAsia="Arial" w:hAnsi="Arial"/>
          <w:sz w:val="16"/>
          <w:szCs w:val="16"/>
          <w:color w:val="auto"/>
        </w:rPr>
        <w:t>) from any confidentiality obligations or confidentiality restrictions arising from Swiss law or other applicable banking secrecy and data protection legislation which would prevent a Disclosing Party from disclosing any Confidential Information in accordance with this clause 43 (</w:t>
      </w:r>
      <w:r>
        <w:rPr>
          <w:rFonts w:ascii="Arial" w:cs="Arial" w:eastAsia="Arial" w:hAnsi="Arial"/>
          <w:sz w:val="16"/>
          <w:szCs w:val="16"/>
          <w:i w:val="1"/>
          <w:iCs w:val="1"/>
          <w:color w:val="auto"/>
        </w:rPr>
        <w:t>Confidentiality</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3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5"/>
          <w:szCs w:val="15"/>
          <w:b w:val="1"/>
          <w:bCs w:val="1"/>
          <w:color w:val="auto"/>
        </w:rPr>
        <w:t>Continuing obligations</w:t>
      </w:r>
    </w:p>
    <w:p>
      <w:pPr>
        <w:spacing w:after="0" w:line="258"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The obligations in this clause 43 are continuing and, in particular, shall survive and remain binding on each Finance Party for a period of twelve months from the earlier of:</w:t>
      </w:r>
    </w:p>
    <w:p>
      <w:pPr>
        <w:spacing w:after="0" w:line="199" w:lineRule="exact"/>
        <w:rPr>
          <w:sz w:val="20"/>
          <w:szCs w:val="20"/>
          <w:color w:val="auto"/>
        </w:rPr>
      </w:pPr>
    </w:p>
    <w:p>
      <w:pPr>
        <w:ind w:left="1080" w:hanging="532"/>
        <w:spacing w:after="0" w:line="268" w:lineRule="auto"/>
        <w:tabs>
          <w:tab w:leader="none" w:pos="10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connected with it are governed by English law.</w:t>
      </w:r>
    </w:p>
    <w:p>
      <w:pPr>
        <w:spacing w:after="0" w:line="232" w:lineRule="exact"/>
        <w:rPr>
          <w:rFonts w:ascii="Arial" w:cs="Arial" w:eastAsia="Arial" w:hAnsi="Arial"/>
          <w:sz w:val="18"/>
          <w:szCs w:val="18"/>
          <w:b w:val="1"/>
          <w:bCs w:val="1"/>
          <w:color w:val="auto"/>
        </w:rPr>
      </w:pPr>
    </w:p>
    <w:p>
      <w:pPr>
        <w:ind w:left="540" w:hanging="532"/>
        <w:spacing w:after="0"/>
        <w:tabs>
          <w:tab w:leader="none" w:pos="54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5"/>
          <w:szCs w:val="15"/>
          <w:b w:val="1"/>
          <w:bCs w:val="1"/>
          <w:color w:val="auto"/>
        </w:rPr>
        <w:t>Jurisdiction of English courts</w:t>
      </w:r>
    </w:p>
    <w:p>
      <w:pPr>
        <w:spacing w:after="0" w:line="200" w:lineRule="exact"/>
        <w:rPr>
          <w:sz w:val="20"/>
          <w:szCs w:val="20"/>
          <w:color w:val="auto"/>
        </w:rPr>
      </w:pPr>
    </w:p>
    <w:p>
      <w:pPr>
        <w:spacing w:after="0" w:line="288" w:lineRule="exact"/>
        <w:rPr>
          <w:sz w:val="20"/>
          <w:szCs w:val="20"/>
          <w:color w:val="auto"/>
        </w:rPr>
      </w:pPr>
    </w:p>
    <w:p>
      <w:pPr>
        <w:ind w:left="1080" w:right="220" w:hanging="532"/>
        <w:spacing w:after="0" w:line="331" w:lineRule="auto"/>
        <w:tabs>
          <w:tab w:leader="none" w:pos="108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20"/>
          </w:cols>
          <w:pgMar w:left="160" w:top="45" w:right="219" w:bottom="1440" w:gutter="0" w:footer="0" w:header="0"/>
        </w:sectPr>
      </w:pPr>
    </w:p>
    <w:bookmarkStart w:id="364" w:name="page365"/>
    <w:bookmarkEnd w:id="364"/>
    <w:p>
      <w:pPr>
        <w:ind w:left="1080"/>
        <w:spacing w:after="0"/>
        <w:rPr>
          <w:sz w:val="20"/>
          <w:szCs w:val="20"/>
          <w:color w:val="auto"/>
        </w:rPr>
      </w:pPr>
      <w:r>
        <w:rPr>
          <w:rFonts w:ascii="Arial" w:cs="Arial" w:eastAsia="Arial" w:hAnsi="Arial"/>
          <w:sz w:val="18"/>
          <w:szCs w:val="18"/>
          <w:color w:val="auto"/>
        </w:rPr>
        <w:t>jurisdiction. To the extent allowed by law, the Finance Parties may take concurrent proceedings in any number of jurisdictions.</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5"/>
          <w:szCs w:val="15"/>
          <w:b w:val="1"/>
          <w:bCs w:val="1"/>
          <w:color w:val="auto"/>
        </w:rPr>
        <w:t>Service of process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252" w:lineRule="exact"/>
        <w:rPr>
          <w:sz w:val="20"/>
          <w:szCs w:val="20"/>
          <w:color w:val="auto"/>
        </w:rPr>
      </w:pPr>
    </w:p>
    <w:p>
      <w:pPr>
        <w:ind w:left="1080" w:right="40" w:hanging="532"/>
        <w:spacing w:after="0" w:line="268"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relevant Obligor of the process will not invalidate the proceedings concerned; and</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40"/>
          </w:cols>
          <w:pgMar w:left="160" w:top="51" w:right="19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800" w:type="dxa"/>
            <w:vAlign w:val="bottom"/>
          </w:tcPr>
          <w:p>
            <w:pPr>
              <w:jc w:val="center"/>
              <w:ind w:right="3672"/>
              <w:spacing w:after="0"/>
              <w:rPr>
                <w:sz w:val="20"/>
                <w:szCs w:val="20"/>
                <w:color w:val="auto"/>
              </w:rPr>
            </w:pPr>
            <w:r>
              <w:rPr>
                <w:rFonts w:ascii="Arial" w:cs="Arial" w:eastAsia="Arial" w:hAnsi="Arial"/>
                <w:sz w:val="18"/>
                <w:szCs w:val="18"/>
                <w:b w:val="1"/>
                <w:bCs w:val="1"/>
                <w:color w:val="auto"/>
                <w:w w:val="84"/>
              </w:rPr>
              <w:t>Schedule 1</w:t>
            </w:r>
          </w:p>
        </w:tc>
      </w:tr>
      <w:tr>
        <w:trPr>
          <w:trHeight w:val="228"/>
        </w:trPr>
        <w:tc>
          <w:tcPr>
            <w:tcW w:w="3760" w:type="dxa"/>
            <w:vAlign w:val="bottom"/>
          </w:tcPr>
          <w:p>
            <w:pPr>
              <w:spacing w:after="0"/>
              <w:rPr>
                <w:sz w:val="19"/>
                <w:szCs w:val="19"/>
                <w:color w:val="auto"/>
              </w:rPr>
            </w:pPr>
          </w:p>
        </w:tc>
        <w:tc>
          <w:tcPr>
            <w:tcW w:w="7800" w:type="dxa"/>
            <w:vAlign w:val="bottom"/>
          </w:tcPr>
          <w:p>
            <w:pPr>
              <w:jc w:val="center"/>
              <w:ind w:right="3672"/>
              <w:spacing w:after="0"/>
              <w:rPr>
                <w:sz w:val="20"/>
                <w:szCs w:val="20"/>
                <w:color w:val="auto"/>
              </w:rPr>
            </w:pPr>
            <w:r>
              <w:rPr>
                <w:rFonts w:ascii="Arial" w:cs="Arial" w:eastAsia="Arial" w:hAnsi="Arial"/>
                <w:sz w:val="18"/>
                <w:szCs w:val="18"/>
                <w:b w:val="1"/>
                <w:bCs w:val="1"/>
                <w:color w:val="auto"/>
                <w:w w:val="89"/>
              </w:rPr>
              <w:t>The original parties</w:t>
            </w:r>
          </w:p>
        </w:tc>
      </w:tr>
      <w:tr>
        <w:trPr>
          <w:trHeight w:val="432"/>
        </w:trPr>
        <w:tc>
          <w:tcPr>
            <w:tcW w:w="3760" w:type="dxa"/>
            <w:vAlign w:val="bottom"/>
          </w:tcPr>
          <w:p>
            <w:pPr>
              <w:spacing w:after="0"/>
              <w:rPr>
                <w:sz w:val="24"/>
                <w:szCs w:val="24"/>
                <w:color w:val="auto"/>
              </w:rPr>
            </w:pPr>
          </w:p>
        </w:tc>
        <w:tc>
          <w:tcPr>
            <w:tcW w:w="7800" w:type="dxa"/>
            <w:vAlign w:val="bottom"/>
          </w:tcPr>
          <w:p>
            <w:pPr>
              <w:jc w:val="center"/>
              <w:ind w:right="3712"/>
              <w:spacing w:after="0"/>
              <w:rPr>
                <w:sz w:val="20"/>
                <w:szCs w:val="20"/>
                <w:color w:val="auto"/>
              </w:rPr>
            </w:pPr>
            <w:r>
              <w:rPr>
                <w:rFonts w:ascii="Arial" w:cs="Arial" w:eastAsia="Arial" w:hAnsi="Arial"/>
                <w:sz w:val="18"/>
                <w:szCs w:val="18"/>
                <w:b w:val="1"/>
                <w:bCs w:val="1"/>
                <w:color w:val="auto"/>
                <w:w w:val="88"/>
              </w:rPr>
              <w:t>Borrowers</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GAS-three Ltd.</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44211</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rPr>
              <w:t>Clarendon House, 2 Church Street, Hamilton HM 11, 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89"/>
              </w:rPr>
              <w:t>Alastair Maxwell, c/o GasLog Monaco SAM, Gildo Pastor Center, 7, rue du Gabian, MC98000, Monaco</w:t>
            </w:r>
          </w:p>
        </w:tc>
      </w:tr>
      <w:tr>
        <w:trPr>
          <w:trHeight w:val="864"/>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GAS-four Ltd.</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44210</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rPr>
              <w:t>Clarendon House, 2 Church Street, Hamilton HM 11, 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89"/>
              </w:rPr>
              <w:t>Alastair Maxwell, c/o GasLog Monaco SAM, Gildo Pastor Center, 7, rue du Gabian, MC98000, Monaco</w:t>
            </w:r>
          </w:p>
        </w:tc>
      </w:tr>
      <w:tr>
        <w:trPr>
          <w:trHeight w:val="864"/>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GAS-five Ltd.</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45104</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rPr>
              <w:t>Clarendon House, 2 Church Street, Hamilton HM 11, 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89"/>
              </w:rPr>
              <w:t>Alastair Maxwell, c/o GasLog Monaco SAM, Gildo Pastor Center, 7, rue du Gabian, MC98000, Monaco</w:t>
            </w:r>
          </w:p>
        </w:tc>
      </w:tr>
      <w:tr>
        <w:trPr>
          <w:trHeight w:val="432"/>
        </w:trPr>
        <w:tc>
          <w:tcPr>
            <w:tcW w:w="3760" w:type="dxa"/>
            <w:vAlign w:val="bottom"/>
          </w:tcPr>
          <w:p>
            <w:pPr>
              <w:spacing w:after="0"/>
              <w:rPr>
                <w:sz w:val="24"/>
                <w:szCs w:val="24"/>
                <w:color w:val="auto"/>
              </w:rPr>
            </w:pPr>
          </w:p>
        </w:tc>
        <w:tc>
          <w:tcPr>
            <w:tcW w:w="7800" w:type="dxa"/>
            <w:vAlign w:val="bottom"/>
          </w:tcPr>
          <w:p>
            <w:pPr>
              <w:jc w:val="center"/>
              <w:ind w:right="3652"/>
              <w:spacing w:after="0"/>
              <w:rPr>
                <w:sz w:val="20"/>
                <w:szCs w:val="20"/>
                <w:color w:val="auto"/>
              </w:rPr>
            </w:pPr>
            <w:r>
              <w:rPr>
                <w:rFonts w:ascii="Arial" w:cs="Arial" w:eastAsia="Arial" w:hAnsi="Arial"/>
                <w:sz w:val="18"/>
                <w:szCs w:val="18"/>
                <w:color w:val="auto"/>
                <w:w w:val="86"/>
              </w:rPr>
              <w:t>147</w:t>
            </w:r>
          </w:p>
        </w:tc>
      </w:tr>
      <w:tr>
        <w:trPr>
          <w:trHeight w:val="228"/>
        </w:trPr>
        <w:tc>
          <w:tcPr>
            <w:tcW w:w="376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GAS-sixteen Ltd.</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48624</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rPr>
              <w:t>Clarendon House, 2 Church Street, Hamilton HM 11, 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89"/>
              </w:rPr>
              <w:t>Alastair Maxwell, c/o GasLog Monaco SAM, Gildo Pastor Center, 7, rue du Gabian, MC98000, Monaco</w:t>
            </w:r>
          </w:p>
        </w:tc>
      </w:tr>
      <w:tr>
        <w:trPr>
          <w:trHeight w:val="864"/>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GAS-seventeen Ltd.</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48625</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rPr>
              <w:t>Clarendon House, 2 Church Street, Hamilton HM 11, Bermuda</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89"/>
              </w:rPr>
              <w:t>Alastair Maxwell, c/o GasLog Monaco SAM, Gildo Pastor Center, 7, rue du Gabian, MC98000, Monaco</w:t>
            </w:r>
          </w:p>
        </w:tc>
      </w:tr>
      <w:tr>
        <w:trPr>
          <w:trHeight w:val="648"/>
        </w:trPr>
        <w:tc>
          <w:tcPr>
            <w:tcW w:w="3760" w:type="dxa"/>
            <w:vAlign w:val="bottom"/>
          </w:tcPr>
          <w:p>
            <w:pPr>
              <w:spacing w:after="0"/>
              <w:rPr>
                <w:sz w:val="24"/>
                <w:szCs w:val="24"/>
                <w:color w:val="auto"/>
              </w:rPr>
            </w:pPr>
          </w:p>
        </w:tc>
        <w:tc>
          <w:tcPr>
            <w:tcW w:w="7800" w:type="dxa"/>
            <w:vAlign w:val="bottom"/>
          </w:tcPr>
          <w:p>
            <w:pPr>
              <w:ind w:left="1760"/>
              <w:spacing w:after="0"/>
              <w:rPr>
                <w:sz w:val="20"/>
                <w:szCs w:val="20"/>
                <w:color w:val="auto"/>
              </w:rPr>
            </w:pPr>
            <w:r>
              <w:rPr>
                <w:rFonts w:ascii="Arial" w:cs="Arial" w:eastAsia="Arial" w:hAnsi="Arial"/>
                <w:sz w:val="18"/>
                <w:szCs w:val="18"/>
                <w:b w:val="1"/>
                <w:bCs w:val="1"/>
                <w:color w:val="auto"/>
              </w:rPr>
              <w:t>Parent</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Partners LP</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800" w:type="dxa"/>
            <w:vAlign w:val="bottom"/>
          </w:tcPr>
          <w:p>
            <w:pPr>
              <w:ind w:left="420"/>
              <w:spacing w:after="0"/>
              <w:rPr>
                <w:sz w:val="20"/>
                <w:szCs w:val="20"/>
                <w:color w:val="auto"/>
              </w:rPr>
            </w:pPr>
            <w:r>
              <w:rPr>
                <w:rFonts w:ascii="Arial" w:cs="Arial" w:eastAsia="Arial" w:hAnsi="Arial"/>
                <w:sz w:val="18"/>
                <w:szCs w:val="18"/>
                <w:color w:val="auto"/>
              </w:rPr>
              <w:t>Marshall Islands</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950063</w:t>
            </w:r>
          </w:p>
        </w:tc>
      </w:tr>
      <w:tr>
        <w:trPr>
          <w:trHeight w:val="447"/>
        </w:trPr>
        <w:tc>
          <w:tcPr>
            <w:tcW w:w="37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w:t>
            </w:r>
          </w:p>
        </w:tc>
        <w:tc>
          <w:tcPr>
            <w:tcW w:w="7800" w:type="dxa"/>
            <w:vAlign w:val="bottom"/>
          </w:tcPr>
          <w:p>
            <w:pPr>
              <w:ind w:left="420"/>
              <w:spacing w:after="0"/>
              <w:rPr>
                <w:sz w:val="20"/>
                <w:szCs w:val="20"/>
                <w:color w:val="auto"/>
              </w:rPr>
            </w:pPr>
            <w:r>
              <w:rPr>
                <w:rFonts w:ascii="Arial" w:cs="Arial" w:eastAsia="Arial" w:hAnsi="Arial"/>
                <w:sz w:val="18"/>
                <w:szCs w:val="18"/>
                <w:color w:val="auto"/>
              </w:rPr>
              <w:t>GasLog Services UK Ltd.</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800" w:type="dxa"/>
            <w:vAlign w:val="bottom"/>
          </w:tcPr>
          <w:p>
            <w:pPr>
              <w:ind w:left="420"/>
              <w:spacing w:after="0"/>
              <w:rPr>
                <w:sz w:val="20"/>
                <w:szCs w:val="20"/>
                <w:color w:val="auto"/>
              </w:rPr>
            </w:pPr>
            <w:r>
              <w:rPr>
                <w:rFonts w:ascii="Arial" w:cs="Arial" w:eastAsia="Arial" w:hAnsi="Arial"/>
                <w:sz w:val="18"/>
                <w:szCs w:val="18"/>
                <w:color w:val="auto"/>
              </w:rPr>
              <w:t>C/O 81 Kings Road, London, SW3 4XN</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800" w:type="dxa"/>
            <w:vAlign w:val="bottom"/>
          </w:tcPr>
          <w:p>
            <w:pPr>
              <w:ind w:left="420"/>
              <w:spacing w:after="0"/>
              <w:rPr>
                <w:sz w:val="20"/>
                <w:szCs w:val="20"/>
                <w:color w:val="auto"/>
              </w:rPr>
            </w:pPr>
            <w:r>
              <w:rPr>
                <w:rFonts w:ascii="Arial" w:cs="Arial" w:eastAsia="Arial" w:hAnsi="Arial"/>
                <w:sz w:val="18"/>
                <w:szCs w:val="18"/>
                <w:color w:val="auto"/>
                <w:w w:val="99"/>
              </w:rPr>
              <w:t>Trust Company Complex, Ajeltake Road, Ajeltake Island, Majuro, Marshall Islands MH96960</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800" w:type="dxa"/>
            <w:vAlign w:val="bottom"/>
          </w:tcPr>
          <w:p>
            <w:pPr>
              <w:ind w:left="420"/>
              <w:spacing w:after="0"/>
              <w:rPr>
                <w:sz w:val="20"/>
                <w:szCs w:val="20"/>
                <w:color w:val="auto"/>
              </w:rPr>
            </w:pPr>
            <w:r>
              <w:rPr>
                <w:rFonts w:ascii="Arial" w:cs="Arial" w:eastAsia="Arial" w:hAnsi="Arial"/>
                <w:sz w:val="18"/>
                <w:szCs w:val="18"/>
                <w:color w:val="auto"/>
                <w:w w:val="90"/>
              </w:rPr>
              <w:t>Alastair Maxwell, c/o Gaslog Monaco SAM, Gildo Pastor Center, 7, rue du Gabian, MC98000, Monaco</w:t>
            </w:r>
          </w:p>
        </w:tc>
      </w:tr>
      <w:tr>
        <w:trPr>
          <w:trHeight w:val="432"/>
        </w:trPr>
        <w:tc>
          <w:tcPr>
            <w:tcW w:w="3760" w:type="dxa"/>
            <w:vAlign w:val="bottom"/>
          </w:tcPr>
          <w:p>
            <w:pPr>
              <w:spacing w:after="0"/>
              <w:rPr>
                <w:sz w:val="24"/>
                <w:szCs w:val="24"/>
                <w:color w:val="auto"/>
              </w:rPr>
            </w:pPr>
          </w:p>
        </w:tc>
        <w:tc>
          <w:tcPr>
            <w:tcW w:w="7800" w:type="dxa"/>
            <w:vAlign w:val="bottom"/>
          </w:tcPr>
          <w:p>
            <w:pPr>
              <w:ind w:left="1900"/>
              <w:spacing w:after="0"/>
              <w:rPr>
                <w:sz w:val="20"/>
                <w:szCs w:val="20"/>
                <w:color w:val="auto"/>
              </w:rPr>
            </w:pPr>
            <w:r>
              <w:rPr>
                <w:rFonts w:ascii="Arial" w:cs="Arial" w:eastAsia="Arial" w:hAnsi="Arial"/>
                <w:sz w:val="18"/>
                <w:szCs w:val="18"/>
                <w:color w:val="auto"/>
              </w:rPr>
              <w:t>148</w:t>
            </w:r>
          </w:p>
        </w:tc>
      </w:tr>
      <w:tr>
        <w:trPr>
          <w:trHeight w:val="228"/>
        </w:trPr>
        <w:tc>
          <w:tcPr>
            <w:tcW w:w="376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67" w:name="page368"/>
    <w:bookmarkEnd w:id="367"/>
    <w:p>
      <w:pPr>
        <w:jc w:val="center"/>
        <w:ind w:right="20"/>
        <w:spacing w:after="0"/>
        <w:rPr>
          <w:sz w:val="20"/>
          <w:szCs w:val="20"/>
          <w:color w:val="auto"/>
        </w:rPr>
      </w:pPr>
      <w:r>
        <w:rPr>
          <w:rFonts w:ascii="Arial" w:cs="Arial" w:eastAsia="Arial" w:hAnsi="Arial"/>
          <w:sz w:val="15"/>
          <w:szCs w:val="15"/>
          <w:b w:val="1"/>
          <w:bCs w:val="1"/>
          <w:color w:val="auto"/>
        </w:rPr>
        <w:t>GasLog Holdings</w:t>
      </w:r>
    </w:p>
    <w:p>
      <w:pPr>
        <w:sectPr>
          <w:pgSz w:w="11900" w:h="16838" w:orient="portrait"/>
          <w:cols w:equalWidth="0" w:num="1">
            <w:col w:w="11560"/>
          </w:cols>
          <w:pgMar w:left="160" w:top="261" w:right="17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Registration number </w:t>
      </w:r>
      <w:r>
        <w:rPr>
          <w:rFonts w:ascii="Arial" w:cs="Arial" w:eastAsia="Arial" w:hAnsi="Arial"/>
          <w:sz w:val="16"/>
          <w:szCs w:val="16"/>
          <w:color w:val="auto"/>
        </w:rPr>
        <w:t>(</w:t>
      </w:r>
      <w:r>
        <w:rPr>
          <w:rFonts w:ascii="Arial" w:cs="Arial" w:eastAsia="Arial" w:hAnsi="Arial"/>
          <w:sz w:val="16"/>
          <w:szCs w:val="16"/>
          <w:b w:val="1"/>
          <w:bCs w:val="1"/>
          <w:color w:val="auto"/>
        </w:rPr>
        <w:t>or equivalent, if any</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English process agent </w:t>
      </w:r>
      <w:r>
        <w:rPr>
          <w:rFonts w:ascii="Arial" w:cs="Arial" w:eastAsia="Arial" w:hAnsi="Arial"/>
          <w:sz w:val="15"/>
          <w:szCs w:val="15"/>
          <w:color w:val="auto"/>
        </w:rPr>
        <w:t>(</w:t>
      </w:r>
      <w:r>
        <w:rPr>
          <w:rFonts w:ascii="Arial" w:cs="Arial" w:eastAsia="Arial" w:hAnsi="Arial"/>
          <w:sz w:val="15"/>
          <w:szCs w:val="15"/>
          <w:b w:val="1"/>
          <w:bCs w:val="1"/>
          <w:color w:val="auto"/>
        </w:rPr>
        <w:t>if not incorporated in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Holdings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962930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GasLog Services UK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81 Kings Road, London, SW3 4XN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Trust Company Complex, Ajeltake Road, Ajeltake Island, Majuro, Marshall Islands MH96960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 c/o Gaslog Monaco SAM, Gildo Pastor Center, 7, rue du Gabian, MC98000, Monaco</w:t>
      </w:r>
    </w:p>
    <w:p>
      <w:pPr>
        <w:spacing w:after="0" w:line="216" w:lineRule="exact"/>
        <w:rPr>
          <w:sz w:val="20"/>
          <w:szCs w:val="20"/>
          <w:color w:val="auto"/>
        </w:rPr>
      </w:pPr>
    </w:p>
    <w:p>
      <w:pPr>
        <w:sectPr>
          <w:pgSz w:w="11900" w:h="16838" w:orient="portrait"/>
          <w:cols w:equalWidth="0" w:num="2">
            <w:col w:w="3460" w:space="720"/>
            <w:col w:w="7380"/>
          </w:cols>
          <w:pgMar w:left="160" w:top="261" w:right="179" w:bottom="1440" w:gutter="0" w:footer="0" w:header="0"/>
          <w:type w:val="continuous"/>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The Original Lenders</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100" w:type="dxa"/>
            <w:vAlign w:val="bottom"/>
            <w:gridSpan w:val="2"/>
          </w:tcPr>
          <w:p>
            <w:pPr>
              <w:ind w:left="420"/>
              <w:spacing w:after="0"/>
              <w:rPr>
                <w:sz w:val="20"/>
                <w:szCs w:val="20"/>
                <w:color w:val="auto"/>
              </w:rPr>
            </w:pPr>
            <w:r>
              <w:rPr>
                <w:rFonts w:ascii="Arial" w:cs="Arial" w:eastAsia="Arial" w:hAnsi="Arial"/>
                <w:sz w:val="18"/>
                <w:szCs w:val="18"/>
                <w:b w:val="1"/>
                <w:bCs w:val="1"/>
                <w:color w:val="auto"/>
              </w:rPr>
              <w:t>Credit Suisse AG</w:t>
            </w:r>
          </w:p>
        </w:tc>
        <w:tc>
          <w:tcPr>
            <w:tcW w:w="0" w:type="dxa"/>
            <w:vAlign w:val="bottom"/>
          </w:tcPr>
          <w:p>
            <w:pPr>
              <w:spacing w:after="0"/>
              <w:rPr>
                <w:sz w:val="1"/>
                <w:szCs w:val="1"/>
                <w:color w:val="auto"/>
              </w:rPr>
            </w:pPr>
          </w:p>
        </w:tc>
      </w:tr>
      <w:tr>
        <w:trPr>
          <w:trHeight w:val="447"/>
        </w:trPr>
        <w:tc>
          <w:tcPr>
            <w:tcW w:w="3440" w:type="dxa"/>
            <w:vAlign w:val="bottom"/>
          </w:tcPr>
          <w:p>
            <w:pPr>
              <w:spacing w:after="0"/>
              <w:rPr>
                <w:sz w:val="20"/>
                <w:szCs w:val="20"/>
                <w:color w:val="auto"/>
              </w:rPr>
            </w:pPr>
            <w:r>
              <w:rPr>
                <w:rFonts w:ascii="Arial" w:cs="Arial" w:eastAsia="Arial" w:hAnsi="Arial"/>
                <w:sz w:val="18"/>
                <w:szCs w:val="18"/>
                <w:b w:val="1"/>
                <w:bCs w:val="1"/>
                <w:color w:val="auto"/>
              </w:rPr>
              <w:t>Facility Office, address, fax number and</w:t>
            </w:r>
          </w:p>
        </w:tc>
        <w:tc>
          <w:tcPr>
            <w:tcW w:w="1500" w:type="dxa"/>
            <w:vAlign w:val="bottom"/>
          </w:tcPr>
          <w:p>
            <w:pPr>
              <w:ind w:left="420"/>
              <w:spacing w:after="0"/>
              <w:rPr>
                <w:sz w:val="20"/>
                <w:szCs w:val="20"/>
                <w:color w:val="auto"/>
              </w:rPr>
            </w:pPr>
            <w:r>
              <w:rPr>
                <w:rFonts w:ascii="Arial" w:cs="Arial" w:eastAsia="Arial" w:hAnsi="Arial"/>
                <w:sz w:val="18"/>
                <w:szCs w:val="18"/>
                <w:color w:val="auto"/>
                <w:w w:val="93"/>
              </w:rPr>
              <w:t>Facility Office:</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1500" w:type="dxa"/>
            <w:vAlign w:val="bottom"/>
            <w:vMerge w:val="restart"/>
          </w:tcPr>
          <w:p>
            <w:pPr>
              <w:ind w:left="420"/>
              <w:spacing w:after="0"/>
              <w:rPr>
                <w:sz w:val="20"/>
                <w:szCs w:val="20"/>
                <w:color w:val="auto"/>
              </w:rPr>
            </w:pPr>
            <w:r>
              <w:rPr>
                <w:rFonts w:ascii="Arial" w:cs="Arial" w:eastAsia="Arial" w:hAnsi="Arial"/>
                <w:sz w:val="18"/>
                <w:szCs w:val="18"/>
                <w:color w:val="auto"/>
              </w:rPr>
              <w:t>Address:</w:t>
            </w:r>
          </w:p>
        </w:tc>
        <w:tc>
          <w:tcPr>
            <w:tcW w:w="3600" w:type="dxa"/>
            <w:vAlign w:val="bottom"/>
            <w:vMerge w:val="restart"/>
          </w:tcPr>
          <w:p>
            <w:pPr>
              <w:ind w:left="1080"/>
              <w:spacing w:after="0"/>
              <w:rPr>
                <w:sz w:val="20"/>
                <w:szCs w:val="20"/>
                <w:color w:val="auto"/>
              </w:rPr>
            </w:pPr>
            <w:r>
              <w:rPr>
                <w:rFonts w:ascii="Arial" w:cs="Arial" w:eastAsia="Arial" w:hAnsi="Arial"/>
                <w:sz w:val="18"/>
                <w:szCs w:val="18"/>
                <w:color w:val="auto"/>
              </w:rPr>
              <w:t>St. Alban-Graben 1-3</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0" w:type="dxa"/>
            <w:vAlign w:val="bottom"/>
          </w:tcPr>
          <w:p>
            <w:pPr>
              <w:ind w:left="1080"/>
              <w:spacing w:after="0"/>
              <w:rPr>
                <w:sz w:val="20"/>
                <w:szCs w:val="20"/>
                <w:color w:val="auto"/>
              </w:rPr>
            </w:pPr>
            <w:r>
              <w:rPr>
                <w:rFonts w:ascii="Arial" w:cs="Arial" w:eastAsia="Arial" w:hAnsi="Arial"/>
                <w:sz w:val="18"/>
                <w:szCs w:val="18"/>
                <w:color w:val="auto"/>
              </w:rPr>
              <w:t>4051 Basel</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ind w:left="10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1500" w:type="dxa"/>
            <w:vAlign w:val="bottom"/>
          </w:tcPr>
          <w:p>
            <w:pPr>
              <w:ind w:left="420"/>
              <w:spacing w:after="0"/>
              <w:rPr>
                <w:sz w:val="20"/>
                <w:szCs w:val="20"/>
                <w:color w:val="auto"/>
              </w:rPr>
            </w:pPr>
            <w:r>
              <w:rPr>
                <w:rFonts w:ascii="Arial" w:cs="Arial" w:eastAsia="Arial" w:hAnsi="Arial"/>
                <w:sz w:val="18"/>
                <w:szCs w:val="18"/>
                <w:color w:val="auto"/>
              </w:rPr>
              <w:t>Fax:</w:t>
            </w:r>
          </w:p>
        </w:tc>
        <w:tc>
          <w:tcPr>
            <w:tcW w:w="3600" w:type="dxa"/>
            <w:vAlign w:val="bottom"/>
          </w:tcPr>
          <w:p>
            <w:pPr>
              <w:ind w:left="1080"/>
              <w:spacing w:after="0"/>
              <w:rPr>
                <w:sz w:val="20"/>
                <w:szCs w:val="20"/>
                <w:color w:val="auto"/>
              </w:rPr>
            </w:pPr>
            <w:r>
              <w:rPr>
                <w:rFonts w:ascii="Arial" w:cs="Arial" w:eastAsia="Arial" w:hAnsi="Arial"/>
                <w:sz w:val="18"/>
                <w:szCs w:val="18"/>
                <w:color w:val="auto"/>
              </w:rPr>
              <w:t>+41 61 266 79 39</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150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3600" w:type="dxa"/>
            <w:vAlign w:val="bottom"/>
          </w:tcPr>
          <w:p>
            <w:pPr>
              <w:ind w:left="1080"/>
              <w:spacing w:after="0"/>
              <w:rPr>
                <w:sz w:val="20"/>
                <w:szCs w:val="20"/>
                <w:color w:val="auto"/>
              </w:rPr>
            </w:pPr>
            <w:r>
              <w:rPr>
                <w:rFonts w:ascii="Arial" w:cs="Arial" w:eastAsia="Arial" w:hAnsi="Arial"/>
                <w:sz w:val="18"/>
                <w:szCs w:val="18"/>
                <w:color w:val="auto"/>
                <w:w w:val="89"/>
              </w:rPr>
              <w:t>Ship Finance/Loans Administration</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Commitment ($)</w:t>
            </w:r>
          </w:p>
        </w:tc>
        <w:tc>
          <w:tcPr>
            <w:tcW w:w="1500" w:type="dxa"/>
            <w:vAlign w:val="bottom"/>
          </w:tcPr>
          <w:p>
            <w:pPr>
              <w:ind w:left="420"/>
              <w:spacing w:after="0"/>
              <w:rPr>
                <w:sz w:val="20"/>
                <w:szCs w:val="20"/>
                <w:color w:val="auto"/>
              </w:rPr>
            </w:pPr>
            <w:r>
              <w:rPr>
                <w:rFonts w:ascii="Arial" w:cs="Arial" w:eastAsia="Arial" w:hAnsi="Arial"/>
                <w:sz w:val="18"/>
                <w:szCs w:val="18"/>
                <w:color w:val="auto"/>
              </w:rPr>
              <w:t>300,000,000</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20" w:type="dxa"/>
            <w:vAlign w:val="bottom"/>
            <w:gridSpan w:val="2"/>
          </w:tcPr>
          <w:p>
            <w:pPr>
              <w:ind w:left="420"/>
              <w:spacing w:after="0"/>
              <w:rPr>
                <w:sz w:val="20"/>
                <w:szCs w:val="20"/>
                <w:color w:val="auto"/>
              </w:rPr>
            </w:pPr>
            <w:r>
              <w:rPr>
                <w:rFonts w:ascii="Arial" w:cs="Arial" w:eastAsia="Arial" w:hAnsi="Arial"/>
                <w:sz w:val="18"/>
                <w:szCs w:val="18"/>
                <w:b w:val="1"/>
                <w:bCs w:val="1"/>
                <w:color w:val="auto"/>
              </w:rPr>
              <w:t>Nordea Bank Abp, Filial I Norge</w:t>
            </w:r>
          </w:p>
        </w:tc>
        <w:tc>
          <w:tcPr>
            <w:tcW w:w="0" w:type="dxa"/>
            <w:vAlign w:val="bottom"/>
          </w:tcPr>
          <w:p>
            <w:pPr>
              <w:spacing w:after="0"/>
              <w:rPr>
                <w:sz w:val="1"/>
                <w:szCs w:val="1"/>
                <w:color w:val="auto"/>
              </w:rPr>
            </w:pPr>
          </w:p>
        </w:tc>
      </w:tr>
      <w:tr>
        <w:trPr>
          <w:trHeight w:val="447"/>
        </w:trPr>
        <w:tc>
          <w:tcPr>
            <w:tcW w:w="3440" w:type="dxa"/>
            <w:vAlign w:val="bottom"/>
          </w:tcPr>
          <w:p>
            <w:pPr>
              <w:spacing w:after="0"/>
              <w:rPr>
                <w:sz w:val="20"/>
                <w:szCs w:val="20"/>
                <w:color w:val="auto"/>
              </w:rPr>
            </w:pPr>
            <w:r>
              <w:rPr>
                <w:rFonts w:ascii="Arial" w:cs="Arial" w:eastAsia="Arial" w:hAnsi="Arial"/>
                <w:sz w:val="18"/>
                <w:szCs w:val="18"/>
                <w:b w:val="1"/>
                <w:bCs w:val="1"/>
                <w:color w:val="auto"/>
              </w:rPr>
              <w:t>Facility Office, address, fax number and</w:t>
            </w:r>
          </w:p>
        </w:tc>
        <w:tc>
          <w:tcPr>
            <w:tcW w:w="2540" w:type="dxa"/>
            <w:vAlign w:val="bottom"/>
          </w:tcPr>
          <w:p>
            <w:pPr>
              <w:ind w:left="420"/>
              <w:spacing w:after="0"/>
              <w:rPr>
                <w:sz w:val="20"/>
                <w:szCs w:val="20"/>
                <w:color w:val="auto"/>
              </w:rPr>
            </w:pPr>
            <w:r>
              <w:rPr>
                <w:rFonts w:ascii="Arial" w:cs="Arial" w:eastAsia="Arial" w:hAnsi="Arial"/>
                <w:sz w:val="18"/>
                <w:szCs w:val="18"/>
                <w:color w:val="auto"/>
              </w:rPr>
              <w:t>Facility Office:</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2540" w:type="dxa"/>
            <w:vAlign w:val="bottom"/>
            <w:vMerge w:val="restart"/>
          </w:tcPr>
          <w:p>
            <w:pPr>
              <w:ind w:left="420"/>
              <w:spacing w:after="0"/>
              <w:rPr>
                <w:sz w:val="20"/>
                <w:szCs w:val="20"/>
                <w:color w:val="auto"/>
              </w:rPr>
            </w:pPr>
            <w:r>
              <w:rPr>
                <w:rFonts w:ascii="Arial" w:cs="Arial" w:eastAsia="Arial" w:hAnsi="Arial"/>
                <w:sz w:val="18"/>
                <w:szCs w:val="18"/>
                <w:color w:val="auto"/>
              </w:rPr>
              <w:t>Address:</w:t>
            </w:r>
          </w:p>
        </w:tc>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Essendrops gate 7,</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2540" w:type="dxa"/>
            <w:vAlign w:val="bottom"/>
            <w:vMerge w:val="continue"/>
          </w:tcPr>
          <w:p>
            <w:pPr>
              <w:spacing w:after="0"/>
              <w:rPr>
                <w:sz w:val="18"/>
                <w:szCs w:val="18"/>
                <w:color w:val="auto"/>
              </w:rPr>
            </w:pPr>
          </w:p>
        </w:tc>
        <w:tc>
          <w:tcPr>
            <w:tcW w:w="5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0368 Oslo,</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w w:val="94"/>
              </w:rPr>
              <w:t>Operations/Administrations:</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40" w:type="dxa"/>
            <w:vAlign w:val="bottom"/>
          </w:tcPr>
          <w:p>
            <w:pPr>
              <w:spacing w:after="0"/>
              <w:rPr>
                <w:sz w:val="24"/>
                <w:szCs w:val="24"/>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rPr>
              <w:t>Address:</w:t>
            </w:r>
          </w:p>
        </w:tc>
        <w:tc>
          <w:tcPr>
            <w:tcW w:w="5580" w:type="dxa"/>
            <w:vAlign w:val="bottom"/>
          </w:tcPr>
          <w:p>
            <w:pPr>
              <w:ind w:left="40"/>
              <w:spacing w:after="0"/>
              <w:rPr>
                <w:sz w:val="20"/>
                <w:szCs w:val="20"/>
                <w:color w:val="auto"/>
              </w:rPr>
            </w:pPr>
            <w:r>
              <w:rPr>
                <w:rFonts w:ascii="Arial" w:cs="Arial" w:eastAsia="Arial" w:hAnsi="Arial"/>
                <w:sz w:val="18"/>
                <w:szCs w:val="18"/>
                <w:color w:val="auto"/>
              </w:rPr>
              <w:t>Essendrops gate 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0368 Oslo</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453"/>
        </w:trPr>
        <w:tc>
          <w:tcPr>
            <w:tcW w:w="3440" w:type="dxa"/>
            <w:vAlign w:val="bottom"/>
          </w:tcPr>
          <w:p>
            <w:pPr>
              <w:spacing w:after="0"/>
              <w:rPr>
                <w:sz w:val="24"/>
                <w:szCs w:val="24"/>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rPr>
              <w:t>E-mail:</w:t>
            </w:r>
          </w:p>
        </w:tc>
        <w:tc>
          <w:tcPr>
            <w:tcW w:w="5580" w:type="dxa"/>
            <w:vAlign w:val="bottom"/>
          </w:tcPr>
          <w:p>
            <w:pPr>
              <w:ind w:left="40"/>
              <w:spacing w:after="0"/>
              <w:rPr>
                <w:sz w:val="20"/>
                <w:szCs w:val="20"/>
                <w:color w:val="auto"/>
              </w:rPr>
            </w:pPr>
            <w:r>
              <w:rPr>
                <w:rFonts w:ascii="Arial" w:cs="Arial" w:eastAsia="Arial" w:hAnsi="Arial"/>
                <w:sz w:val="18"/>
                <w:szCs w:val="18"/>
                <w:color w:val="auto"/>
              </w:rPr>
              <w:t>sls.shipping.norway@nordea.com /</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agency.soosid@nordea.com</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254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5580" w:type="dxa"/>
            <w:vAlign w:val="bottom"/>
          </w:tcPr>
          <w:p>
            <w:pPr>
              <w:ind w:left="40"/>
              <w:spacing w:after="0"/>
              <w:rPr>
                <w:sz w:val="20"/>
                <w:szCs w:val="20"/>
                <w:color w:val="auto"/>
              </w:rPr>
            </w:pPr>
            <w:r>
              <w:rPr>
                <w:rFonts w:ascii="Arial" w:cs="Arial" w:eastAsia="Arial" w:hAnsi="Arial"/>
                <w:sz w:val="18"/>
                <w:szCs w:val="18"/>
                <w:color w:val="auto"/>
              </w:rPr>
              <w:t>SLS Norway / Agency Norway</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Commitment ($)</w:t>
            </w:r>
          </w:p>
        </w:tc>
        <w:tc>
          <w:tcPr>
            <w:tcW w:w="2540" w:type="dxa"/>
            <w:vAlign w:val="bottom"/>
          </w:tcPr>
          <w:p>
            <w:pPr>
              <w:ind w:left="420"/>
              <w:spacing w:after="0"/>
              <w:rPr>
                <w:sz w:val="20"/>
                <w:szCs w:val="20"/>
                <w:color w:val="auto"/>
              </w:rPr>
            </w:pPr>
            <w:r>
              <w:rPr>
                <w:rFonts w:ascii="Arial" w:cs="Arial" w:eastAsia="Arial" w:hAnsi="Arial"/>
                <w:sz w:val="18"/>
                <w:szCs w:val="18"/>
                <w:color w:val="auto"/>
              </w:rPr>
              <w:t>100,000,000</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2540" w:type="dxa"/>
            <w:vAlign w:val="bottom"/>
          </w:tcPr>
          <w:p>
            <w:pPr>
              <w:ind w:left="2220"/>
              <w:spacing w:after="0"/>
              <w:rPr>
                <w:sz w:val="20"/>
                <w:szCs w:val="20"/>
                <w:color w:val="auto"/>
              </w:rPr>
            </w:pPr>
            <w:r>
              <w:rPr>
                <w:rFonts w:ascii="Arial" w:cs="Arial" w:eastAsia="Arial" w:hAnsi="Arial"/>
                <w:sz w:val="18"/>
                <w:szCs w:val="18"/>
                <w:color w:val="auto"/>
                <w:w w:val="99"/>
              </w:rPr>
              <w:t>149</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type w:val="continuous"/>
        </w:sectPr>
      </w:pPr>
    </w:p>
    <w:bookmarkStart w:id="368" w:name="page369"/>
    <w:bookmarkEnd w:id="368"/>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660" w:type="dxa"/>
            <w:vAlign w:val="bottom"/>
            <w:gridSpan w:val="2"/>
          </w:tcPr>
          <w:p>
            <w:pPr>
              <w:ind w:left="420"/>
              <w:spacing w:after="0"/>
              <w:rPr>
                <w:sz w:val="20"/>
                <w:szCs w:val="20"/>
                <w:color w:val="auto"/>
              </w:rPr>
            </w:pPr>
            <w:r>
              <w:rPr>
                <w:rFonts w:ascii="Arial" w:cs="Arial" w:eastAsia="Arial" w:hAnsi="Arial"/>
                <w:sz w:val="18"/>
                <w:szCs w:val="18"/>
                <w:b w:val="1"/>
                <w:bCs w:val="1"/>
                <w:color w:val="auto"/>
              </w:rPr>
              <w:t>The IyoBank, Ltd. Singapore Branch</w:t>
            </w:r>
          </w:p>
        </w:tc>
        <w:tc>
          <w:tcPr>
            <w:tcW w:w="0" w:type="dxa"/>
            <w:vAlign w:val="bottom"/>
          </w:tcPr>
          <w:p>
            <w:pPr>
              <w:spacing w:after="0"/>
              <w:rPr>
                <w:sz w:val="1"/>
                <w:szCs w:val="1"/>
                <w:color w:val="auto"/>
              </w:rPr>
            </w:pPr>
          </w:p>
        </w:tc>
      </w:tr>
      <w:tr>
        <w:trPr>
          <w:trHeight w:val="447"/>
        </w:trPr>
        <w:tc>
          <w:tcPr>
            <w:tcW w:w="3440" w:type="dxa"/>
            <w:vAlign w:val="bottom"/>
          </w:tcPr>
          <w:p>
            <w:pPr>
              <w:spacing w:after="0"/>
              <w:rPr>
                <w:sz w:val="20"/>
                <w:szCs w:val="20"/>
                <w:color w:val="auto"/>
              </w:rPr>
            </w:pPr>
            <w:r>
              <w:rPr>
                <w:rFonts w:ascii="Arial" w:cs="Arial" w:eastAsia="Arial" w:hAnsi="Arial"/>
                <w:sz w:val="18"/>
                <w:szCs w:val="18"/>
                <w:b w:val="1"/>
                <w:bCs w:val="1"/>
                <w:color w:val="auto"/>
              </w:rPr>
              <w:t>Facility Office, address, fax number and</w:t>
            </w:r>
          </w:p>
        </w:tc>
        <w:tc>
          <w:tcPr>
            <w:tcW w:w="2040" w:type="dxa"/>
            <w:vAlign w:val="bottom"/>
          </w:tcPr>
          <w:p>
            <w:pPr>
              <w:ind w:left="420"/>
              <w:spacing w:after="0"/>
              <w:rPr>
                <w:sz w:val="20"/>
                <w:szCs w:val="20"/>
                <w:color w:val="auto"/>
              </w:rPr>
            </w:pPr>
            <w:r>
              <w:rPr>
                <w:rFonts w:ascii="Arial" w:cs="Arial" w:eastAsia="Arial" w:hAnsi="Arial"/>
                <w:sz w:val="18"/>
                <w:szCs w:val="18"/>
                <w:color w:val="auto"/>
              </w:rPr>
              <w:t>Facility Office: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2040" w:type="dxa"/>
            <w:vAlign w:val="bottom"/>
            <w:vMerge w:val="restart"/>
          </w:tcPr>
          <w:p>
            <w:pPr>
              <w:ind w:left="420"/>
              <w:spacing w:after="0"/>
              <w:rPr>
                <w:sz w:val="20"/>
                <w:szCs w:val="20"/>
                <w:color w:val="auto"/>
              </w:rPr>
            </w:pPr>
            <w:r>
              <w:rPr>
                <w:rFonts w:ascii="Arial" w:cs="Arial" w:eastAsia="Arial" w:hAnsi="Arial"/>
                <w:sz w:val="18"/>
                <w:szCs w:val="18"/>
                <w:color w:val="auto"/>
              </w:rPr>
              <w:t>Address:</w:t>
            </w:r>
          </w:p>
        </w:tc>
        <w:tc>
          <w:tcPr>
            <w:tcW w:w="2620" w:type="dxa"/>
            <w:vAlign w:val="bottom"/>
            <w:vMerge w:val="restart"/>
          </w:tcPr>
          <w:p>
            <w:pPr>
              <w:ind w:left="540"/>
              <w:spacing w:after="0"/>
              <w:rPr>
                <w:sz w:val="20"/>
                <w:szCs w:val="20"/>
                <w:color w:val="auto"/>
              </w:rPr>
            </w:pPr>
            <w:r>
              <w:rPr>
                <w:rFonts w:ascii="Arial" w:cs="Arial" w:eastAsia="Arial" w:hAnsi="Arial"/>
                <w:sz w:val="18"/>
                <w:szCs w:val="18"/>
                <w:color w:val="auto"/>
              </w:rPr>
              <w:t>8 Marina View #15-02</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20" w:type="dxa"/>
            <w:vAlign w:val="bottom"/>
          </w:tcPr>
          <w:p>
            <w:pPr>
              <w:ind w:left="540"/>
              <w:spacing w:after="0"/>
              <w:rPr>
                <w:sz w:val="20"/>
                <w:szCs w:val="20"/>
                <w:color w:val="auto"/>
              </w:rPr>
            </w:pPr>
            <w:r>
              <w:rPr>
                <w:rFonts w:ascii="Arial" w:cs="Arial" w:eastAsia="Arial" w:hAnsi="Arial"/>
                <w:sz w:val="18"/>
                <w:szCs w:val="18"/>
                <w:color w:val="auto"/>
              </w:rPr>
              <w:t>Asia Square Tower 1</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20" w:type="dxa"/>
            <w:vAlign w:val="bottom"/>
          </w:tcPr>
          <w:p>
            <w:pPr>
              <w:ind w:left="540"/>
              <w:spacing w:after="0"/>
              <w:rPr>
                <w:sz w:val="20"/>
                <w:szCs w:val="20"/>
                <w:color w:val="auto"/>
              </w:rPr>
            </w:pPr>
            <w:r>
              <w:rPr>
                <w:rFonts w:ascii="Arial" w:cs="Arial" w:eastAsia="Arial" w:hAnsi="Arial"/>
                <w:sz w:val="18"/>
                <w:szCs w:val="18"/>
                <w:color w:val="auto"/>
              </w:rPr>
              <w:t>Singapore 018960</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2040" w:type="dxa"/>
            <w:vAlign w:val="bottom"/>
          </w:tcPr>
          <w:p>
            <w:pPr>
              <w:ind w:left="420"/>
              <w:spacing w:after="0"/>
              <w:rPr>
                <w:sz w:val="20"/>
                <w:szCs w:val="20"/>
                <w:color w:val="auto"/>
              </w:rPr>
            </w:pPr>
            <w:r>
              <w:rPr>
                <w:rFonts w:ascii="Arial" w:cs="Arial" w:eastAsia="Arial" w:hAnsi="Arial"/>
                <w:sz w:val="18"/>
                <w:szCs w:val="18"/>
                <w:color w:val="auto"/>
              </w:rPr>
              <w:t>E-mail:</w:t>
            </w:r>
          </w:p>
        </w:tc>
        <w:tc>
          <w:tcPr>
            <w:tcW w:w="2620" w:type="dxa"/>
            <w:vAlign w:val="bottom"/>
          </w:tcPr>
          <w:p>
            <w:pPr>
              <w:ind w:left="540"/>
              <w:spacing w:after="0"/>
              <w:rPr>
                <w:sz w:val="20"/>
                <w:szCs w:val="20"/>
                <w:color w:val="auto"/>
              </w:rPr>
            </w:pPr>
            <w:r>
              <w:rPr>
                <w:rFonts w:ascii="Arial" w:cs="Arial" w:eastAsia="Arial" w:hAnsi="Arial"/>
                <w:sz w:val="18"/>
                <w:szCs w:val="18"/>
                <w:color w:val="auto"/>
                <w:w w:val="91"/>
              </w:rPr>
              <w:t>iyo812fnj52p@iyobank.co.jp</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204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2620" w:type="dxa"/>
            <w:vAlign w:val="bottom"/>
          </w:tcPr>
          <w:p>
            <w:pPr>
              <w:ind w:left="540"/>
              <w:spacing w:after="0"/>
              <w:rPr>
                <w:sz w:val="20"/>
                <w:szCs w:val="20"/>
                <w:color w:val="auto"/>
              </w:rPr>
            </w:pPr>
            <w:r>
              <w:rPr>
                <w:rFonts w:ascii="Arial" w:cs="Arial" w:eastAsia="Arial" w:hAnsi="Arial"/>
                <w:sz w:val="18"/>
                <w:szCs w:val="18"/>
                <w:color w:val="auto"/>
              </w:rPr>
              <w:t>Takeki Suzuki</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Commitment ($)</w:t>
            </w:r>
          </w:p>
        </w:tc>
        <w:tc>
          <w:tcPr>
            <w:tcW w:w="2040" w:type="dxa"/>
            <w:vAlign w:val="bottom"/>
          </w:tcPr>
          <w:p>
            <w:pPr>
              <w:ind w:left="420"/>
              <w:spacing w:after="0"/>
              <w:rPr>
                <w:sz w:val="20"/>
                <w:szCs w:val="20"/>
                <w:color w:val="auto"/>
              </w:rPr>
            </w:pPr>
            <w:r>
              <w:rPr>
                <w:rFonts w:ascii="Arial" w:cs="Arial" w:eastAsia="Arial" w:hAnsi="Arial"/>
                <w:sz w:val="18"/>
                <w:szCs w:val="18"/>
                <w:color w:val="auto"/>
              </w:rPr>
              <w:t>50,000,000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560" w:type="dxa"/>
            <w:vAlign w:val="bottom"/>
          </w:tcPr>
          <w:p>
            <w:pPr>
              <w:ind w:left="420"/>
              <w:spacing w:after="0"/>
              <w:rPr>
                <w:sz w:val="20"/>
                <w:szCs w:val="20"/>
                <w:color w:val="auto"/>
              </w:rPr>
            </w:pPr>
            <w:r>
              <w:rPr>
                <w:rFonts w:ascii="Arial" w:cs="Arial" w:eastAsia="Arial" w:hAnsi="Arial"/>
                <w:sz w:val="18"/>
                <w:szCs w:val="18"/>
                <w:b w:val="1"/>
                <w:bCs w:val="1"/>
                <w:color w:val="auto"/>
              </w:rPr>
              <w:t>The Agent</w:t>
            </w: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080" w:type="dxa"/>
            <w:vAlign w:val="bottom"/>
            <w:gridSpan w:val="2"/>
          </w:tcPr>
          <w:p>
            <w:pPr>
              <w:ind w:left="420"/>
              <w:spacing w:after="0"/>
              <w:rPr>
                <w:sz w:val="20"/>
                <w:szCs w:val="20"/>
                <w:color w:val="auto"/>
              </w:rPr>
            </w:pPr>
            <w:r>
              <w:rPr>
                <w:rFonts w:ascii="Arial" w:cs="Arial" w:eastAsia="Arial" w:hAnsi="Arial"/>
                <w:sz w:val="18"/>
                <w:szCs w:val="18"/>
                <w:b w:val="1"/>
                <w:bCs w:val="1"/>
                <w:color w:val="auto"/>
              </w:rPr>
              <w:t>Nordea Bank Abp, filial i Norge</w:t>
            </w:r>
          </w:p>
        </w:tc>
      </w:tr>
      <w:tr>
        <w:trPr>
          <w:trHeight w:val="447"/>
        </w:trPr>
        <w:tc>
          <w:tcPr>
            <w:tcW w:w="3440" w:type="dxa"/>
            <w:vAlign w:val="bottom"/>
          </w:tcPr>
          <w:p>
            <w:pPr>
              <w:spacing w:after="0"/>
              <w:rPr>
                <w:sz w:val="20"/>
                <w:szCs w:val="20"/>
                <w:color w:val="auto"/>
              </w:rPr>
            </w:pPr>
            <w:r>
              <w:rPr>
                <w:rFonts w:ascii="Arial" w:cs="Arial" w:eastAsia="Arial" w:hAnsi="Arial"/>
                <w:sz w:val="18"/>
                <w:szCs w:val="18"/>
                <w:b w:val="1"/>
                <w:bCs w:val="1"/>
                <w:color w:val="auto"/>
              </w:rPr>
              <w:t>Facility Office, address, fax number and</w:t>
            </w:r>
          </w:p>
        </w:tc>
        <w:tc>
          <w:tcPr>
            <w:tcW w:w="1520" w:type="dxa"/>
            <w:vAlign w:val="bottom"/>
          </w:tcPr>
          <w:p>
            <w:pPr>
              <w:ind w:left="420"/>
              <w:spacing w:after="0"/>
              <w:rPr>
                <w:sz w:val="20"/>
                <w:szCs w:val="20"/>
                <w:color w:val="auto"/>
              </w:rPr>
            </w:pPr>
            <w:r>
              <w:rPr>
                <w:rFonts w:ascii="Arial" w:cs="Arial" w:eastAsia="Arial" w:hAnsi="Arial"/>
                <w:sz w:val="18"/>
                <w:szCs w:val="18"/>
                <w:color w:val="auto"/>
              </w:rPr>
              <w:t>Address:</w:t>
            </w:r>
          </w:p>
        </w:tc>
        <w:tc>
          <w:tcPr>
            <w:tcW w:w="3560" w:type="dxa"/>
            <w:vAlign w:val="bottom"/>
          </w:tcPr>
          <w:p>
            <w:pPr>
              <w:ind w:left="1060"/>
              <w:spacing w:after="0"/>
              <w:rPr>
                <w:sz w:val="20"/>
                <w:szCs w:val="20"/>
                <w:color w:val="auto"/>
              </w:rPr>
            </w:pPr>
            <w:r>
              <w:rPr>
                <w:rFonts w:ascii="Arial" w:cs="Arial" w:eastAsia="Arial" w:hAnsi="Arial"/>
                <w:sz w:val="18"/>
                <w:szCs w:val="18"/>
                <w:color w:val="auto"/>
              </w:rPr>
              <w:t>Essendrops gate 7,</w:t>
            </w:r>
          </w:p>
        </w:tc>
      </w:tr>
      <w:tr>
        <w:trPr>
          <w:trHeight w:val="222"/>
        </w:trPr>
        <w:tc>
          <w:tcPr>
            <w:tcW w:w="344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1520" w:type="dxa"/>
            <w:vAlign w:val="bottom"/>
          </w:tcPr>
          <w:p>
            <w:pPr>
              <w:spacing w:after="0"/>
              <w:rPr>
                <w:sz w:val="19"/>
                <w:szCs w:val="19"/>
                <w:color w:val="auto"/>
              </w:rPr>
            </w:pPr>
          </w:p>
        </w:tc>
        <w:tc>
          <w:tcPr>
            <w:tcW w:w="3560" w:type="dxa"/>
            <w:vAlign w:val="bottom"/>
          </w:tcPr>
          <w:p>
            <w:pPr>
              <w:ind w:left="1060"/>
              <w:spacing w:after="0"/>
              <w:rPr>
                <w:sz w:val="20"/>
                <w:szCs w:val="20"/>
                <w:color w:val="auto"/>
              </w:rPr>
            </w:pPr>
            <w:r>
              <w:rPr>
                <w:rFonts w:ascii="Arial" w:cs="Arial" w:eastAsia="Arial" w:hAnsi="Arial"/>
                <w:sz w:val="18"/>
                <w:szCs w:val="18"/>
                <w:color w:val="auto"/>
              </w:rPr>
              <w:t>0368 Oslo,</w:t>
            </w:r>
          </w:p>
        </w:tc>
      </w:tr>
      <w:tr>
        <w:trPr>
          <w:trHeight w:val="222"/>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560" w:type="dxa"/>
            <w:vAlign w:val="bottom"/>
          </w:tcPr>
          <w:p>
            <w:pPr>
              <w:ind w:left="1060"/>
              <w:spacing w:after="0"/>
              <w:rPr>
                <w:sz w:val="20"/>
                <w:szCs w:val="20"/>
                <w:color w:val="auto"/>
              </w:rPr>
            </w:pPr>
            <w:r>
              <w:rPr>
                <w:rFonts w:ascii="Arial" w:cs="Arial" w:eastAsia="Arial" w:hAnsi="Arial"/>
                <w:sz w:val="18"/>
                <w:szCs w:val="18"/>
                <w:color w:val="auto"/>
              </w:rPr>
              <w:t>Norway</w:t>
            </w:r>
          </w:p>
        </w:tc>
      </w:tr>
      <w:tr>
        <w:trPr>
          <w:trHeight w:val="453"/>
        </w:trPr>
        <w:tc>
          <w:tcPr>
            <w:tcW w:w="3440" w:type="dxa"/>
            <w:vAlign w:val="bottom"/>
          </w:tcPr>
          <w:p>
            <w:pPr>
              <w:spacing w:after="0"/>
              <w:rPr>
                <w:sz w:val="24"/>
                <w:szCs w:val="24"/>
                <w:color w:val="auto"/>
              </w:rPr>
            </w:pPr>
          </w:p>
        </w:tc>
        <w:tc>
          <w:tcPr>
            <w:tcW w:w="1520" w:type="dxa"/>
            <w:vAlign w:val="bottom"/>
          </w:tcPr>
          <w:p>
            <w:pPr>
              <w:ind w:left="420"/>
              <w:spacing w:after="0"/>
              <w:rPr>
                <w:sz w:val="20"/>
                <w:szCs w:val="20"/>
                <w:color w:val="auto"/>
              </w:rPr>
            </w:pPr>
            <w:r>
              <w:rPr>
                <w:rFonts w:ascii="Arial" w:cs="Arial" w:eastAsia="Arial" w:hAnsi="Arial"/>
                <w:sz w:val="18"/>
                <w:szCs w:val="18"/>
                <w:color w:val="auto"/>
              </w:rPr>
              <w:t>E-mail:</w:t>
            </w:r>
          </w:p>
        </w:tc>
        <w:tc>
          <w:tcPr>
            <w:tcW w:w="3560" w:type="dxa"/>
            <w:vAlign w:val="bottom"/>
          </w:tcPr>
          <w:p>
            <w:pPr>
              <w:ind w:left="1060"/>
              <w:spacing w:after="0"/>
              <w:rPr>
                <w:sz w:val="20"/>
                <w:szCs w:val="20"/>
                <w:color w:val="auto"/>
              </w:rPr>
            </w:pPr>
            <w:r>
              <w:rPr>
                <w:rFonts w:ascii="Arial" w:cs="Arial" w:eastAsia="Arial" w:hAnsi="Arial"/>
                <w:sz w:val="18"/>
                <w:szCs w:val="18"/>
                <w:color w:val="auto"/>
                <w:w w:val="88"/>
              </w:rPr>
              <w:t>sls.shipping.norway@nordea.com /</w:t>
            </w:r>
          </w:p>
        </w:tc>
      </w:tr>
      <w:tr>
        <w:trPr>
          <w:trHeight w:val="222"/>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560" w:type="dxa"/>
            <w:vAlign w:val="bottom"/>
          </w:tcPr>
          <w:p>
            <w:pPr>
              <w:ind w:left="1060"/>
              <w:spacing w:after="0"/>
              <w:rPr>
                <w:sz w:val="20"/>
                <w:szCs w:val="20"/>
                <w:color w:val="auto"/>
              </w:rPr>
            </w:pPr>
            <w:r>
              <w:rPr>
                <w:rFonts w:ascii="Arial" w:cs="Arial" w:eastAsia="Arial" w:hAnsi="Arial"/>
                <w:sz w:val="18"/>
                <w:szCs w:val="18"/>
                <w:color w:val="auto"/>
              </w:rPr>
              <w:t>agency.soosid@nordea.com</w:t>
            </w:r>
          </w:p>
        </w:tc>
      </w:tr>
      <w:tr>
        <w:trPr>
          <w:trHeight w:val="459"/>
        </w:trPr>
        <w:tc>
          <w:tcPr>
            <w:tcW w:w="3440" w:type="dxa"/>
            <w:vAlign w:val="bottom"/>
          </w:tcPr>
          <w:p>
            <w:pPr>
              <w:spacing w:after="0"/>
              <w:rPr>
                <w:sz w:val="24"/>
                <w:szCs w:val="24"/>
                <w:color w:val="auto"/>
              </w:rPr>
            </w:pPr>
          </w:p>
        </w:tc>
        <w:tc>
          <w:tcPr>
            <w:tcW w:w="152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3560" w:type="dxa"/>
            <w:vAlign w:val="bottom"/>
          </w:tcPr>
          <w:p>
            <w:pPr>
              <w:ind w:left="1060"/>
              <w:spacing w:after="0"/>
              <w:rPr>
                <w:sz w:val="20"/>
                <w:szCs w:val="20"/>
                <w:color w:val="auto"/>
              </w:rPr>
            </w:pPr>
            <w:r>
              <w:rPr>
                <w:rFonts w:ascii="Arial" w:cs="Arial" w:eastAsia="Arial" w:hAnsi="Arial"/>
                <w:sz w:val="18"/>
                <w:szCs w:val="18"/>
                <w:color w:val="auto"/>
              </w:rPr>
              <w:t>SLS Norway / Agency Norway</w:t>
            </w:r>
          </w:p>
        </w:tc>
      </w:tr>
    </w:tbl>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00" w:type="dxa"/>
            <w:vAlign w:val="bottom"/>
          </w:tcPr>
          <w:p>
            <w:pPr>
              <w:jc w:val="center"/>
              <w:ind w:right="4592"/>
              <w:spacing w:after="0"/>
              <w:rPr>
                <w:sz w:val="20"/>
                <w:szCs w:val="20"/>
                <w:color w:val="auto"/>
              </w:rPr>
            </w:pPr>
            <w:r>
              <w:rPr>
                <w:rFonts w:ascii="Arial" w:cs="Arial" w:eastAsia="Arial" w:hAnsi="Arial"/>
                <w:sz w:val="18"/>
                <w:szCs w:val="18"/>
                <w:b w:val="1"/>
                <w:bCs w:val="1"/>
                <w:color w:val="auto"/>
                <w:w w:val="88"/>
              </w:rPr>
              <w:t>The Security Agent</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40" w:type="dxa"/>
            <w:vAlign w:val="bottom"/>
            <w:gridSpan w:val="2"/>
          </w:tcPr>
          <w:p>
            <w:pPr>
              <w:ind w:left="440"/>
              <w:spacing w:after="0"/>
              <w:rPr>
                <w:sz w:val="20"/>
                <w:szCs w:val="20"/>
                <w:color w:val="auto"/>
              </w:rPr>
            </w:pPr>
            <w:r>
              <w:rPr>
                <w:rFonts w:ascii="Arial" w:cs="Arial" w:eastAsia="Arial" w:hAnsi="Arial"/>
                <w:sz w:val="18"/>
                <w:szCs w:val="18"/>
                <w:b w:val="1"/>
                <w:bCs w:val="1"/>
                <w:color w:val="auto"/>
              </w:rPr>
              <w:t>Nordea Bank Abp, filial i Norge</w:t>
            </w:r>
          </w:p>
        </w:tc>
      </w:tr>
      <w:tr>
        <w:trPr>
          <w:trHeight w:val="447"/>
        </w:trPr>
        <w:tc>
          <w:tcPr>
            <w:tcW w:w="3420" w:type="dxa"/>
            <w:vAlign w:val="bottom"/>
          </w:tcPr>
          <w:p>
            <w:pPr>
              <w:spacing w:after="0"/>
              <w:rPr>
                <w:sz w:val="20"/>
                <w:szCs w:val="20"/>
                <w:color w:val="auto"/>
              </w:rPr>
            </w:pPr>
            <w:r>
              <w:rPr>
                <w:rFonts w:ascii="Arial" w:cs="Arial" w:eastAsia="Arial" w:hAnsi="Arial"/>
                <w:sz w:val="18"/>
                <w:szCs w:val="18"/>
                <w:b w:val="1"/>
                <w:bCs w:val="1"/>
                <w:color w:val="auto"/>
                <w:w w:val="99"/>
              </w:rPr>
              <w:t>Facility Office, address, fax number and</w:t>
            </w:r>
          </w:p>
        </w:tc>
        <w:tc>
          <w:tcPr>
            <w:tcW w:w="1240" w:type="dxa"/>
            <w:vAlign w:val="bottom"/>
          </w:tcPr>
          <w:p>
            <w:pPr>
              <w:ind w:left="440"/>
              <w:spacing w:after="0"/>
              <w:rPr>
                <w:sz w:val="20"/>
                <w:szCs w:val="20"/>
                <w:color w:val="auto"/>
              </w:rPr>
            </w:pPr>
            <w:r>
              <w:rPr>
                <w:rFonts w:ascii="Arial" w:cs="Arial" w:eastAsia="Arial" w:hAnsi="Arial"/>
                <w:sz w:val="18"/>
                <w:szCs w:val="18"/>
                <w:color w:val="auto"/>
              </w:rPr>
              <w:t>Address:</w:t>
            </w:r>
          </w:p>
        </w:tc>
        <w:tc>
          <w:tcPr>
            <w:tcW w:w="6900" w:type="dxa"/>
            <w:vAlign w:val="bottom"/>
          </w:tcPr>
          <w:p>
            <w:pPr>
              <w:ind w:left="1360"/>
              <w:spacing w:after="0"/>
              <w:rPr>
                <w:sz w:val="20"/>
                <w:szCs w:val="20"/>
                <w:color w:val="auto"/>
              </w:rPr>
            </w:pPr>
            <w:r>
              <w:rPr>
                <w:rFonts w:ascii="Arial" w:cs="Arial" w:eastAsia="Arial" w:hAnsi="Arial"/>
                <w:sz w:val="18"/>
                <w:szCs w:val="18"/>
                <w:color w:val="auto"/>
              </w:rPr>
              <w:t>Essendrops gate 7,</w:t>
            </w:r>
          </w:p>
        </w:tc>
      </w:tr>
      <w:tr>
        <w:trPr>
          <w:trHeight w:val="222"/>
        </w:trPr>
        <w:tc>
          <w:tcPr>
            <w:tcW w:w="342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1240" w:type="dxa"/>
            <w:vAlign w:val="bottom"/>
          </w:tcPr>
          <w:p>
            <w:pPr>
              <w:spacing w:after="0"/>
              <w:rPr>
                <w:sz w:val="19"/>
                <w:szCs w:val="19"/>
                <w:color w:val="auto"/>
              </w:rPr>
            </w:pPr>
          </w:p>
        </w:tc>
        <w:tc>
          <w:tcPr>
            <w:tcW w:w="6900" w:type="dxa"/>
            <w:vAlign w:val="bottom"/>
          </w:tcPr>
          <w:p>
            <w:pPr>
              <w:ind w:left="1360"/>
              <w:spacing w:after="0"/>
              <w:rPr>
                <w:sz w:val="20"/>
                <w:szCs w:val="20"/>
                <w:color w:val="auto"/>
              </w:rPr>
            </w:pPr>
            <w:r>
              <w:rPr>
                <w:rFonts w:ascii="Arial" w:cs="Arial" w:eastAsia="Arial" w:hAnsi="Arial"/>
                <w:sz w:val="18"/>
                <w:szCs w:val="18"/>
                <w:color w:val="auto"/>
              </w:rPr>
              <w:t>0368 Oslo,</w:t>
            </w:r>
          </w:p>
        </w:tc>
      </w:tr>
      <w:tr>
        <w:trPr>
          <w:trHeight w:val="222"/>
        </w:trPr>
        <w:tc>
          <w:tcPr>
            <w:tcW w:w="3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00" w:type="dxa"/>
            <w:vAlign w:val="bottom"/>
          </w:tcPr>
          <w:p>
            <w:pPr>
              <w:ind w:left="1360"/>
              <w:spacing w:after="0"/>
              <w:rPr>
                <w:sz w:val="20"/>
                <w:szCs w:val="20"/>
                <w:color w:val="auto"/>
              </w:rPr>
            </w:pPr>
            <w:r>
              <w:rPr>
                <w:rFonts w:ascii="Arial" w:cs="Arial" w:eastAsia="Arial" w:hAnsi="Arial"/>
                <w:sz w:val="18"/>
                <w:szCs w:val="18"/>
                <w:color w:val="auto"/>
              </w:rPr>
              <w:t>Norway</w:t>
            </w:r>
          </w:p>
        </w:tc>
      </w:tr>
      <w:tr>
        <w:trPr>
          <w:trHeight w:val="453"/>
        </w:trPr>
        <w:tc>
          <w:tcPr>
            <w:tcW w:w="342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E-mail:</w:t>
            </w:r>
          </w:p>
        </w:tc>
        <w:tc>
          <w:tcPr>
            <w:tcW w:w="6900" w:type="dxa"/>
            <w:vAlign w:val="bottom"/>
          </w:tcPr>
          <w:p>
            <w:pPr>
              <w:ind w:left="1360"/>
              <w:spacing w:after="0"/>
              <w:rPr>
                <w:sz w:val="20"/>
                <w:szCs w:val="20"/>
                <w:color w:val="auto"/>
              </w:rPr>
            </w:pPr>
            <w:r>
              <w:rPr>
                <w:rFonts w:ascii="Arial" w:cs="Arial" w:eastAsia="Arial" w:hAnsi="Arial"/>
                <w:sz w:val="18"/>
                <w:szCs w:val="18"/>
                <w:color w:val="auto"/>
              </w:rPr>
              <w:t>sls.shipping.norway@nordea.com /</w:t>
            </w:r>
          </w:p>
        </w:tc>
      </w:tr>
      <w:tr>
        <w:trPr>
          <w:trHeight w:val="222"/>
        </w:trPr>
        <w:tc>
          <w:tcPr>
            <w:tcW w:w="3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00" w:type="dxa"/>
            <w:vAlign w:val="bottom"/>
          </w:tcPr>
          <w:p>
            <w:pPr>
              <w:ind w:left="1360"/>
              <w:spacing w:after="0"/>
              <w:rPr>
                <w:sz w:val="20"/>
                <w:szCs w:val="20"/>
                <w:color w:val="auto"/>
              </w:rPr>
            </w:pPr>
            <w:r>
              <w:rPr>
                <w:rFonts w:ascii="Arial" w:cs="Arial" w:eastAsia="Arial" w:hAnsi="Arial"/>
                <w:sz w:val="18"/>
                <w:szCs w:val="18"/>
                <w:color w:val="auto"/>
              </w:rPr>
              <w:t>agency.soosid@nordea.com</w:t>
            </w:r>
          </w:p>
        </w:tc>
      </w:tr>
      <w:tr>
        <w:trPr>
          <w:trHeight w:val="459"/>
        </w:trPr>
        <w:tc>
          <w:tcPr>
            <w:tcW w:w="342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Attention:</w:t>
            </w:r>
          </w:p>
        </w:tc>
        <w:tc>
          <w:tcPr>
            <w:tcW w:w="6900" w:type="dxa"/>
            <w:vAlign w:val="bottom"/>
          </w:tcPr>
          <w:p>
            <w:pPr>
              <w:ind w:left="1360"/>
              <w:spacing w:after="0"/>
              <w:rPr>
                <w:sz w:val="20"/>
                <w:szCs w:val="20"/>
                <w:color w:val="auto"/>
              </w:rPr>
            </w:pPr>
            <w:r>
              <w:rPr>
                <w:rFonts w:ascii="Arial" w:cs="Arial" w:eastAsia="Arial" w:hAnsi="Arial"/>
                <w:sz w:val="18"/>
                <w:szCs w:val="18"/>
                <w:color w:val="auto"/>
              </w:rPr>
              <w:t>SLS Norway / Agency Norway</w:t>
            </w:r>
          </w:p>
        </w:tc>
      </w:tr>
      <w:tr>
        <w:trPr>
          <w:trHeight w:val="636"/>
        </w:trPr>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00" w:type="dxa"/>
            <w:vAlign w:val="bottom"/>
          </w:tcPr>
          <w:p>
            <w:pPr>
              <w:jc w:val="center"/>
              <w:ind w:right="4572"/>
              <w:spacing w:after="0"/>
              <w:rPr>
                <w:sz w:val="20"/>
                <w:szCs w:val="20"/>
                <w:color w:val="auto"/>
              </w:rPr>
            </w:pPr>
            <w:r>
              <w:rPr>
                <w:rFonts w:ascii="Arial" w:cs="Arial" w:eastAsia="Arial" w:hAnsi="Arial"/>
                <w:sz w:val="18"/>
                <w:szCs w:val="18"/>
                <w:b w:val="1"/>
                <w:bCs w:val="1"/>
                <w:color w:val="auto"/>
                <w:w w:val="90"/>
              </w:rPr>
              <w:t>The Arrangers</w:t>
            </w:r>
          </w:p>
        </w:tc>
      </w:tr>
      <w:tr>
        <w:trPr>
          <w:trHeight w:val="228"/>
        </w:trPr>
        <w:tc>
          <w:tcPr>
            <w:tcW w:w="3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00" w:type="dxa"/>
            <w:vAlign w:val="bottom"/>
          </w:tcPr>
          <w:p>
            <w:pPr>
              <w:jc w:val="center"/>
              <w:ind w:right="4592"/>
              <w:spacing w:after="0"/>
              <w:rPr>
                <w:sz w:val="20"/>
                <w:szCs w:val="20"/>
                <w:color w:val="auto"/>
              </w:rPr>
            </w:pPr>
            <w:r>
              <w:rPr>
                <w:rFonts w:ascii="Arial" w:cs="Arial" w:eastAsia="Arial" w:hAnsi="Arial"/>
                <w:sz w:val="18"/>
                <w:szCs w:val="18"/>
                <w:b w:val="1"/>
                <w:bCs w:val="1"/>
                <w:color w:val="auto"/>
                <w:w w:val="90"/>
              </w:rPr>
              <w:t>Mandated Lead Arrangers</w:t>
            </w: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40" w:type="dxa"/>
            <w:vAlign w:val="bottom"/>
            <w:gridSpan w:val="2"/>
          </w:tcPr>
          <w:p>
            <w:pPr>
              <w:ind w:left="380"/>
              <w:spacing w:after="0"/>
              <w:rPr>
                <w:sz w:val="20"/>
                <w:szCs w:val="20"/>
                <w:color w:val="auto"/>
              </w:rPr>
            </w:pPr>
            <w:r>
              <w:rPr>
                <w:rFonts w:ascii="Arial" w:cs="Arial" w:eastAsia="Arial" w:hAnsi="Arial"/>
                <w:sz w:val="18"/>
                <w:szCs w:val="18"/>
                <w:b w:val="1"/>
                <w:bCs w:val="1"/>
                <w:color w:val="auto"/>
              </w:rPr>
              <w:t>Credit Suisse AG</w:t>
            </w:r>
          </w:p>
        </w:tc>
      </w:tr>
      <w:tr>
        <w:trPr>
          <w:trHeight w:val="459"/>
        </w:trPr>
        <w:tc>
          <w:tcPr>
            <w:tcW w:w="3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Nordea Bank Abp, filial i Norge</w:t>
            </w:r>
          </w:p>
        </w:tc>
      </w:tr>
      <w:tr>
        <w:trPr>
          <w:trHeight w:val="432"/>
        </w:trPr>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00" w:type="dxa"/>
            <w:vAlign w:val="bottom"/>
          </w:tcPr>
          <w:p>
            <w:pPr>
              <w:jc w:val="center"/>
              <w:ind w:right="4552"/>
              <w:spacing w:after="0"/>
              <w:rPr>
                <w:sz w:val="20"/>
                <w:szCs w:val="20"/>
                <w:color w:val="auto"/>
              </w:rPr>
            </w:pPr>
            <w:r>
              <w:rPr>
                <w:rFonts w:ascii="Arial" w:cs="Arial" w:eastAsia="Arial" w:hAnsi="Arial"/>
                <w:sz w:val="18"/>
                <w:szCs w:val="18"/>
                <w:color w:val="auto"/>
                <w:w w:val="86"/>
              </w:rPr>
              <w:t>150</w:t>
            </w:r>
          </w:p>
        </w:tc>
      </w:tr>
      <w:tr>
        <w:trPr>
          <w:trHeight w:val="228"/>
        </w:trPr>
        <w:tc>
          <w:tcPr>
            <w:tcW w:w="3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477" w:right="17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5100" w:type="dxa"/>
            <w:vAlign w:val="bottom"/>
            <w:gridSpan w:val="2"/>
          </w:tcPr>
          <w:p>
            <w:pPr>
              <w:ind w:left="1380"/>
              <w:spacing w:after="0"/>
              <w:rPr>
                <w:sz w:val="20"/>
                <w:szCs w:val="20"/>
                <w:color w:val="auto"/>
              </w:rPr>
            </w:pPr>
            <w:r>
              <w:rPr>
                <w:rFonts w:ascii="Arial" w:cs="Arial" w:eastAsia="Arial" w:hAnsi="Arial"/>
                <w:sz w:val="18"/>
                <w:szCs w:val="18"/>
                <w:b w:val="1"/>
                <w:bCs w:val="1"/>
                <w:color w:val="auto"/>
              </w:rPr>
              <w:t>The Global Co-ordinator</w:t>
            </w: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ind w:left="420"/>
              <w:spacing w:after="0"/>
              <w:rPr>
                <w:sz w:val="20"/>
                <w:szCs w:val="20"/>
                <w:color w:val="auto"/>
              </w:rPr>
            </w:pPr>
            <w:r>
              <w:rPr>
                <w:rFonts w:ascii="Arial" w:cs="Arial" w:eastAsia="Arial" w:hAnsi="Arial"/>
                <w:sz w:val="18"/>
                <w:szCs w:val="18"/>
                <w:b w:val="1"/>
                <w:bCs w:val="1"/>
                <w:color w:val="auto"/>
              </w:rPr>
              <w:t>Credit Suisse AG</w:t>
            </w:r>
          </w:p>
        </w:tc>
        <w:tc>
          <w:tcPr>
            <w:tcW w:w="2960" w:type="dxa"/>
            <w:vAlign w:val="bottom"/>
          </w:tcPr>
          <w:p>
            <w:pPr>
              <w:spacing w:after="0"/>
              <w:rPr>
                <w:sz w:val="24"/>
                <w:szCs w:val="24"/>
                <w:color w:val="auto"/>
              </w:rPr>
            </w:pPr>
          </w:p>
        </w:tc>
      </w:tr>
      <w:tr>
        <w:trPr>
          <w:trHeight w:val="447"/>
        </w:trPr>
        <w:tc>
          <w:tcPr>
            <w:tcW w:w="3440" w:type="dxa"/>
            <w:vAlign w:val="bottom"/>
          </w:tcPr>
          <w:p>
            <w:pPr>
              <w:spacing w:after="0"/>
              <w:rPr>
                <w:sz w:val="20"/>
                <w:szCs w:val="20"/>
                <w:color w:val="auto"/>
              </w:rPr>
            </w:pPr>
            <w:r>
              <w:rPr>
                <w:rFonts w:ascii="Arial" w:cs="Arial" w:eastAsia="Arial" w:hAnsi="Arial"/>
                <w:sz w:val="18"/>
                <w:szCs w:val="18"/>
                <w:b w:val="1"/>
                <w:bCs w:val="1"/>
                <w:color w:val="auto"/>
              </w:rPr>
              <w:t>Facility Office, address, fax number and</w:t>
            </w:r>
          </w:p>
        </w:tc>
        <w:tc>
          <w:tcPr>
            <w:tcW w:w="2140" w:type="dxa"/>
            <w:vAlign w:val="bottom"/>
          </w:tcPr>
          <w:p>
            <w:pPr>
              <w:ind w:left="420"/>
              <w:spacing w:after="0"/>
              <w:rPr>
                <w:sz w:val="20"/>
                <w:szCs w:val="20"/>
                <w:color w:val="auto"/>
              </w:rPr>
            </w:pPr>
            <w:r>
              <w:rPr>
                <w:rFonts w:ascii="Arial" w:cs="Arial" w:eastAsia="Arial" w:hAnsi="Arial"/>
                <w:sz w:val="18"/>
                <w:szCs w:val="18"/>
                <w:color w:val="auto"/>
              </w:rPr>
              <w:t>Address:</w:t>
            </w:r>
          </w:p>
        </w:tc>
        <w:tc>
          <w:tcPr>
            <w:tcW w:w="2960" w:type="dxa"/>
            <w:vAlign w:val="bottom"/>
          </w:tcPr>
          <w:p>
            <w:pPr>
              <w:ind w:left="440"/>
              <w:spacing w:after="0"/>
              <w:rPr>
                <w:sz w:val="20"/>
                <w:szCs w:val="20"/>
                <w:color w:val="auto"/>
              </w:rPr>
            </w:pPr>
            <w:r>
              <w:rPr>
                <w:rFonts w:ascii="Arial" w:cs="Arial" w:eastAsia="Arial" w:hAnsi="Arial"/>
                <w:sz w:val="18"/>
                <w:szCs w:val="18"/>
                <w:color w:val="auto"/>
              </w:rPr>
              <w:t>St. Alban-Graben 1-3</w:t>
            </w:r>
          </w:p>
        </w:tc>
      </w:tr>
      <w:tr>
        <w:trPr>
          <w:trHeight w:val="222"/>
        </w:trPr>
        <w:tc>
          <w:tcPr>
            <w:tcW w:w="3440" w:type="dxa"/>
            <w:vAlign w:val="bottom"/>
          </w:tcPr>
          <w:p>
            <w:pPr>
              <w:spacing w:after="0"/>
              <w:rPr>
                <w:sz w:val="20"/>
                <w:szCs w:val="20"/>
                <w:color w:val="auto"/>
              </w:rPr>
            </w:pPr>
            <w:r>
              <w:rPr>
                <w:rFonts w:ascii="Arial" w:cs="Arial" w:eastAsia="Arial" w:hAnsi="Arial"/>
                <w:sz w:val="18"/>
                <w:szCs w:val="18"/>
                <w:b w:val="1"/>
                <w:bCs w:val="1"/>
                <w:color w:val="auto"/>
              </w:rPr>
              <w:t>attention details for notices</w:t>
            </w:r>
          </w:p>
        </w:tc>
        <w:tc>
          <w:tcPr>
            <w:tcW w:w="2140" w:type="dxa"/>
            <w:vAlign w:val="bottom"/>
          </w:tcPr>
          <w:p>
            <w:pPr>
              <w:spacing w:after="0"/>
              <w:rPr>
                <w:sz w:val="19"/>
                <w:szCs w:val="19"/>
                <w:color w:val="auto"/>
              </w:rPr>
            </w:pPr>
          </w:p>
        </w:tc>
        <w:tc>
          <w:tcPr>
            <w:tcW w:w="2960" w:type="dxa"/>
            <w:vAlign w:val="bottom"/>
          </w:tcPr>
          <w:p>
            <w:pPr>
              <w:ind w:left="440"/>
              <w:spacing w:after="0"/>
              <w:rPr>
                <w:sz w:val="20"/>
                <w:szCs w:val="20"/>
                <w:color w:val="auto"/>
              </w:rPr>
            </w:pPr>
            <w:r>
              <w:rPr>
                <w:rFonts w:ascii="Arial" w:cs="Arial" w:eastAsia="Arial" w:hAnsi="Arial"/>
                <w:sz w:val="18"/>
                <w:szCs w:val="18"/>
                <w:color w:val="auto"/>
              </w:rPr>
              <w:t>4051 Basel</w:t>
            </w:r>
          </w:p>
        </w:tc>
      </w:tr>
      <w:tr>
        <w:trPr>
          <w:trHeight w:val="222"/>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960" w:type="dxa"/>
            <w:vAlign w:val="bottom"/>
          </w:tcPr>
          <w:p>
            <w:pPr>
              <w:ind w:left="440"/>
              <w:spacing w:after="0"/>
              <w:rPr>
                <w:sz w:val="20"/>
                <w:szCs w:val="20"/>
                <w:color w:val="auto"/>
              </w:rPr>
            </w:pPr>
            <w:r>
              <w:rPr>
                <w:rFonts w:ascii="Arial" w:cs="Arial" w:eastAsia="Arial" w:hAnsi="Arial"/>
                <w:sz w:val="18"/>
                <w:szCs w:val="18"/>
                <w:color w:val="auto"/>
              </w:rPr>
              <w:t>Switzerland</w:t>
            </w:r>
          </w:p>
        </w:tc>
      </w:tr>
      <w:tr>
        <w:trPr>
          <w:trHeight w:val="459"/>
        </w:trPr>
        <w:tc>
          <w:tcPr>
            <w:tcW w:w="3440" w:type="dxa"/>
            <w:vAlign w:val="bottom"/>
          </w:tcPr>
          <w:p>
            <w:pPr>
              <w:spacing w:after="0"/>
              <w:rPr>
                <w:sz w:val="24"/>
                <w:szCs w:val="24"/>
                <w:color w:val="auto"/>
              </w:rPr>
            </w:pPr>
          </w:p>
        </w:tc>
        <w:tc>
          <w:tcPr>
            <w:tcW w:w="2140" w:type="dxa"/>
            <w:vAlign w:val="bottom"/>
          </w:tcPr>
          <w:p>
            <w:pPr>
              <w:ind w:left="420"/>
              <w:spacing w:after="0"/>
              <w:rPr>
                <w:sz w:val="20"/>
                <w:szCs w:val="20"/>
                <w:color w:val="auto"/>
              </w:rPr>
            </w:pPr>
            <w:r>
              <w:rPr>
                <w:rFonts w:ascii="Arial" w:cs="Arial" w:eastAsia="Arial" w:hAnsi="Arial"/>
                <w:sz w:val="18"/>
                <w:szCs w:val="18"/>
                <w:color w:val="auto"/>
              </w:rPr>
              <w:t>Fax:</w:t>
            </w:r>
          </w:p>
        </w:tc>
        <w:tc>
          <w:tcPr>
            <w:tcW w:w="2960" w:type="dxa"/>
            <w:vAlign w:val="bottom"/>
          </w:tcPr>
          <w:p>
            <w:pPr>
              <w:ind w:left="440"/>
              <w:spacing w:after="0"/>
              <w:rPr>
                <w:sz w:val="20"/>
                <w:szCs w:val="20"/>
                <w:color w:val="auto"/>
              </w:rPr>
            </w:pPr>
            <w:r>
              <w:rPr>
                <w:rFonts w:ascii="Arial" w:cs="Arial" w:eastAsia="Arial" w:hAnsi="Arial"/>
                <w:sz w:val="18"/>
                <w:szCs w:val="18"/>
                <w:color w:val="auto"/>
              </w:rPr>
              <w:t>+41 61 266 79 39</w:t>
            </w:r>
          </w:p>
        </w:tc>
      </w:tr>
      <w:tr>
        <w:trPr>
          <w:trHeight w:val="459"/>
        </w:trPr>
        <w:tc>
          <w:tcPr>
            <w:tcW w:w="3440" w:type="dxa"/>
            <w:vAlign w:val="bottom"/>
          </w:tcPr>
          <w:p>
            <w:pPr>
              <w:spacing w:after="0"/>
              <w:rPr>
                <w:sz w:val="24"/>
                <w:szCs w:val="24"/>
                <w:color w:val="auto"/>
              </w:rPr>
            </w:pPr>
          </w:p>
        </w:tc>
        <w:tc>
          <w:tcPr>
            <w:tcW w:w="214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2960" w:type="dxa"/>
            <w:vAlign w:val="bottom"/>
          </w:tcPr>
          <w:p>
            <w:pPr>
              <w:ind w:left="440"/>
              <w:spacing w:after="0"/>
              <w:rPr>
                <w:sz w:val="20"/>
                <w:szCs w:val="20"/>
                <w:color w:val="auto"/>
              </w:rPr>
            </w:pPr>
            <w:r>
              <w:rPr>
                <w:rFonts w:ascii="Arial" w:cs="Arial" w:eastAsia="Arial" w:hAnsi="Arial"/>
                <w:sz w:val="18"/>
                <w:szCs w:val="18"/>
                <w:color w:val="auto"/>
                <w:w w:val="89"/>
              </w:rPr>
              <w:t>Ship Finance/Loans Administration</w:t>
            </w:r>
          </w:p>
        </w:tc>
      </w:tr>
    </w:tbl>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9440" w:type="dxa"/>
            <w:vAlign w:val="bottom"/>
          </w:tcPr>
          <w:p>
            <w:pPr>
              <w:jc w:val="center"/>
              <w:ind w:right="2072"/>
              <w:spacing w:after="0"/>
              <w:rPr>
                <w:sz w:val="20"/>
                <w:szCs w:val="20"/>
                <w:color w:val="auto"/>
              </w:rPr>
            </w:pPr>
            <w:r>
              <w:rPr>
                <w:rFonts w:ascii="Arial" w:cs="Arial" w:eastAsia="Arial" w:hAnsi="Arial"/>
                <w:sz w:val="18"/>
                <w:szCs w:val="18"/>
                <w:b w:val="1"/>
                <w:bCs w:val="1"/>
                <w:color w:val="auto"/>
                <w:w w:val="88"/>
              </w:rPr>
              <w:t>The Bookrunners</w:t>
            </w:r>
          </w:p>
        </w:tc>
      </w:tr>
      <w:tr>
        <w:trPr>
          <w:trHeight w:val="432"/>
        </w:trPr>
        <w:tc>
          <w:tcPr>
            <w:tcW w:w="2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440" w:type="dxa"/>
            <w:vAlign w:val="bottom"/>
          </w:tcPr>
          <w:p>
            <w:pPr>
              <w:ind w:left="1680"/>
              <w:spacing w:after="0"/>
              <w:rPr>
                <w:sz w:val="20"/>
                <w:szCs w:val="20"/>
                <w:color w:val="auto"/>
              </w:rPr>
            </w:pPr>
            <w:r>
              <w:rPr>
                <w:rFonts w:ascii="Arial" w:cs="Arial" w:eastAsia="Arial" w:hAnsi="Arial"/>
                <w:sz w:val="18"/>
                <w:szCs w:val="18"/>
                <w:b w:val="1"/>
                <w:bCs w:val="1"/>
                <w:color w:val="auto"/>
              </w:rPr>
              <w:t>Credit Suisse AG</w:t>
            </w:r>
          </w:p>
        </w:tc>
      </w:tr>
      <w:tr>
        <w:trPr>
          <w:trHeight w:val="459"/>
        </w:trPr>
        <w:tc>
          <w:tcPr>
            <w:tcW w:w="2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440" w:type="dxa"/>
            <w:vAlign w:val="bottom"/>
          </w:tcPr>
          <w:p>
            <w:pPr>
              <w:ind w:left="1680"/>
              <w:spacing w:after="0"/>
              <w:rPr>
                <w:sz w:val="20"/>
                <w:szCs w:val="20"/>
                <w:color w:val="auto"/>
              </w:rPr>
            </w:pPr>
            <w:r>
              <w:rPr>
                <w:rFonts w:ascii="Arial" w:cs="Arial" w:eastAsia="Arial" w:hAnsi="Arial"/>
                <w:sz w:val="18"/>
                <w:szCs w:val="18"/>
                <w:b w:val="1"/>
                <w:bCs w:val="1"/>
                <w:color w:val="auto"/>
              </w:rPr>
              <w:t>Nordea Bank Abp, filial i Norge</w:t>
            </w:r>
          </w:p>
        </w:tc>
      </w:tr>
      <w:tr>
        <w:trPr>
          <w:trHeight w:val="432"/>
        </w:trPr>
        <w:tc>
          <w:tcPr>
            <w:tcW w:w="2120" w:type="dxa"/>
            <w:vAlign w:val="bottom"/>
          </w:tcPr>
          <w:p>
            <w:pPr>
              <w:spacing w:after="0"/>
              <w:rPr>
                <w:sz w:val="24"/>
                <w:szCs w:val="24"/>
                <w:color w:val="auto"/>
              </w:rPr>
            </w:pPr>
          </w:p>
        </w:tc>
        <w:tc>
          <w:tcPr>
            <w:tcW w:w="9440" w:type="dxa"/>
            <w:vAlign w:val="bottom"/>
          </w:tcPr>
          <w:p>
            <w:pPr>
              <w:jc w:val="right"/>
              <w:ind w:right="5552"/>
              <w:spacing w:after="0"/>
              <w:rPr>
                <w:sz w:val="20"/>
                <w:szCs w:val="20"/>
                <w:color w:val="auto"/>
              </w:rPr>
            </w:pPr>
            <w:r>
              <w:rPr>
                <w:rFonts w:ascii="Arial" w:cs="Arial" w:eastAsia="Arial" w:hAnsi="Arial"/>
                <w:sz w:val="18"/>
                <w:szCs w:val="18"/>
                <w:color w:val="auto"/>
              </w:rPr>
              <w:t>151</w:t>
            </w:r>
          </w:p>
        </w:tc>
      </w:tr>
      <w:tr>
        <w:trPr>
          <w:trHeight w:val="228"/>
        </w:trPr>
        <w:tc>
          <w:tcPr>
            <w:tcW w:w="212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80" w:type="dxa"/>
            <w:vAlign w:val="bottom"/>
          </w:tcPr>
          <w:p>
            <w:pPr>
              <w:jc w:val="center"/>
              <w:ind w:left="432"/>
              <w:spacing w:after="0"/>
              <w:rPr>
                <w:sz w:val="20"/>
                <w:szCs w:val="20"/>
                <w:color w:val="auto"/>
              </w:rPr>
            </w:pPr>
            <w:r>
              <w:rPr>
                <w:rFonts w:ascii="Arial" w:cs="Arial" w:eastAsia="Arial" w:hAnsi="Arial"/>
                <w:sz w:val="18"/>
                <w:szCs w:val="18"/>
                <w:b w:val="1"/>
                <w:bCs w:val="1"/>
                <w:color w:val="auto"/>
                <w:w w:val="84"/>
              </w:rPr>
              <w:t>Schedule 2</w:t>
            </w:r>
          </w:p>
        </w:tc>
        <w:tc>
          <w:tcPr>
            <w:tcW w:w="4300" w:type="dxa"/>
            <w:vAlign w:val="bottom"/>
          </w:tcPr>
          <w:p>
            <w:pPr>
              <w:spacing w:after="0"/>
              <w:rPr>
                <w:sz w:val="18"/>
                <w:szCs w:val="18"/>
                <w:color w:val="auto"/>
              </w:rPr>
            </w:pPr>
          </w:p>
        </w:tc>
      </w:tr>
      <w:tr>
        <w:trPr>
          <w:trHeight w:val="228"/>
        </w:trPr>
        <w:tc>
          <w:tcPr>
            <w:tcW w:w="3780" w:type="dxa"/>
            <w:vAlign w:val="bottom"/>
          </w:tcPr>
          <w:p>
            <w:pPr>
              <w:spacing w:after="0"/>
              <w:rPr>
                <w:sz w:val="19"/>
                <w:szCs w:val="19"/>
                <w:color w:val="auto"/>
              </w:rPr>
            </w:pPr>
          </w:p>
        </w:tc>
        <w:tc>
          <w:tcPr>
            <w:tcW w:w="3480" w:type="dxa"/>
            <w:vAlign w:val="bottom"/>
          </w:tcPr>
          <w:p>
            <w:pPr>
              <w:jc w:val="center"/>
              <w:ind w:left="392"/>
              <w:spacing w:after="0"/>
              <w:rPr>
                <w:sz w:val="20"/>
                <w:szCs w:val="20"/>
                <w:color w:val="auto"/>
              </w:rPr>
            </w:pPr>
            <w:r>
              <w:rPr>
                <w:rFonts w:ascii="Arial" w:cs="Arial" w:eastAsia="Arial" w:hAnsi="Arial"/>
                <w:sz w:val="18"/>
                <w:szCs w:val="18"/>
                <w:b w:val="1"/>
                <w:bCs w:val="1"/>
                <w:color w:val="auto"/>
                <w:w w:val="89"/>
              </w:rPr>
              <w:t>Ship information</w:t>
            </w:r>
          </w:p>
        </w:tc>
        <w:tc>
          <w:tcPr>
            <w:tcW w:w="4300" w:type="dxa"/>
            <w:vAlign w:val="bottom"/>
          </w:tcPr>
          <w:p>
            <w:pPr>
              <w:spacing w:after="0"/>
              <w:rPr>
                <w:sz w:val="19"/>
                <w:szCs w:val="19"/>
                <w:color w:val="auto"/>
              </w:rPr>
            </w:pPr>
          </w:p>
        </w:tc>
      </w:tr>
      <w:tr>
        <w:trPr>
          <w:trHeight w:val="432"/>
        </w:trPr>
        <w:tc>
          <w:tcPr>
            <w:tcW w:w="3780" w:type="dxa"/>
            <w:vAlign w:val="bottom"/>
          </w:tcPr>
          <w:p>
            <w:pPr>
              <w:spacing w:after="0"/>
              <w:rPr>
                <w:sz w:val="24"/>
                <w:szCs w:val="24"/>
                <w:color w:val="auto"/>
              </w:rPr>
            </w:pPr>
          </w:p>
        </w:tc>
        <w:tc>
          <w:tcPr>
            <w:tcW w:w="3480" w:type="dxa"/>
            <w:vAlign w:val="bottom"/>
          </w:tcPr>
          <w:p>
            <w:pPr>
              <w:jc w:val="center"/>
              <w:ind w:left="392"/>
              <w:spacing w:after="0"/>
              <w:rPr>
                <w:sz w:val="20"/>
                <w:szCs w:val="20"/>
                <w:color w:val="auto"/>
              </w:rPr>
            </w:pPr>
            <w:r>
              <w:rPr>
                <w:rFonts w:ascii="Arial" w:cs="Arial" w:eastAsia="Arial" w:hAnsi="Arial"/>
                <w:sz w:val="18"/>
                <w:szCs w:val="18"/>
                <w:b w:val="1"/>
                <w:bCs w:val="1"/>
                <w:color w:val="auto"/>
                <w:w w:val="91"/>
              </w:rPr>
              <w:t>Ship A</w:t>
            </w:r>
          </w:p>
        </w:tc>
        <w:tc>
          <w:tcPr>
            <w:tcW w:w="4300" w:type="dxa"/>
            <w:vAlign w:val="bottom"/>
          </w:tcPr>
          <w:p>
            <w:pPr>
              <w:spacing w:after="0"/>
              <w:rPr>
                <w:sz w:val="24"/>
                <w:szCs w:val="24"/>
                <w:color w:val="auto"/>
              </w:rPr>
            </w:pPr>
          </w:p>
        </w:tc>
      </w:tr>
      <w:tr>
        <w:trPr>
          <w:trHeight w:val="432"/>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Owner:</w:t>
            </w:r>
          </w:p>
        </w:tc>
        <w:tc>
          <w:tcPr>
            <w:tcW w:w="3480" w:type="dxa"/>
            <w:vAlign w:val="bottom"/>
          </w:tcPr>
          <w:p>
            <w:pPr>
              <w:ind w:left="720"/>
              <w:spacing w:after="0"/>
              <w:rPr>
                <w:sz w:val="20"/>
                <w:szCs w:val="20"/>
                <w:color w:val="auto"/>
              </w:rPr>
            </w:pPr>
            <w:r>
              <w:rPr>
                <w:rFonts w:ascii="Arial" w:cs="Arial" w:eastAsia="Arial" w:hAnsi="Arial"/>
                <w:sz w:val="18"/>
                <w:szCs w:val="18"/>
                <w:b w:val="1"/>
                <w:bCs w:val="1"/>
                <w:color w:val="auto"/>
              </w:rPr>
              <w:t>GAS-three Ltd.</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Name:</w:t>
            </w:r>
          </w:p>
        </w:tc>
        <w:tc>
          <w:tcPr>
            <w:tcW w:w="3480" w:type="dxa"/>
            <w:vAlign w:val="bottom"/>
          </w:tcPr>
          <w:p>
            <w:pPr>
              <w:ind w:left="720"/>
              <w:spacing w:after="0"/>
              <w:rPr>
                <w:sz w:val="20"/>
                <w:szCs w:val="20"/>
                <w:color w:val="auto"/>
              </w:rPr>
            </w:pPr>
            <w:r>
              <w:rPr>
                <w:rFonts w:ascii="Arial" w:cs="Arial" w:eastAsia="Arial" w:hAnsi="Arial"/>
                <w:sz w:val="18"/>
                <w:szCs w:val="18"/>
                <w:color w:val="auto"/>
              </w:rPr>
              <w:t>m.v. "</w:t>
            </w:r>
            <w:r>
              <w:rPr>
                <w:rFonts w:ascii="Arial" w:cs="Arial" w:eastAsia="Arial" w:hAnsi="Arial"/>
                <w:sz w:val="18"/>
                <w:szCs w:val="18"/>
                <w:i w:val="1"/>
                <w:iCs w:val="1"/>
                <w:color w:val="auto"/>
              </w:rPr>
              <w:t>GasLog Shanghai</w:t>
            </w:r>
            <w:r>
              <w:rPr>
                <w:rFonts w:ascii="Arial" w:cs="Arial" w:eastAsia="Arial" w:hAnsi="Arial"/>
                <w:sz w:val="18"/>
                <w:szCs w:val="18"/>
                <w:color w:val="auto"/>
              </w:rPr>
              <w:t>"</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Commitment:</w:t>
            </w:r>
          </w:p>
        </w:tc>
        <w:tc>
          <w:tcPr>
            <w:tcW w:w="3480" w:type="dxa"/>
            <w:vAlign w:val="bottom"/>
          </w:tcPr>
          <w:p>
            <w:pPr>
              <w:ind w:left="720"/>
              <w:spacing w:after="0"/>
              <w:rPr>
                <w:sz w:val="20"/>
                <w:szCs w:val="20"/>
                <w:color w:val="auto"/>
              </w:rPr>
            </w:pPr>
            <w:r>
              <w:rPr>
                <w:rFonts w:ascii="Arial" w:cs="Arial" w:eastAsia="Arial" w:hAnsi="Arial"/>
                <w:sz w:val="18"/>
                <w:szCs w:val="18"/>
                <w:color w:val="auto"/>
              </w:rPr>
              <w:t>$112,500,000</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Flag State</w:t>
            </w:r>
          </w:p>
        </w:tc>
        <w:tc>
          <w:tcPr>
            <w:tcW w:w="3480" w:type="dxa"/>
            <w:vAlign w:val="bottom"/>
          </w:tcPr>
          <w:p>
            <w:pPr>
              <w:ind w:left="720"/>
              <w:spacing w:after="0"/>
              <w:rPr>
                <w:sz w:val="20"/>
                <w:szCs w:val="20"/>
                <w:color w:val="auto"/>
              </w:rPr>
            </w:pPr>
            <w:r>
              <w:rPr>
                <w:rFonts w:ascii="Arial" w:cs="Arial" w:eastAsia="Arial" w:hAnsi="Arial"/>
                <w:sz w:val="18"/>
                <w:szCs w:val="18"/>
                <w:color w:val="auto"/>
              </w:rPr>
              <w:t>Bermuda</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 description:</w:t>
            </w: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No charter—subject to the Cool Pool Arrangements</w:t>
            </w:r>
          </w:p>
        </w:tc>
      </w:tr>
      <w:tr>
        <w:trPr>
          <w:trHeight w:val="507"/>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w:t>
            </w:r>
          </w:p>
        </w:tc>
        <w:tc>
          <w:tcPr>
            <w:tcW w:w="34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A1, Liquefied Natural Gas Carrier,</w:t>
            </w:r>
          </w:p>
        </w:tc>
        <w:tc>
          <w:tcPr>
            <w:tcW w:w="43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AMS, </w:t>
            </w:r>
            <w:r>
              <w:rPr>
                <w:rFonts w:ascii="MS PGothic" w:cs="MS PGothic" w:eastAsia="MS PGothic" w:hAnsi="MS PGothic"/>
                <w:sz w:val="18"/>
                <w:szCs w:val="18"/>
                <w:color w:val="auto"/>
              </w:rPr>
              <w:t>✠</w:t>
            </w:r>
            <w:r>
              <w:rPr>
                <w:rFonts w:ascii="Arial" w:cs="Arial" w:eastAsia="Arial" w:hAnsi="Arial"/>
                <w:sz w:val="18"/>
                <w:szCs w:val="18"/>
                <w:color w:val="auto"/>
              </w:rPr>
              <w:t xml:space="preserve">ACCU, </w:t>
            </w:r>
            <w:r>
              <w:rPr>
                <w:rFonts w:ascii="MS PGothic" w:cs="MS PGothic" w:eastAsia="MS PGothic" w:hAnsi="MS PGothic"/>
                <w:sz w:val="18"/>
                <w:szCs w:val="18"/>
                <w:color w:val="auto"/>
              </w:rPr>
              <w:t>✠</w:t>
            </w:r>
            <w:r>
              <w:rPr>
                <w:rFonts w:ascii="Arial" w:cs="Arial" w:eastAsia="Arial" w:hAnsi="Arial"/>
                <w:sz w:val="18"/>
                <w:szCs w:val="18"/>
                <w:color w:val="auto"/>
              </w:rPr>
              <w:t>APS, SH, CPS,</w:t>
            </w:r>
          </w:p>
        </w:tc>
      </w:tr>
      <w:tr>
        <w:trPr>
          <w:trHeight w:val="216"/>
        </w:trPr>
        <w:tc>
          <w:tcPr>
            <w:tcW w:w="3780" w:type="dxa"/>
            <w:vAlign w:val="bottom"/>
          </w:tcPr>
          <w:p>
            <w:pPr>
              <w:spacing w:after="0"/>
              <w:rPr>
                <w:sz w:val="18"/>
                <w:szCs w:val="18"/>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SHCM. Additional Notations: NIBS, POT, RRDA, ENVIRO+, UWILD, TCM,</w:t>
            </w:r>
          </w:p>
        </w:tc>
      </w:tr>
      <w:tr>
        <w:trPr>
          <w:trHeight w:val="222"/>
        </w:trPr>
        <w:tc>
          <w:tcPr>
            <w:tcW w:w="3780" w:type="dxa"/>
            <w:vAlign w:val="bottom"/>
          </w:tcPr>
          <w:p>
            <w:pPr>
              <w:spacing w:after="0"/>
              <w:rPr>
                <w:sz w:val="19"/>
                <w:szCs w:val="19"/>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CRC, SFA 40, SH-DLA, DFD, PMP, RES, PORT, RW</w:t>
            </w: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 Society:</w:t>
            </w:r>
          </w:p>
        </w:tc>
        <w:tc>
          <w:tcPr>
            <w:tcW w:w="3480" w:type="dxa"/>
            <w:vAlign w:val="bottom"/>
          </w:tcPr>
          <w:p>
            <w:pPr>
              <w:ind w:left="720"/>
              <w:spacing w:after="0"/>
              <w:rPr>
                <w:sz w:val="20"/>
                <w:szCs w:val="20"/>
                <w:color w:val="auto"/>
              </w:rPr>
            </w:pPr>
            <w:r>
              <w:rPr>
                <w:rFonts w:ascii="Arial" w:cs="Arial" w:eastAsia="Arial" w:hAnsi="Arial"/>
                <w:sz w:val="18"/>
                <w:szCs w:val="18"/>
                <w:color w:val="auto"/>
              </w:rPr>
              <w:t>American Bureau of Shipping</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IMO number:</w:t>
            </w:r>
          </w:p>
        </w:tc>
        <w:tc>
          <w:tcPr>
            <w:tcW w:w="3480" w:type="dxa"/>
            <w:vAlign w:val="bottom"/>
          </w:tcPr>
          <w:p>
            <w:pPr>
              <w:ind w:left="720"/>
              <w:spacing w:after="0"/>
              <w:rPr>
                <w:sz w:val="20"/>
                <w:szCs w:val="20"/>
                <w:color w:val="auto"/>
              </w:rPr>
            </w:pPr>
            <w:r>
              <w:rPr>
                <w:rFonts w:ascii="Arial" w:cs="Arial" w:eastAsia="Arial" w:hAnsi="Arial"/>
                <w:sz w:val="18"/>
                <w:szCs w:val="18"/>
                <w:color w:val="auto"/>
              </w:rPr>
              <w:t>9600528</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Year of build:</w:t>
            </w:r>
          </w:p>
        </w:tc>
        <w:tc>
          <w:tcPr>
            <w:tcW w:w="3480" w:type="dxa"/>
            <w:vAlign w:val="bottom"/>
          </w:tcPr>
          <w:p>
            <w:pPr>
              <w:ind w:left="720"/>
              <w:spacing w:after="0"/>
              <w:rPr>
                <w:sz w:val="20"/>
                <w:szCs w:val="20"/>
                <w:color w:val="auto"/>
              </w:rPr>
            </w:pPr>
            <w:r>
              <w:rPr>
                <w:rFonts w:ascii="Arial" w:cs="Arial" w:eastAsia="Arial" w:hAnsi="Arial"/>
                <w:sz w:val="18"/>
                <w:szCs w:val="18"/>
                <w:color w:val="auto"/>
              </w:rPr>
              <w:t>2013</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Major Casualty Amount:</w:t>
            </w:r>
          </w:p>
        </w:tc>
        <w:tc>
          <w:tcPr>
            <w:tcW w:w="3480" w:type="dxa"/>
            <w:vAlign w:val="bottom"/>
          </w:tcPr>
          <w:p>
            <w:pPr>
              <w:ind w:left="720"/>
              <w:spacing w:after="0"/>
              <w:rPr>
                <w:sz w:val="20"/>
                <w:szCs w:val="20"/>
                <w:color w:val="auto"/>
              </w:rPr>
            </w:pPr>
            <w:r>
              <w:rPr>
                <w:rFonts w:ascii="Arial" w:cs="Arial" w:eastAsia="Arial" w:hAnsi="Arial"/>
                <w:sz w:val="18"/>
                <w:szCs w:val="18"/>
                <w:color w:val="auto"/>
              </w:rPr>
              <w:t>$5,000,000</w:t>
            </w:r>
          </w:p>
        </w:tc>
        <w:tc>
          <w:tcPr>
            <w:tcW w:w="4300" w:type="dxa"/>
            <w:vAlign w:val="bottom"/>
          </w:tcPr>
          <w:p>
            <w:pPr>
              <w:spacing w:after="0"/>
              <w:rPr>
                <w:sz w:val="24"/>
                <w:szCs w:val="24"/>
                <w:color w:val="auto"/>
              </w:rPr>
            </w:pPr>
          </w:p>
        </w:tc>
      </w:tr>
      <w:tr>
        <w:trPr>
          <w:trHeight w:val="648"/>
        </w:trPr>
        <w:tc>
          <w:tcPr>
            <w:tcW w:w="3780" w:type="dxa"/>
            <w:vAlign w:val="bottom"/>
          </w:tcPr>
          <w:p>
            <w:pPr>
              <w:spacing w:after="0"/>
              <w:rPr>
                <w:sz w:val="24"/>
                <w:szCs w:val="24"/>
                <w:color w:val="auto"/>
              </w:rPr>
            </w:pPr>
          </w:p>
        </w:tc>
        <w:tc>
          <w:tcPr>
            <w:tcW w:w="3480" w:type="dxa"/>
            <w:vAlign w:val="bottom"/>
          </w:tcPr>
          <w:p>
            <w:pPr>
              <w:jc w:val="center"/>
              <w:ind w:left="412"/>
              <w:spacing w:after="0"/>
              <w:rPr>
                <w:sz w:val="20"/>
                <w:szCs w:val="20"/>
                <w:color w:val="auto"/>
              </w:rPr>
            </w:pPr>
            <w:r>
              <w:rPr>
                <w:rFonts w:ascii="Arial" w:cs="Arial" w:eastAsia="Arial" w:hAnsi="Arial"/>
                <w:sz w:val="18"/>
                <w:szCs w:val="18"/>
                <w:b w:val="1"/>
                <w:bCs w:val="1"/>
                <w:color w:val="auto"/>
                <w:w w:val="87"/>
              </w:rPr>
              <w:t>Ship B</w:t>
            </w:r>
          </w:p>
        </w:tc>
        <w:tc>
          <w:tcPr>
            <w:tcW w:w="4300" w:type="dxa"/>
            <w:vAlign w:val="bottom"/>
          </w:tcPr>
          <w:p>
            <w:pPr>
              <w:spacing w:after="0"/>
              <w:rPr>
                <w:sz w:val="24"/>
                <w:szCs w:val="24"/>
                <w:color w:val="auto"/>
              </w:rPr>
            </w:pPr>
          </w:p>
        </w:tc>
      </w:tr>
      <w:tr>
        <w:trPr>
          <w:trHeight w:val="432"/>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Owner:</w:t>
            </w:r>
          </w:p>
        </w:tc>
        <w:tc>
          <w:tcPr>
            <w:tcW w:w="3480" w:type="dxa"/>
            <w:vAlign w:val="bottom"/>
          </w:tcPr>
          <w:p>
            <w:pPr>
              <w:ind w:left="720"/>
              <w:spacing w:after="0"/>
              <w:rPr>
                <w:sz w:val="20"/>
                <w:szCs w:val="20"/>
                <w:color w:val="auto"/>
              </w:rPr>
            </w:pPr>
            <w:r>
              <w:rPr>
                <w:rFonts w:ascii="Arial" w:cs="Arial" w:eastAsia="Arial" w:hAnsi="Arial"/>
                <w:sz w:val="18"/>
                <w:szCs w:val="18"/>
                <w:b w:val="1"/>
                <w:bCs w:val="1"/>
                <w:color w:val="auto"/>
              </w:rPr>
              <w:t>GAS-four Ltd.</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Name:</w:t>
            </w:r>
          </w:p>
        </w:tc>
        <w:tc>
          <w:tcPr>
            <w:tcW w:w="3480" w:type="dxa"/>
            <w:vAlign w:val="bottom"/>
          </w:tcPr>
          <w:p>
            <w:pPr>
              <w:ind w:left="720"/>
              <w:spacing w:after="0"/>
              <w:rPr>
                <w:sz w:val="20"/>
                <w:szCs w:val="20"/>
                <w:color w:val="auto"/>
              </w:rPr>
            </w:pPr>
            <w:r>
              <w:rPr>
                <w:rFonts w:ascii="Arial" w:cs="Arial" w:eastAsia="Arial" w:hAnsi="Arial"/>
                <w:sz w:val="18"/>
                <w:szCs w:val="18"/>
                <w:color w:val="auto"/>
              </w:rPr>
              <w:t>m.v. "</w:t>
            </w:r>
            <w:r>
              <w:rPr>
                <w:rFonts w:ascii="Arial" w:cs="Arial" w:eastAsia="Arial" w:hAnsi="Arial"/>
                <w:sz w:val="18"/>
                <w:szCs w:val="18"/>
                <w:i w:val="1"/>
                <w:iCs w:val="1"/>
                <w:color w:val="auto"/>
              </w:rPr>
              <w:t>GasLog Santiago</w:t>
            </w:r>
            <w:r>
              <w:rPr>
                <w:rFonts w:ascii="Arial" w:cs="Arial" w:eastAsia="Arial" w:hAnsi="Arial"/>
                <w:sz w:val="18"/>
                <w:szCs w:val="18"/>
                <w:color w:val="auto"/>
              </w:rPr>
              <w:t>"</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Commitment:</w:t>
            </w:r>
          </w:p>
        </w:tc>
        <w:tc>
          <w:tcPr>
            <w:tcW w:w="3480" w:type="dxa"/>
            <w:vAlign w:val="bottom"/>
          </w:tcPr>
          <w:p>
            <w:pPr>
              <w:ind w:left="720"/>
              <w:spacing w:after="0"/>
              <w:rPr>
                <w:sz w:val="20"/>
                <w:szCs w:val="20"/>
                <w:color w:val="auto"/>
              </w:rPr>
            </w:pPr>
            <w:r>
              <w:rPr>
                <w:rFonts w:ascii="Arial" w:cs="Arial" w:eastAsia="Arial" w:hAnsi="Arial"/>
                <w:sz w:val="18"/>
                <w:szCs w:val="18"/>
                <w:color w:val="auto"/>
              </w:rPr>
              <w:t>$112,500,000</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Flag State</w:t>
            </w:r>
          </w:p>
        </w:tc>
        <w:tc>
          <w:tcPr>
            <w:tcW w:w="3480" w:type="dxa"/>
            <w:vAlign w:val="bottom"/>
          </w:tcPr>
          <w:p>
            <w:pPr>
              <w:ind w:left="720"/>
              <w:spacing w:after="0"/>
              <w:rPr>
                <w:sz w:val="20"/>
                <w:szCs w:val="20"/>
                <w:color w:val="auto"/>
              </w:rPr>
            </w:pPr>
            <w:r>
              <w:rPr>
                <w:rFonts w:ascii="Arial" w:cs="Arial" w:eastAsia="Arial" w:hAnsi="Arial"/>
                <w:sz w:val="18"/>
                <w:szCs w:val="18"/>
                <w:color w:val="auto"/>
              </w:rPr>
              <w:t>Bermuda</w:t>
            </w:r>
          </w:p>
        </w:tc>
        <w:tc>
          <w:tcPr>
            <w:tcW w:w="4300" w:type="dxa"/>
            <w:vAlign w:val="bottom"/>
          </w:tcPr>
          <w:p>
            <w:pPr>
              <w:spacing w:after="0"/>
              <w:rPr>
                <w:sz w:val="24"/>
                <w:szCs w:val="24"/>
                <w:color w:val="auto"/>
              </w:rPr>
            </w:pPr>
          </w:p>
        </w:tc>
      </w:tr>
      <w:tr>
        <w:trPr>
          <w:trHeight w:val="453"/>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 description:</w:t>
            </w: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A time charter between Gas-four Ltd and the relevant Charterer dated 22 March</w:t>
            </w:r>
          </w:p>
        </w:tc>
      </w:tr>
      <w:tr>
        <w:trPr>
          <w:trHeight w:val="222"/>
        </w:trPr>
        <w:tc>
          <w:tcPr>
            <w:tcW w:w="3780" w:type="dxa"/>
            <w:vAlign w:val="bottom"/>
          </w:tcPr>
          <w:p>
            <w:pPr>
              <w:spacing w:after="0"/>
              <w:rPr>
                <w:sz w:val="19"/>
                <w:szCs w:val="19"/>
                <w:color w:val="auto"/>
              </w:rPr>
            </w:pPr>
          </w:p>
        </w:tc>
        <w:tc>
          <w:tcPr>
            <w:tcW w:w="3480" w:type="dxa"/>
            <w:vAlign w:val="bottom"/>
          </w:tcPr>
          <w:p>
            <w:pPr>
              <w:ind w:left="720"/>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9"/>
                <w:szCs w:val="19"/>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Charterer:</w:t>
            </w: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Trafigura Maritime Logistics Pte. Ltd of Singapore</w:t>
            </w:r>
          </w:p>
        </w:tc>
      </w:tr>
      <w:tr>
        <w:trPr>
          <w:trHeight w:val="507"/>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w:t>
            </w:r>
          </w:p>
        </w:tc>
        <w:tc>
          <w:tcPr>
            <w:tcW w:w="34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A1, Liquefied Natural Gas Carrier,</w:t>
            </w:r>
          </w:p>
        </w:tc>
        <w:tc>
          <w:tcPr>
            <w:tcW w:w="43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AMS, </w:t>
            </w:r>
            <w:r>
              <w:rPr>
                <w:rFonts w:ascii="MS PGothic" w:cs="MS PGothic" w:eastAsia="MS PGothic" w:hAnsi="MS PGothic"/>
                <w:sz w:val="18"/>
                <w:szCs w:val="18"/>
                <w:color w:val="auto"/>
              </w:rPr>
              <w:t>✠</w:t>
            </w:r>
            <w:r>
              <w:rPr>
                <w:rFonts w:ascii="Arial" w:cs="Arial" w:eastAsia="Arial" w:hAnsi="Arial"/>
                <w:sz w:val="18"/>
                <w:szCs w:val="18"/>
                <w:color w:val="auto"/>
              </w:rPr>
              <w:t xml:space="preserve">ACCU, </w:t>
            </w:r>
            <w:r>
              <w:rPr>
                <w:rFonts w:ascii="MS PGothic" w:cs="MS PGothic" w:eastAsia="MS PGothic" w:hAnsi="MS PGothic"/>
                <w:sz w:val="18"/>
                <w:szCs w:val="18"/>
                <w:color w:val="auto"/>
              </w:rPr>
              <w:t>✠</w:t>
            </w:r>
            <w:r>
              <w:rPr>
                <w:rFonts w:ascii="Arial" w:cs="Arial" w:eastAsia="Arial" w:hAnsi="Arial"/>
                <w:sz w:val="18"/>
                <w:szCs w:val="18"/>
                <w:color w:val="auto"/>
              </w:rPr>
              <w:t>APS, SH, CPS,</w:t>
            </w:r>
          </w:p>
        </w:tc>
      </w:tr>
      <w:tr>
        <w:trPr>
          <w:trHeight w:val="216"/>
        </w:trPr>
        <w:tc>
          <w:tcPr>
            <w:tcW w:w="3780" w:type="dxa"/>
            <w:vAlign w:val="bottom"/>
          </w:tcPr>
          <w:p>
            <w:pPr>
              <w:spacing w:after="0"/>
              <w:rPr>
                <w:sz w:val="18"/>
                <w:szCs w:val="18"/>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SHCM. Additional Notations: NIBS, POT, RRDA, ENVIRO+, UWILD, TCM,</w:t>
            </w:r>
          </w:p>
        </w:tc>
      </w:tr>
      <w:tr>
        <w:trPr>
          <w:trHeight w:val="222"/>
        </w:trPr>
        <w:tc>
          <w:tcPr>
            <w:tcW w:w="3780" w:type="dxa"/>
            <w:vAlign w:val="bottom"/>
          </w:tcPr>
          <w:p>
            <w:pPr>
              <w:spacing w:after="0"/>
              <w:rPr>
                <w:sz w:val="19"/>
                <w:szCs w:val="19"/>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CRC, SFA 40, SH-DLA, DFD, PMP, RES, PORT, RW</w:t>
            </w: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 Society:</w:t>
            </w:r>
          </w:p>
        </w:tc>
        <w:tc>
          <w:tcPr>
            <w:tcW w:w="3480" w:type="dxa"/>
            <w:vAlign w:val="bottom"/>
          </w:tcPr>
          <w:p>
            <w:pPr>
              <w:ind w:left="720"/>
              <w:spacing w:after="0"/>
              <w:rPr>
                <w:sz w:val="20"/>
                <w:szCs w:val="20"/>
                <w:color w:val="auto"/>
              </w:rPr>
            </w:pPr>
            <w:r>
              <w:rPr>
                <w:rFonts w:ascii="Arial" w:cs="Arial" w:eastAsia="Arial" w:hAnsi="Arial"/>
                <w:sz w:val="18"/>
                <w:szCs w:val="18"/>
                <w:color w:val="auto"/>
              </w:rPr>
              <w:t>American Bureau of Shipping</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IMO number:</w:t>
            </w:r>
          </w:p>
        </w:tc>
        <w:tc>
          <w:tcPr>
            <w:tcW w:w="3480" w:type="dxa"/>
            <w:vAlign w:val="bottom"/>
          </w:tcPr>
          <w:p>
            <w:pPr>
              <w:ind w:left="720"/>
              <w:spacing w:after="0"/>
              <w:rPr>
                <w:sz w:val="20"/>
                <w:szCs w:val="20"/>
                <w:color w:val="auto"/>
              </w:rPr>
            </w:pPr>
            <w:r>
              <w:rPr>
                <w:rFonts w:ascii="Arial" w:cs="Arial" w:eastAsia="Arial" w:hAnsi="Arial"/>
                <w:sz w:val="18"/>
                <w:szCs w:val="18"/>
                <w:color w:val="auto"/>
              </w:rPr>
              <w:t>9600530</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Year of build:</w:t>
            </w:r>
          </w:p>
        </w:tc>
        <w:tc>
          <w:tcPr>
            <w:tcW w:w="3480" w:type="dxa"/>
            <w:vAlign w:val="bottom"/>
          </w:tcPr>
          <w:p>
            <w:pPr>
              <w:ind w:left="720"/>
              <w:spacing w:after="0"/>
              <w:rPr>
                <w:sz w:val="20"/>
                <w:szCs w:val="20"/>
                <w:color w:val="auto"/>
              </w:rPr>
            </w:pPr>
            <w:r>
              <w:rPr>
                <w:rFonts w:ascii="Arial" w:cs="Arial" w:eastAsia="Arial" w:hAnsi="Arial"/>
                <w:sz w:val="18"/>
                <w:szCs w:val="18"/>
                <w:color w:val="auto"/>
              </w:rPr>
              <w:t>2013</w:t>
            </w:r>
          </w:p>
        </w:tc>
        <w:tc>
          <w:tcPr>
            <w:tcW w:w="430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Major Casualty Amount:</w:t>
            </w:r>
          </w:p>
        </w:tc>
        <w:tc>
          <w:tcPr>
            <w:tcW w:w="3480" w:type="dxa"/>
            <w:vAlign w:val="bottom"/>
          </w:tcPr>
          <w:p>
            <w:pPr>
              <w:ind w:left="720"/>
              <w:spacing w:after="0"/>
              <w:rPr>
                <w:sz w:val="20"/>
                <w:szCs w:val="20"/>
                <w:color w:val="auto"/>
              </w:rPr>
            </w:pPr>
            <w:r>
              <w:rPr>
                <w:rFonts w:ascii="Arial" w:cs="Arial" w:eastAsia="Arial" w:hAnsi="Arial"/>
                <w:sz w:val="18"/>
                <w:szCs w:val="18"/>
                <w:color w:val="auto"/>
              </w:rPr>
              <w:t>$5,000,000</w:t>
            </w:r>
          </w:p>
        </w:tc>
        <w:tc>
          <w:tcPr>
            <w:tcW w:w="430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3480" w:type="dxa"/>
            <w:vAlign w:val="bottom"/>
          </w:tcPr>
          <w:p>
            <w:pPr>
              <w:jc w:val="center"/>
              <w:ind w:left="452"/>
              <w:spacing w:after="0"/>
              <w:rPr>
                <w:sz w:val="20"/>
                <w:szCs w:val="20"/>
                <w:color w:val="auto"/>
              </w:rPr>
            </w:pPr>
            <w:r>
              <w:rPr>
                <w:rFonts w:ascii="Arial" w:cs="Arial" w:eastAsia="Arial" w:hAnsi="Arial"/>
                <w:sz w:val="18"/>
                <w:szCs w:val="18"/>
                <w:color w:val="auto"/>
                <w:w w:val="86"/>
              </w:rPr>
              <w:t>152</w:t>
            </w:r>
          </w:p>
        </w:tc>
        <w:tc>
          <w:tcPr>
            <w:tcW w:w="4300" w:type="dxa"/>
            <w:vAlign w:val="bottom"/>
          </w:tcPr>
          <w:p>
            <w:pPr>
              <w:spacing w:after="0"/>
              <w:rPr>
                <w:sz w:val="24"/>
                <w:szCs w:val="24"/>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-6087745</wp:posOffset>
            </wp:positionV>
            <wp:extent cx="1371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-2041525</wp:posOffset>
            </wp:positionV>
            <wp:extent cx="13716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71" w:name="page372"/>
    <w:bookmarkEnd w:id="371"/>
    <w:p>
      <w:pPr>
        <w:jc w:val="center"/>
        <w:ind w:right="40"/>
        <w:spacing w:after="0"/>
        <w:rPr>
          <w:sz w:val="20"/>
          <w:szCs w:val="20"/>
          <w:color w:val="auto"/>
        </w:rPr>
      </w:pPr>
      <w:r>
        <w:rPr>
          <w:rFonts w:ascii="Arial" w:cs="Arial" w:eastAsia="Arial" w:hAnsi="Arial"/>
          <w:sz w:val="16"/>
          <w:szCs w:val="16"/>
          <w:b w:val="1"/>
          <w:bCs w:val="1"/>
          <w:color w:val="auto"/>
        </w:rPr>
        <w:t>Ship C</w:t>
      </w:r>
    </w:p>
    <w:p>
      <w:pPr>
        <w:sectPr>
          <w:pgSz w:w="11900" w:h="16838" w:orient="portrait"/>
          <w:cols w:equalWidth="0" w:num="1">
            <w:col w:w="11560"/>
          </w:cols>
          <w:pgMar w:left="160" w:top="261" w:right="179" w:bottom="1440" w:gutter="0" w:footer="0" w:header="0"/>
        </w:sectPr>
      </w:pP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Owner: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GAS-five Ltd.</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Ship Name: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m.v. "</w:t>
      </w:r>
      <w:r>
        <w:rPr>
          <w:rFonts w:ascii="Arial" w:cs="Arial" w:eastAsia="Arial" w:hAnsi="Arial"/>
          <w:sz w:val="15"/>
          <w:szCs w:val="15"/>
          <w:i w:val="1"/>
          <w:iCs w:val="1"/>
          <w:color w:val="auto"/>
        </w:rPr>
        <w:t>GasLog Sydney</w:t>
      </w:r>
      <w:r>
        <w:rPr>
          <w:rFonts w:ascii="Arial" w:cs="Arial" w:eastAsia="Arial" w:hAnsi="Arial"/>
          <w:sz w:val="15"/>
          <w:szCs w:val="15"/>
          <w:color w:val="auto"/>
        </w:rPr>
        <w:t>"</w:t>
      </w:r>
    </w:p>
    <w:p>
      <w:pPr>
        <w:spacing w:after="0" w:line="205"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Ship Commitment: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$112,500,000</w:t>
      </w:r>
    </w:p>
    <w:p>
      <w:pPr>
        <w:spacing w:after="0" w:line="205"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Flag State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Bermuda</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Charter description: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A time charter between Gas-five Ltd. and the relevant Charterer dated 18 June 2018</w:t>
      </w:r>
    </w:p>
    <w:p>
      <w:pPr>
        <w:spacing w:after="0" w:line="205"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Charterer: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Cheniere Marketing International LLP of England</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6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Classification: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1480"/>
        <w:spacing w:after="0" w:line="23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A1, Liquefied Natural Gas Carrier, </w:t>
      </w:r>
      <w:r>
        <w:rPr>
          <w:sz w:val="1"/>
          <w:szCs w:val="1"/>
          <w:color w:val="auto"/>
        </w:rPr>
        <w:drawing>
          <wp:inline distT="0" distB="0" distL="0" distR="0">
            <wp:extent cx="137160" cy="1371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rFonts w:ascii="Arial" w:cs="Arial" w:eastAsia="Arial" w:hAnsi="Arial"/>
          <w:sz w:val="16"/>
          <w:szCs w:val="16"/>
          <w:color w:val="auto"/>
        </w:rPr>
        <w:t xml:space="preserve">AMS, </w:t>
      </w:r>
      <w:r>
        <w:rPr>
          <w:rFonts w:ascii="MS PGothic" w:cs="MS PGothic" w:eastAsia="MS PGothic" w:hAnsi="MS PGothic"/>
          <w:sz w:val="16"/>
          <w:szCs w:val="16"/>
          <w:color w:val="auto"/>
        </w:rPr>
        <w:t>✠</w:t>
      </w:r>
      <w:r>
        <w:rPr>
          <w:rFonts w:ascii="Arial" w:cs="Arial" w:eastAsia="Arial" w:hAnsi="Arial"/>
          <w:sz w:val="16"/>
          <w:szCs w:val="16"/>
          <w:color w:val="auto"/>
        </w:rPr>
        <w:t xml:space="preserve">ACCU, </w:t>
      </w:r>
      <w:r>
        <w:rPr>
          <w:rFonts w:ascii="MS PGothic" w:cs="MS PGothic" w:eastAsia="MS PGothic" w:hAnsi="MS PGothic"/>
          <w:sz w:val="16"/>
          <w:szCs w:val="16"/>
          <w:color w:val="auto"/>
        </w:rPr>
        <w:t>✠</w:t>
      </w:r>
      <w:r>
        <w:rPr>
          <w:rFonts w:ascii="Arial" w:cs="Arial" w:eastAsia="Arial" w:hAnsi="Arial"/>
          <w:sz w:val="16"/>
          <w:szCs w:val="16"/>
          <w:color w:val="auto"/>
        </w:rPr>
        <w:t>APS, SH, CPS, SHCM. Additional Notations: NIBS, POT, RRDA, ENVIRO+, UWILD, TCM, CRC, SFA 40, SH-DLA, DFD, PMP, RES, PORT, RW</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3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Classification Society: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American Bureau of Shipping</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6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IMO number: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9626273</w:t>
      </w:r>
    </w:p>
    <w:p>
      <w:pPr>
        <w:spacing w:after="0" w:line="205"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Year of build: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2013</w:t>
      </w:r>
    </w:p>
    <w:p>
      <w:pPr>
        <w:spacing w:after="0" w:line="200"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6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Major Casualty Amount: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$5,000,000</w:t>
      </w:r>
    </w:p>
    <w:p>
      <w:pPr>
        <w:spacing w:after="0" w:line="205" w:lineRule="exact"/>
        <w:rPr>
          <w:sz w:val="20"/>
          <w:szCs w:val="20"/>
          <w:color w:val="auto"/>
        </w:rPr>
      </w:pPr>
    </w:p>
    <w:p>
      <w:pPr>
        <w:sectPr>
          <w:pgSz w:w="11900" w:h="16838" w:orient="portrait"/>
          <w:cols w:equalWidth="0" w:num="2">
            <w:col w:w="3780" w:space="720"/>
            <w:col w:w="7060"/>
          </w:cols>
          <w:pgMar w:left="160" w:top="261" w:right="17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3500" w:type="dxa"/>
            <w:vAlign w:val="bottom"/>
          </w:tcPr>
          <w:p>
            <w:pPr>
              <w:ind w:left="1720"/>
              <w:spacing w:after="0"/>
              <w:rPr>
                <w:sz w:val="20"/>
                <w:szCs w:val="20"/>
                <w:color w:val="auto"/>
              </w:rPr>
            </w:pPr>
            <w:r>
              <w:rPr>
                <w:rFonts w:ascii="Arial" w:cs="Arial" w:eastAsia="Arial" w:hAnsi="Arial"/>
                <w:sz w:val="18"/>
                <w:szCs w:val="18"/>
                <w:b w:val="1"/>
                <w:bCs w:val="1"/>
                <w:color w:val="auto"/>
              </w:rPr>
              <w:t>Ship D</w:t>
            </w:r>
          </w:p>
        </w:tc>
        <w:tc>
          <w:tcPr>
            <w:tcW w:w="4280" w:type="dxa"/>
            <w:vAlign w:val="bottom"/>
          </w:tcPr>
          <w:p>
            <w:pPr>
              <w:spacing w:after="0"/>
              <w:rPr>
                <w:sz w:val="19"/>
                <w:szCs w:val="19"/>
                <w:color w:val="auto"/>
              </w:rPr>
            </w:pPr>
          </w:p>
        </w:tc>
      </w:tr>
      <w:tr>
        <w:trPr>
          <w:trHeight w:val="432"/>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Owner:</w:t>
            </w:r>
          </w:p>
        </w:tc>
        <w:tc>
          <w:tcPr>
            <w:tcW w:w="3500" w:type="dxa"/>
            <w:vAlign w:val="bottom"/>
          </w:tcPr>
          <w:p>
            <w:pPr>
              <w:ind w:left="720"/>
              <w:spacing w:after="0"/>
              <w:rPr>
                <w:sz w:val="20"/>
                <w:szCs w:val="20"/>
                <w:color w:val="auto"/>
              </w:rPr>
            </w:pPr>
            <w:r>
              <w:rPr>
                <w:rFonts w:ascii="Arial" w:cs="Arial" w:eastAsia="Arial" w:hAnsi="Arial"/>
                <w:sz w:val="18"/>
                <w:szCs w:val="18"/>
                <w:b w:val="1"/>
                <w:bCs w:val="1"/>
                <w:color w:val="auto"/>
              </w:rPr>
              <w:t>GAS-sixteen Ltd.</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Name:</w:t>
            </w:r>
          </w:p>
        </w:tc>
        <w:tc>
          <w:tcPr>
            <w:tcW w:w="3500" w:type="dxa"/>
            <w:vAlign w:val="bottom"/>
          </w:tcPr>
          <w:p>
            <w:pPr>
              <w:ind w:left="720"/>
              <w:spacing w:after="0"/>
              <w:rPr>
                <w:sz w:val="20"/>
                <w:szCs w:val="20"/>
                <w:color w:val="auto"/>
              </w:rPr>
            </w:pPr>
            <w:r>
              <w:rPr>
                <w:rFonts w:ascii="Arial" w:cs="Arial" w:eastAsia="Arial" w:hAnsi="Arial"/>
                <w:sz w:val="18"/>
                <w:szCs w:val="18"/>
                <w:color w:val="auto"/>
              </w:rPr>
              <w:t>m.v. "</w:t>
            </w:r>
            <w:r>
              <w:rPr>
                <w:rFonts w:ascii="Arial" w:cs="Arial" w:eastAsia="Arial" w:hAnsi="Arial"/>
                <w:sz w:val="18"/>
                <w:szCs w:val="18"/>
                <w:i w:val="1"/>
                <w:iCs w:val="1"/>
                <w:color w:val="auto"/>
              </w:rPr>
              <w:t>Methane Rita Andrea</w:t>
            </w:r>
            <w:r>
              <w:rPr>
                <w:rFonts w:ascii="Arial" w:cs="Arial" w:eastAsia="Arial" w:hAnsi="Arial"/>
                <w:sz w:val="18"/>
                <w:szCs w:val="18"/>
                <w:color w:val="auto"/>
              </w:rPr>
              <w:t>"</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Commitment:</w:t>
            </w:r>
          </w:p>
        </w:tc>
        <w:tc>
          <w:tcPr>
            <w:tcW w:w="3500" w:type="dxa"/>
            <w:vAlign w:val="bottom"/>
          </w:tcPr>
          <w:p>
            <w:pPr>
              <w:ind w:left="720"/>
              <w:spacing w:after="0"/>
              <w:rPr>
                <w:sz w:val="20"/>
                <w:szCs w:val="20"/>
                <w:color w:val="auto"/>
              </w:rPr>
            </w:pPr>
            <w:r>
              <w:rPr>
                <w:rFonts w:ascii="Arial" w:cs="Arial" w:eastAsia="Arial" w:hAnsi="Arial"/>
                <w:sz w:val="18"/>
                <w:szCs w:val="18"/>
                <w:color w:val="auto"/>
              </w:rPr>
              <w:t>$56,250,000</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Flag State</w:t>
            </w:r>
          </w:p>
        </w:tc>
        <w:tc>
          <w:tcPr>
            <w:tcW w:w="3500" w:type="dxa"/>
            <w:vAlign w:val="bottom"/>
          </w:tcPr>
          <w:p>
            <w:pPr>
              <w:ind w:left="720"/>
              <w:spacing w:after="0"/>
              <w:rPr>
                <w:sz w:val="20"/>
                <w:szCs w:val="20"/>
                <w:color w:val="auto"/>
              </w:rPr>
            </w:pPr>
            <w:r>
              <w:rPr>
                <w:rFonts w:ascii="Arial" w:cs="Arial" w:eastAsia="Arial" w:hAnsi="Arial"/>
                <w:sz w:val="18"/>
                <w:szCs w:val="18"/>
                <w:color w:val="auto"/>
              </w:rPr>
              <w:t>Bermuda</w:t>
            </w:r>
          </w:p>
        </w:tc>
        <w:tc>
          <w:tcPr>
            <w:tcW w:w="4280" w:type="dxa"/>
            <w:vAlign w:val="bottom"/>
          </w:tcPr>
          <w:p>
            <w:pPr>
              <w:spacing w:after="0"/>
              <w:rPr>
                <w:sz w:val="24"/>
                <w:szCs w:val="24"/>
                <w:color w:val="auto"/>
              </w:rPr>
            </w:pPr>
          </w:p>
        </w:tc>
      </w:tr>
      <w:tr>
        <w:trPr>
          <w:trHeight w:val="453"/>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 description:</w:t>
            </w: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A time charter made between GAS-sixteen Ltd. and the relevant Charterer dated</w:t>
            </w:r>
          </w:p>
        </w:tc>
      </w:tr>
      <w:tr>
        <w:trPr>
          <w:trHeight w:val="222"/>
        </w:trPr>
        <w:tc>
          <w:tcPr>
            <w:tcW w:w="3780" w:type="dxa"/>
            <w:vAlign w:val="bottom"/>
          </w:tcPr>
          <w:p>
            <w:pPr>
              <w:spacing w:after="0"/>
              <w:rPr>
                <w:sz w:val="19"/>
                <w:szCs w:val="19"/>
                <w:color w:val="auto"/>
              </w:rPr>
            </w:pPr>
          </w:p>
        </w:tc>
        <w:tc>
          <w:tcPr>
            <w:tcW w:w="3500" w:type="dxa"/>
            <w:vAlign w:val="bottom"/>
          </w:tcPr>
          <w:p>
            <w:pPr>
              <w:ind w:left="720"/>
              <w:spacing w:after="0"/>
              <w:rPr>
                <w:sz w:val="20"/>
                <w:szCs w:val="20"/>
                <w:color w:val="auto"/>
              </w:rPr>
            </w:pPr>
            <w:r>
              <w:rPr>
                <w:rFonts w:ascii="Arial" w:cs="Arial" w:eastAsia="Arial" w:hAnsi="Arial"/>
                <w:sz w:val="18"/>
                <w:szCs w:val="18"/>
                <w:color w:val="auto"/>
              </w:rPr>
              <w:t>4 April 2014</w:t>
            </w:r>
          </w:p>
        </w:tc>
        <w:tc>
          <w:tcPr>
            <w:tcW w:w="4280" w:type="dxa"/>
            <w:vAlign w:val="bottom"/>
          </w:tcPr>
          <w:p>
            <w:pPr>
              <w:spacing w:after="0"/>
              <w:rPr>
                <w:sz w:val="19"/>
                <w:szCs w:val="19"/>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Charterer:</w:t>
            </w:r>
          </w:p>
        </w:tc>
        <w:tc>
          <w:tcPr>
            <w:tcW w:w="3500" w:type="dxa"/>
            <w:vAlign w:val="bottom"/>
          </w:tcPr>
          <w:p>
            <w:pPr>
              <w:ind w:left="720"/>
              <w:spacing w:after="0"/>
              <w:rPr>
                <w:sz w:val="20"/>
                <w:szCs w:val="20"/>
                <w:color w:val="auto"/>
              </w:rPr>
            </w:pPr>
            <w:r>
              <w:rPr>
                <w:rFonts w:ascii="Arial" w:cs="Arial" w:eastAsia="Arial" w:hAnsi="Arial"/>
                <w:sz w:val="18"/>
                <w:szCs w:val="18"/>
                <w:color w:val="auto"/>
                <w:w w:val="92"/>
              </w:rPr>
              <w:t>Methane Services Limited of England</w:t>
            </w:r>
          </w:p>
        </w:tc>
        <w:tc>
          <w:tcPr>
            <w:tcW w:w="4280" w:type="dxa"/>
            <w:vAlign w:val="bottom"/>
          </w:tcPr>
          <w:p>
            <w:pPr>
              <w:spacing w:after="0"/>
              <w:rPr>
                <w:sz w:val="24"/>
                <w:szCs w:val="24"/>
                <w:color w:val="auto"/>
              </w:rPr>
            </w:pPr>
          </w:p>
        </w:tc>
      </w:tr>
      <w:tr>
        <w:trPr>
          <w:trHeight w:val="507"/>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w:t>
            </w:r>
          </w:p>
        </w:tc>
        <w:tc>
          <w:tcPr>
            <w:tcW w:w="350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A1, Liquefied Natural Gas Carrier,</w:t>
            </w:r>
          </w:p>
        </w:tc>
        <w:tc>
          <w:tcPr>
            <w:tcW w:w="42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AMS, </w:t>
            </w:r>
            <w:r>
              <w:rPr>
                <w:rFonts w:ascii="MS PGothic" w:cs="MS PGothic" w:eastAsia="MS PGothic" w:hAnsi="MS PGothic"/>
                <w:sz w:val="18"/>
                <w:szCs w:val="18"/>
                <w:color w:val="auto"/>
              </w:rPr>
              <w:t>✠</w:t>
            </w:r>
            <w:r>
              <w:rPr>
                <w:rFonts w:ascii="Arial" w:cs="Arial" w:eastAsia="Arial" w:hAnsi="Arial"/>
                <w:sz w:val="18"/>
                <w:szCs w:val="18"/>
                <w:color w:val="auto"/>
              </w:rPr>
              <w:t>ACCU, FL40, SH, SHCM.</w:t>
            </w:r>
          </w:p>
        </w:tc>
      </w:tr>
      <w:tr>
        <w:trPr>
          <w:trHeight w:val="222"/>
        </w:trPr>
        <w:tc>
          <w:tcPr>
            <w:tcW w:w="3780" w:type="dxa"/>
            <w:vAlign w:val="bottom"/>
          </w:tcPr>
          <w:p>
            <w:pPr>
              <w:spacing w:after="0"/>
              <w:rPr>
                <w:sz w:val="19"/>
                <w:szCs w:val="19"/>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Additional Notations: NIBS, RRDA, TCM, PMP+, CRC, SFA 40, SH-DLA</w:t>
            </w: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 Society:</w:t>
            </w:r>
          </w:p>
        </w:tc>
        <w:tc>
          <w:tcPr>
            <w:tcW w:w="3500" w:type="dxa"/>
            <w:vAlign w:val="bottom"/>
          </w:tcPr>
          <w:p>
            <w:pPr>
              <w:ind w:left="720"/>
              <w:spacing w:after="0"/>
              <w:rPr>
                <w:sz w:val="20"/>
                <w:szCs w:val="20"/>
                <w:color w:val="auto"/>
              </w:rPr>
            </w:pPr>
            <w:r>
              <w:rPr>
                <w:rFonts w:ascii="Arial" w:cs="Arial" w:eastAsia="Arial" w:hAnsi="Arial"/>
                <w:sz w:val="18"/>
                <w:szCs w:val="18"/>
                <w:color w:val="auto"/>
              </w:rPr>
              <w:t>American Bureau of Shipping</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IMO Number:</w:t>
            </w:r>
          </w:p>
        </w:tc>
        <w:tc>
          <w:tcPr>
            <w:tcW w:w="3500" w:type="dxa"/>
            <w:vAlign w:val="bottom"/>
          </w:tcPr>
          <w:p>
            <w:pPr>
              <w:ind w:left="720"/>
              <w:spacing w:after="0"/>
              <w:rPr>
                <w:sz w:val="20"/>
                <w:szCs w:val="20"/>
                <w:color w:val="auto"/>
              </w:rPr>
            </w:pPr>
            <w:r>
              <w:rPr>
                <w:rFonts w:ascii="Arial" w:cs="Arial" w:eastAsia="Arial" w:hAnsi="Arial"/>
                <w:sz w:val="18"/>
                <w:szCs w:val="18"/>
                <w:color w:val="auto"/>
              </w:rPr>
              <w:t>9307188</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Year of build:</w:t>
            </w:r>
          </w:p>
        </w:tc>
        <w:tc>
          <w:tcPr>
            <w:tcW w:w="3500" w:type="dxa"/>
            <w:vAlign w:val="bottom"/>
          </w:tcPr>
          <w:p>
            <w:pPr>
              <w:ind w:left="720"/>
              <w:spacing w:after="0"/>
              <w:rPr>
                <w:sz w:val="20"/>
                <w:szCs w:val="20"/>
                <w:color w:val="auto"/>
              </w:rPr>
            </w:pPr>
            <w:r>
              <w:rPr>
                <w:rFonts w:ascii="Arial" w:cs="Arial" w:eastAsia="Arial" w:hAnsi="Arial"/>
                <w:sz w:val="18"/>
                <w:szCs w:val="18"/>
                <w:color w:val="auto"/>
              </w:rPr>
              <w:t>2006</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Major Casualty Amount:</w:t>
            </w:r>
          </w:p>
        </w:tc>
        <w:tc>
          <w:tcPr>
            <w:tcW w:w="3500" w:type="dxa"/>
            <w:vAlign w:val="bottom"/>
          </w:tcPr>
          <w:p>
            <w:pPr>
              <w:ind w:left="720"/>
              <w:spacing w:after="0"/>
              <w:rPr>
                <w:sz w:val="20"/>
                <w:szCs w:val="20"/>
                <w:color w:val="auto"/>
              </w:rPr>
            </w:pPr>
            <w:r>
              <w:rPr>
                <w:rFonts w:ascii="Arial" w:cs="Arial" w:eastAsia="Arial" w:hAnsi="Arial"/>
                <w:sz w:val="18"/>
                <w:szCs w:val="18"/>
                <w:color w:val="auto"/>
              </w:rPr>
              <w:t>$3,000,000</w:t>
            </w:r>
          </w:p>
        </w:tc>
        <w:tc>
          <w:tcPr>
            <w:tcW w:w="428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3500" w:type="dxa"/>
            <w:vAlign w:val="bottom"/>
          </w:tcPr>
          <w:p>
            <w:pPr>
              <w:ind w:left="1880"/>
              <w:spacing w:after="0"/>
              <w:rPr>
                <w:sz w:val="20"/>
                <w:szCs w:val="20"/>
                <w:color w:val="auto"/>
              </w:rPr>
            </w:pPr>
            <w:r>
              <w:rPr>
                <w:rFonts w:ascii="Arial" w:cs="Arial" w:eastAsia="Arial" w:hAnsi="Arial"/>
                <w:sz w:val="18"/>
                <w:szCs w:val="18"/>
                <w:color w:val="auto"/>
              </w:rPr>
              <w:t>153</w:t>
            </w:r>
          </w:p>
        </w:tc>
        <w:tc>
          <w:tcPr>
            <w:tcW w:w="4280" w:type="dxa"/>
            <w:vAlign w:val="bottom"/>
          </w:tcPr>
          <w:p>
            <w:pPr>
              <w:spacing w:after="0"/>
              <w:rPr>
                <w:sz w:val="24"/>
                <w:szCs w:val="24"/>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-1904365</wp:posOffset>
            </wp:positionV>
            <wp:extent cx="13716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type w:val="continuous"/>
        </w:sectPr>
      </w:pPr>
    </w:p>
    <w:bookmarkStart w:id="372" w:name="page373"/>
    <w:bookmarkEnd w:id="372"/>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3500" w:type="dxa"/>
            <w:vAlign w:val="bottom"/>
          </w:tcPr>
          <w:p>
            <w:pPr>
              <w:ind w:left="1740"/>
              <w:spacing w:after="0"/>
              <w:rPr>
                <w:sz w:val="20"/>
                <w:szCs w:val="20"/>
                <w:color w:val="auto"/>
              </w:rPr>
            </w:pPr>
            <w:r>
              <w:rPr>
                <w:rFonts w:ascii="Arial" w:cs="Arial" w:eastAsia="Arial" w:hAnsi="Arial"/>
                <w:sz w:val="18"/>
                <w:szCs w:val="18"/>
                <w:b w:val="1"/>
                <w:bCs w:val="1"/>
                <w:color w:val="auto"/>
              </w:rPr>
              <w:t>Ship E</w:t>
            </w:r>
          </w:p>
        </w:tc>
        <w:tc>
          <w:tcPr>
            <w:tcW w:w="4280" w:type="dxa"/>
            <w:vAlign w:val="bottom"/>
          </w:tcPr>
          <w:p>
            <w:pPr>
              <w:spacing w:after="0"/>
              <w:rPr>
                <w:sz w:val="19"/>
                <w:szCs w:val="19"/>
                <w:color w:val="auto"/>
              </w:rPr>
            </w:pPr>
          </w:p>
        </w:tc>
      </w:tr>
      <w:tr>
        <w:trPr>
          <w:trHeight w:val="432"/>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Owner:</w:t>
            </w:r>
          </w:p>
        </w:tc>
        <w:tc>
          <w:tcPr>
            <w:tcW w:w="3500" w:type="dxa"/>
            <w:vAlign w:val="bottom"/>
          </w:tcPr>
          <w:p>
            <w:pPr>
              <w:ind w:left="720"/>
              <w:spacing w:after="0"/>
              <w:rPr>
                <w:sz w:val="20"/>
                <w:szCs w:val="20"/>
                <w:color w:val="auto"/>
              </w:rPr>
            </w:pPr>
            <w:r>
              <w:rPr>
                <w:rFonts w:ascii="Arial" w:cs="Arial" w:eastAsia="Arial" w:hAnsi="Arial"/>
                <w:sz w:val="18"/>
                <w:szCs w:val="18"/>
                <w:b w:val="1"/>
                <w:bCs w:val="1"/>
                <w:color w:val="auto"/>
              </w:rPr>
              <w:t>GAS-seventeen Ltd.</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Name:</w:t>
            </w:r>
          </w:p>
        </w:tc>
        <w:tc>
          <w:tcPr>
            <w:tcW w:w="3500" w:type="dxa"/>
            <w:vAlign w:val="bottom"/>
          </w:tcPr>
          <w:p>
            <w:pPr>
              <w:ind w:left="720"/>
              <w:spacing w:after="0"/>
              <w:rPr>
                <w:sz w:val="20"/>
                <w:szCs w:val="20"/>
                <w:color w:val="auto"/>
              </w:rPr>
            </w:pPr>
            <w:r>
              <w:rPr>
                <w:rFonts w:ascii="Arial" w:cs="Arial" w:eastAsia="Arial" w:hAnsi="Arial"/>
                <w:sz w:val="18"/>
                <w:szCs w:val="18"/>
                <w:color w:val="auto"/>
              </w:rPr>
              <w:t>m.v. "</w:t>
            </w:r>
            <w:r>
              <w:rPr>
                <w:rFonts w:ascii="Arial" w:cs="Arial" w:eastAsia="Arial" w:hAnsi="Arial"/>
                <w:sz w:val="18"/>
                <w:szCs w:val="18"/>
                <w:i w:val="1"/>
                <w:iCs w:val="1"/>
                <w:color w:val="auto"/>
              </w:rPr>
              <w:t>Methane Jane Elizabeth</w:t>
            </w:r>
            <w:r>
              <w:rPr>
                <w:rFonts w:ascii="Arial" w:cs="Arial" w:eastAsia="Arial" w:hAnsi="Arial"/>
                <w:sz w:val="18"/>
                <w:szCs w:val="18"/>
                <w:color w:val="auto"/>
              </w:rPr>
              <w:t>"</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Ship Commitment:</w:t>
            </w:r>
          </w:p>
        </w:tc>
        <w:tc>
          <w:tcPr>
            <w:tcW w:w="3500" w:type="dxa"/>
            <w:vAlign w:val="bottom"/>
          </w:tcPr>
          <w:p>
            <w:pPr>
              <w:ind w:left="720"/>
              <w:spacing w:after="0"/>
              <w:rPr>
                <w:sz w:val="20"/>
                <w:szCs w:val="20"/>
                <w:color w:val="auto"/>
              </w:rPr>
            </w:pPr>
            <w:r>
              <w:rPr>
                <w:rFonts w:ascii="Arial" w:cs="Arial" w:eastAsia="Arial" w:hAnsi="Arial"/>
                <w:sz w:val="18"/>
                <w:szCs w:val="18"/>
                <w:color w:val="auto"/>
              </w:rPr>
              <w:t>$56,250,000</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Flag State</w:t>
            </w:r>
          </w:p>
        </w:tc>
        <w:tc>
          <w:tcPr>
            <w:tcW w:w="3500" w:type="dxa"/>
            <w:vAlign w:val="bottom"/>
          </w:tcPr>
          <w:p>
            <w:pPr>
              <w:ind w:left="720"/>
              <w:spacing w:after="0"/>
              <w:rPr>
                <w:sz w:val="20"/>
                <w:szCs w:val="20"/>
                <w:color w:val="auto"/>
              </w:rPr>
            </w:pPr>
            <w:r>
              <w:rPr>
                <w:rFonts w:ascii="Arial" w:cs="Arial" w:eastAsia="Arial" w:hAnsi="Arial"/>
                <w:sz w:val="18"/>
                <w:szCs w:val="18"/>
                <w:color w:val="auto"/>
              </w:rPr>
              <w:t>Bermuda</w:t>
            </w:r>
          </w:p>
        </w:tc>
        <w:tc>
          <w:tcPr>
            <w:tcW w:w="4280" w:type="dxa"/>
            <w:vAlign w:val="bottom"/>
          </w:tcPr>
          <w:p>
            <w:pPr>
              <w:spacing w:after="0"/>
              <w:rPr>
                <w:sz w:val="24"/>
                <w:szCs w:val="24"/>
                <w:color w:val="auto"/>
              </w:rPr>
            </w:pPr>
          </w:p>
        </w:tc>
      </w:tr>
      <w:tr>
        <w:trPr>
          <w:trHeight w:val="453"/>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 description:</w:t>
            </w: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A time charter made between GAS-seventeen Ltd. and the relevant Charterer dated</w:t>
            </w:r>
          </w:p>
        </w:tc>
      </w:tr>
      <w:tr>
        <w:trPr>
          <w:trHeight w:val="222"/>
        </w:trPr>
        <w:tc>
          <w:tcPr>
            <w:tcW w:w="3780" w:type="dxa"/>
            <w:vAlign w:val="bottom"/>
          </w:tcPr>
          <w:p>
            <w:pPr>
              <w:spacing w:after="0"/>
              <w:rPr>
                <w:sz w:val="19"/>
                <w:szCs w:val="19"/>
                <w:color w:val="auto"/>
              </w:rPr>
            </w:pPr>
          </w:p>
        </w:tc>
        <w:tc>
          <w:tcPr>
            <w:tcW w:w="3500" w:type="dxa"/>
            <w:vAlign w:val="bottom"/>
          </w:tcPr>
          <w:p>
            <w:pPr>
              <w:ind w:left="720"/>
              <w:spacing w:after="0"/>
              <w:rPr>
                <w:sz w:val="20"/>
                <w:szCs w:val="20"/>
                <w:color w:val="auto"/>
              </w:rPr>
            </w:pPr>
            <w:r>
              <w:rPr>
                <w:rFonts w:ascii="Arial" w:cs="Arial" w:eastAsia="Arial" w:hAnsi="Arial"/>
                <w:sz w:val="18"/>
                <w:szCs w:val="18"/>
                <w:color w:val="auto"/>
              </w:rPr>
              <w:t>4 April 2014</w:t>
            </w:r>
          </w:p>
        </w:tc>
        <w:tc>
          <w:tcPr>
            <w:tcW w:w="4280" w:type="dxa"/>
            <w:vAlign w:val="bottom"/>
          </w:tcPr>
          <w:p>
            <w:pPr>
              <w:spacing w:after="0"/>
              <w:rPr>
                <w:sz w:val="19"/>
                <w:szCs w:val="19"/>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Charterer:</w:t>
            </w:r>
          </w:p>
        </w:tc>
        <w:tc>
          <w:tcPr>
            <w:tcW w:w="3500" w:type="dxa"/>
            <w:vAlign w:val="bottom"/>
          </w:tcPr>
          <w:p>
            <w:pPr>
              <w:ind w:left="720"/>
              <w:spacing w:after="0"/>
              <w:rPr>
                <w:sz w:val="20"/>
                <w:szCs w:val="20"/>
                <w:color w:val="auto"/>
              </w:rPr>
            </w:pPr>
            <w:r>
              <w:rPr>
                <w:rFonts w:ascii="Arial" w:cs="Arial" w:eastAsia="Arial" w:hAnsi="Arial"/>
                <w:sz w:val="18"/>
                <w:szCs w:val="18"/>
                <w:color w:val="auto"/>
                <w:w w:val="92"/>
              </w:rPr>
              <w:t>Methane Services Limited of England</w:t>
            </w:r>
          </w:p>
        </w:tc>
        <w:tc>
          <w:tcPr>
            <w:tcW w:w="4280" w:type="dxa"/>
            <w:vAlign w:val="bottom"/>
          </w:tcPr>
          <w:p>
            <w:pPr>
              <w:spacing w:after="0"/>
              <w:rPr>
                <w:sz w:val="24"/>
                <w:szCs w:val="24"/>
                <w:color w:val="auto"/>
              </w:rPr>
            </w:pPr>
          </w:p>
        </w:tc>
      </w:tr>
      <w:tr>
        <w:trPr>
          <w:trHeight w:val="507"/>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w:t>
            </w:r>
          </w:p>
        </w:tc>
        <w:tc>
          <w:tcPr>
            <w:tcW w:w="350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A1, Liquefied Natural Gas Carrier,</w:t>
            </w:r>
          </w:p>
        </w:tc>
        <w:tc>
          <w:tcPr>
            <w:tcW w:w="42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AMS, </w:t>
            </w:r>
            <w:r>
              <w:rPr>
                <w:rFonts w:ascii="MS PGothic" w:cs="MS PGothic" w:eastAsia="MS PGothic" w:hAnsi="MS PGothic"/>
                <w:sz w:val="18"/>
                <w:szCs w:val="18"/>
                <w:color w:val="auto"/>
              </w:rPr>
              <w:t>✠</w:t>
            </w:r>
            <w:r>
              <w:rPr>
                <w:rFonts w:ascii="Arial" w:cs="Arial" w:eastAsia="Arial" w:hAnsi="Arial"/>
                <w:sz w:val="18"/>
                <w:szCs w:val="18"/>
                <w:color w:val="auto"/>
              </w:rPr>
              <w:t>ACCU, FL40, SH, SHCM.</w:t>
            </w:r>
          </w:p>
        </w:tc>
      </w:tr>
      <w:tr>
        <w:trPr>
          <w:trHeight w:val="222"/>
        </w:trPr>
        <w:tc>
          <w:tcPr>
            <w:tcW w:w="3780" w:type="dxa"/>
            <w:vAlign w:val="bottom"/>
          </w:tcPr>
          <w:p>
            <w:pPr>
              <w:spacing w:after="0"/>
              <w:rPr>
                <w:sz w:val="19"/>
                <w:szCs w:val="19"/>
                <w:color w:val="auto"/>
              </w:rPr>
            </w:pPr>
          </w:p>
        </w:tc>
        <w:tc>
          <w:tcPr>
            <w:tcW w:w="7780" w:type="dxa"/>
            <w:vAlign w:val="bottom"/>
            <w:gridSpan w:val="2"/>
          </w:tcPr>
          <w:p>
            <w:pPr>
              <w:ind w:left="720"/>
              <w:spacing w:after="0"/>
              <w:rPr>
                <w:sz w:val="20"/>
                <w:szCs w:val="20"/>
                <w:color w:val="auto"/>
              </w:rPr>
            </w:pPr>
            <w:r>
              <w:rPr>
                <w:rFonts w:ascii="Arial" w:cs="Arial" w:eastAsia="Arial" w:hAnsi="Arial"/>
                <w:sz w:val="18"/>
                <w:szCs w:val="18"/>
                <w:color w:val="auto"/>
              </w:rPr>
              <w:t>Additional Notations: NIBS, RRDA, TCM, PMP+, CRC, SFA 40, SH-DLA</w:t>
            </w: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Classification Society:</w:t>
            </w:r>
          </w:p>
        </w:tc>
        <w:tc>
          <w:tcPr>
            <w:tcW w:w="3500" w:type="dxa"/>
            <w:vAlign w:val="bottom"/>
          </w:tcPr>
          <w:p>
            <w:pPr>
              <w:ind w:left="720"/>
              <w:spacing w:after="0"/>
              <w:rPr>
                <w:sz w:val="20"/>
                <w:szCs w:val="20"/>
                <w:color w:val="auto"/>
              </w:rPr>
            </w:pPr>
            <w:r>
              <w:rPr>
                <w:rFonts w:ascii="Arial" w:cs="Arial" w:eastAsia="Arial" w:hAnsi="Arial"/>
                <w:sz w:val="18"/>
                <w:szCs w:val="18"/>
                <w:color w:val="auto"/>
              </w:rPr>
              <w:t>American Bureau of Shipping</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IMO number:</w:t>
            </w:r>
          </w:p>
        </w:tc>
        <w:tc>
          <w:tcPr>
            <w:tcW w:w="3500" w:type="dxa"/>
            <w:vAlign w:val="bottom"/>
          </w:tcPr>
          <w:p>
            <w:pPr>
              <w:ind w:left="720"/>
              <w:spacing w:after="0"/>
              <w:rPr>
                <w:sz w:val="20"/>
                <w:szCs w:val="20"/>
                <w:color w:val="auto"/>
              </w:rPr>
            </w:pPr>
            <w:r>
              <w:rPr>
                <w:rFonts w:ascii="Arial" w:cs="Arial" w:eastAsia="Arial" w:hAnsi="Arial"/>
                <w:sz w:val="18"/>
                <w:szCs w:val="18"/>
                <w:color w:val="auto"/>
              </w:rPr>
              <w:t>9307190</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Year of build:</w:t>
            </w:r>
          </w:p>
        </w:tc>
        <w:tc>
          <w:tcPr>
            <w:tcW w:w="3500" w:type="dxa"/>
            <w:vAlign w:val="bottom"/>
          </w:tcPr>
          <w:p>
            <w:pPr>
              <w:ind w:left="720"/>
              <w:spacing w:after="0"/>
              <w:rPr>
                <w:sz w:val="20"/>
                <w:szCs w:val="20"/>
                <w:color w:val="auto"/>
              </w:rPr>
            </w:pPr>
            <w:r>
              <w:rPr>
                <w:rFonts w:ascii="Arial" w:cs="Arial" w:eastAsia="Arial" w:hAnsi="Arial"/>
                <w:sz w:val="18"/>
                <w:szCs w:val="18"/>
                <w:color w:val="auto"/>
              </w:rPr>
              <w:t>2006</w:t>
            </w:r>
          </w:p>
        </w:tc>
        <w:tc>
          <w:tcPr>
            <w:tcW w:w="4280" w:type="dxa"/>
            <w:vAlign w:val="bottom"/>
          </w:tcPr>
          <w:p>
            <w:pPr>
              <w:spacing w:after="0"/>
              <w:rPr>
                <w:sz w:val="24"/>
                <w:szCs w:val="24"/>
                <w:color w:val="auto"/>
              </w:rPr>
            </w:pPr>
          </w:p>
        </w:tc>
      </w:tr>
      <w:tr>
        <w:trPr>
          <w:trHeight w:val="459"/>
        </w:trPr>
        <w:tc>
          <w:tcPr>
            <w:tcW w:w="3780" w:type="dxa"/>
            <w:vAlign w:val="bottom"/>
          </w:tcPr>
          <w:p>
            <w:pPr>
              <w:ind w:left="1160"/>
              <w:spacing w:after="0"/>
              <w:rPr>
                <w:sz w:val="20"/>
                <w:szCs w:val="20"/>
                <w:color w:val="auto"/>
              </w:rPr>
            </w:pPr>
            <w:r>
              <w:rPr>
                <w:rFonts w:ascii="Arial" w:cs="Arial" w:eastAsia="Arial" w:hAnsi="Arial"/>
                <w:sz w:val="18"/>
                <w:szCs w:val="18"/>
                <w:b w:val="1"/>
                <w:bCs w:val="1"/>
                <w:color w:val="auto"/>
              </w:rPr>
              <w:t>Major Casualty Amount:</w:t>
            </w:r>
          </w:p>
        </w:tc>
        <w:tc>
          <w:tcPr>
            <w:tcW w:w="3500" w:type="dxa"/>
            <w:vAlign w:val="bottom"/>
          </w:tcPr>
          <w:p>
            <w:pPr>
              <w:ind w:left="720"/>
              <w:spacing w:after="0"/>
              <w:rPr>
                <w:sz w:val="20"/>
                <w:szCs w:val="20"/>
                <w:color w:val="auto"/>
              </w:rPr>
            </w:pPr>
            <w:r>
              <w:rPr>
                <w:rFonts w:ascii="Arial" w:cs="Arial" w:eastAsia="Arial" w:hAnsi="Arial"/>
                <w:sz w:val="18"/>
                <w:szCs w:val="18"/>
                <w:color w:val="auto"/>
              </w:rPr>
              <w:t>$3,000,000</w:t>
            </w:r>
          </w:p>
        </w:tc>
        <w:tc>
          <w:tcPr>
            <w:tcW w:w="428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3500" w:type="dxa"/>
            <w:vAlign w:val="bottom"/>
          </w:tcPr>
          <w:p>
            <w:pPr>
              <w:ind w:left="1880"/>
              <w:spacing w:after="0"/>
              <w:rPr>
                <w:sz w:val="20"/>
                <w:szCs w:val="20"/>
                <w:color w:val="auto"/>
              </w:rPr>
            </w:pPr>
            <w:r>
              <w:rPr>
                <w:rFonts w:ascii="Arial" w:cs="Arial" w:eastAsia="Arial" w:hAnsi="Arial"/>
                <w:sz w:val="18"/>
                <w:szCs w:val="18"/>
                <w:color w:val="auto"/>
              </w:rPr>
              <w:t>154</w:t>
            </w:r>
          </w:p>
        </w:tc>
        <w:tc>
          <w:tcPr>
            <w:tcW w:w="4280" w:type="dxa"/>
            <w:vAlign w:val="bottom"/>
          </w:tcPr>
          <w:p>
            <w:pPr>
              <w:spacing w:after="0"/>
              <w:rPr>
                <w:sz w:val="24"/>
                <w:szCs w:val="24"/>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-1904365</wp:posOffset>
            </wp:positionV>
            <wp:extent cx="13716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73" w:name="page374"/>
    <w:bookmarkEnd w:id="373"/>
    <w:p>
      <w:pPr>
        <w:ind w:left="5372"/>
        <w:spacing w:after="0"/>
        <w:rPr>
          <w:sz w:val="20"/>
          <w:szCs w:val="20"/>
          <w:color w:val="auto"/>
        </w:rPr>
      </w:pPr>
      <w:r>
        <w:rPr>
          <w:rFonts w:ascii="Arial" w:cs="Arial" w:eastAsia="Arial" w:hAnsi="Arial"/>
          <w:sz w:val="18"/>
          <w:szCs w:val="18"/>
          <w:b w:val="1"/>
          <w:bCs w:val="1"/>
          <w:color w:val="auto"/>
        </w:rPr>
        <w:t>Schedule 3</w:t>
      </w:r>
    </w:p>
    <w:p>
      <w:pPr>
        <w:spacing w:after="0" w:line="21" w:lineRule="exact"/>
        <w:rPr>
          <w:sz w:val="20"/>
          <w:szCs w:val="20"/>
          <w:color w:val="auto"/>
        </w:rPr>
      </w:pPr>
    </w:p>
    <w:p>
      <w:pPr>
        <w:ind w:left="4952"/>
        <w:spacing w:after="0"/>
        <w:rPr>
          <w:sz w:val="20"/>
          <w:szCs w:val="20"/>
          <w:color w:val="auto"/>
        </w:rPr>
      </w:pPr>
      <w:r>
        <w:rPr>
          <w:rFonts w:ascii="Arial" w:cs="Arial" w:eastAsia="Arial" w:hAnsi="Arial"/>
          <w:sz w:val="18"/>
          <w:szCs w:val="18"/>
          <w:b w:val="1"/>
          <w:bCs w:val="1"/>
          <w:color w:val="auto"/>
        </w:rPr>
        <w:t>Conditions precedent</w:t>
      </w:r>
    </w:p>
    <w:p>
      <w:pPr>
        <w:spacing w:after="0" w:line="21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Part 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first Utilisation</w:t>
      </w:r>
    </w:p>
    <w:p>
      <w:pPr>
        <w:spacing w:after="0" w:line="213" w:lineRule="exact"/>
        <w:rPr>
          <w:sz w:val="20"/>
          <w:szCs w:val="20"/>
          <w:color w:val="auto"/>
        </w:rPr>
      </w:pPr>
    </w:p>
    <w:p>
      <w:pPr>
        <w:ind w:left="492" w:hanging="492"/>
        <w:spacing w:after="0"/>
        <w:tabs>
          <w:tab w:leader="none" w:pos="492"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44" w:lineRule="exact"/>
        <w:rPr>
          <w:rFonts w:ascii="Arial" w:cs="Arial" w:eastAsia="Arial" w:hAnsi="Arial"/>
          <w:sz w:val="18"/>
          <w:szCs w:val="18"/>
          <w:b w:val="1"/>
          <w:bCs w:val="1"/>
          <w:color w:val="auto"/>
        </w:rPr>
      </w:pPr>
    </w:p>
    <w:p>
      <w:pPr>
        <w:ind w:left="1072" w:hanging="532"/>
        <w:spacing w:after="0"/>
        <w:tabs>
          <w:tab w:leader="none" w:pos="107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w:t>
      </w:r>
    </w:p>
    <w:p>
      <w:pPr>
        <w:spacing w:after="0" w:line="252" w:lineRule="exact"/>
        <w:rPr>
          <w:rFonts w:ascii="Arial" w:cs="Arial" w:eastAsia="Arial" w:hAnsi="Arial"/>
          <w:sz w:val="18"/>
          <w:szCs w:val="18"/>
          <w:color w:val="auto"/>
        </w:rPr>
      </w:pPr>
    </w:p>
    <w:p>
      <w:pPr>
        <w:ind w:left="1072" w:right="260" w:hanging="532"/>
        <w:spacing w:after="0" w:line="268" w:lineRule="auto"/>
        <w:tabs>
          <w:tab w:leader="none" w:pos="107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(or, if applicable, any committee of such board empowered to approve and authorise the following matters):</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1612" w:right="20" w:hanging="532"/>
        <w:spacing w:after="0" w:line="275" w:lineRule="auto"/>
        <w:tabs>
          <w:tab w:leader="none" w:pos="1612" w:val="left"/>
        </w:tabs>
        <w:numPr>
          <w:ilvl w:val="2"/>
          <w:numId w:val="552"/>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 the Relevant Documents to which it is a party;</w:t>
      </w:r>
    </w:p>
    <w:p>
      <w:pPr>
        <w:spacing w:after="0" w:line="193" w:lineRule="exact"/>
        <w:rPr>
          <w:rFonts w:ascii="Arial" w:cs="Arial" w:eastAsia="Arial" w:hAnsi="Arial"/>
          <w:sz w:val="18"/>
          <w:szCs w:val="18"/>
          <w:color w:val="auto"/>
        </w:rPr>
      </w:pPr>
    </w:p>
    <w:p>
      <w:pPr>
        <w:ind w:left="1612" w:hanging="532"/>
        <w:spacing w:after="0"/>
        <w:tabs>
          <w:tab w:leader="none" w:pos="1612" w:val="left"/>
        </w:tabs>
        <w:numPr>
          <w:ilvl w:val="2"/>
          <w:numId w:val="552"/>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52" w:lineRule="exact"/>
        <w:rPr>
          <w:rFonts w:ascii="Arial" w:cs="Arial" w:eastAsia="Arial" w:hAnsi="Arial"/>
          <w:sz w:val="18"/>
          <w:szCs w:val="18"/>
          <w:color w:val="auto"/>
        </w:rPr>
      </w:pPr>
    </w:p>
    <w:p>
      <w:pPr>
        <w:ind w:left="1612" w:right="560" w:hanging="532"/>
        <w:spacing w:after="0" w:line="369" w:lineRule="auto"/>
        <w:tabs>
          <w:tab w:leader="none" w:pos="1612" w:val="left"/>
        </w:tabs>
        <w:numPr>
          <w:ilvl w:val="2"/>
          <w:numId w:val="552"/>
        </w:numPr>
        <w:rPr>
          <w:rFonts w:ascii="Arial" w:cs="Arial" w:eastAsia="Arial" w:hAnsi="Arial"/>
          <w:sz w:val="15"/>
          <w:szCs w:val="15"/>
          <w:color w:val="auto"/>
        </w:rPr>
      </w:pPr>
      <w:r>
        <w:rPr>
          <w:rFonts w:ascii="Arial" w:cs="Arial" w:eastAsia="Arial" w:hAnsi="Arial"/>
          <w:sz w:val="15"/>
          <w:szCs w:val="15"/>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347" w:lineRule="exact"/>
        <w:rPr>
          <w:rFonts w:ascii="Arial" w:cs="Arial" w:eastAsia="Arial" w:hAnsi="Arial"/>
          <w:sz w:val="15"/>
          <w:szCs w:val="15"/>
          <w:color w:val="auto"/>
        </w:rPr>
      </w:pPr>
    </w:p>
    <w:p>
      <w:pPr>
        <w:ind w:left="1072" w:right="40" w:hanging="532"/>
        <w:spacing w:after="0" w:line="268" w:lineRule="auto"/>
        <w:tabs>
          <w:tab w:leader="none" w:pos="107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99" w:lineRule="exact"/>
        <w:rPr>
          <w:rFonts w:ascii="Arial" w:cs="Arial" w:eastAsia="Arial" w:hAnsi="Arial"/>
          <w:sz w:val="18"/>
          <w:szCs w:val="18"/>
          <w:color w:val="auto"/>
        </w:rPr>
      </w:pPr>
    </w:p>
    <w:p>
      <w:pPr>
        <w:ind w:left="1072" w:hanging="532"/>
        <w:spacing w:after="0" w:line="259" w:lineRule="auto"/>
        <w:tabs>
          <w:tab w:leader="none" w:pos="107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Bermudian law, a copy of a resolution signed by all the holders of the issued shares in each Obligor and each Manager, approving the terms of, and the transactions contemplated by, the Relevant Documents to which such Obligor or a Manager is a party.</w:t>
      </w:r>
    </w:p>
    <w:p>
      <w:pPr>
        <w:spacing w:after="0" w:line="220" w:lineRule="exact"/>
        <w:rPr>
          <w:rFonts w:ascii="Arial" w:cs="Arial" w:eastAsia="Arial" w:hAnsi="Arial"/>
          <w:sz w:val="18"/>
          <w:szCs w:val="18"/>
          <w:color w:val="auto"/>
        </w:rPr>
      </w:pPr>
    </w:p>
    <w:p>
      <w:pPr>
        <w:jc w:val="both"/>
        <w:ind w:left="1072" w:right="100" w:hanging="532"/>
        <w:spacing w:after="0" w:line="369" w:lineRule="auto"/>
        <w:tabs>
          <w:tab w:leader="none" w:pos="1072" w:val="left"/>
        </w:tabs>
        <w:numPr>
          <w:ilvl w:val="1"/>
          <w:numId w:val="552"/>
        </w:numPr>
        <w:rPr>
          <w:rFonts w:ascii="Arial" w:cs="Arial" w:eastAsia="Arial" w:hAnsi="Arial"/>
          <w:sz w:val="15"/>
          <w:szCs w:val="15"/>
          <w:color w:val="auto"/>
        </w:rPr>
      </w:pPr>
      <w:r>
        <w:rPr>
          <w:rFonts w:ascii="Arial" w:cs="Arial" w:eastAsia="Arial" w:hAnsi="Arial"/>
          <w:sz w:val="15"/>
          <w:szCs w:val="15"/>
          <w:color w:val="auto"/>
        </w:rPr>
        <w:t>If a requirement under the Constitutional Documents of each Obligor or a Manager or under Bermudian law, a copy of a resolution of the board of directors of each corporate shareholder of each Obligor and each Manager approving the terms of the resolution referred to in paragraph (d) above.</w:t>
      </w:r>
    </w:p>
    <w:p>
      <w:pPr>
        <w:spacing w:after="0" w:line="131" w:lineRule="exact"/>
        <w:rPr>
          <w:rFonts w:ascii="Arial" w:cs="Arial" w:eastAsia="Arial" w:hAnsi="Arial"/>
          <w:sz w:val="15"/>
          <w:szCs w:val="15"/>
          <w:color w:val="auto"/>
        </w:rPr>
      </w:pPr>
    </w:p>
    <w:p>
      <w:pPr>
        <w:ind w:left="1072" w:hanging="532"/>
        <w:spacing w:after="0"/>
        <w:tabs>
          <w:tab w:leader="none" w:pos="1072" w:val="left"/>
        </w:tabs>
        <w:numPr>
          <w:ilvl w:val="1"/>
          <w:numId w:val="552"/>
        </w:numPr>
        <w:rPr>
          <w:rFonts w:ascii="Arial" w:cs="Arial" w:eastAsia="Arial" w:hAnsi="Arial"/>
          <w:sz w:val="16"/>
          <w:szCs w:val="16"/>
          <w:color w:val="auto"/>
        </w:rPr>
      </w:pPr>
      <w:r>
        <w:rPr>
          <w:rFonts w:ascii="Arial" w:cs="Arial" w:eastAsia="Arial" w:hAnsi="Arial"/>
          <w:sz w:val="16"/>
          <w:szCs w:val="16"/>
          <w:color w:val="auto"/>
        </w:rPr>
        <w:t>A copy of any power of attorney under which any person is to execute any of the Relevant Documents on behalf of any Obligor and each Manager.</w:t>
      </w:r>
    </w:p>
    <w:p>
      <w:pPr>
        <w:spacing w:after="0" w:line="261" w:lineRule="exact"/>
        <w:rPr>
          <w:rFonts w:ascii="Arial" w:cs="Arial" w:eastAsia="Arial" w:hAnsi="Arial"/>
          <w:sz w:val="16"/>
          <w:szCs w:val="16"/>
          <w:color w:val="auto"/>
        </w:rPr>
      </w:pPr>
    </w:p>
    <w:p>
      <w:pPr>
        <w:ind w:left="1072" w:right="60" w:hanging="532"/>
        <w:spacing w:after="0" w:line="259" w:lineRule="auto"/>
        <w:tabs>
          <w:tab w:leader="none" w:pos="107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and each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88" w:lineRule="exact"/>
        <w:rPr>
          <w:sz w:val="20"/>
          <w:szCs w:val="20"/>
          <w:color w:val="auto"/>
        </w:rPr>
      </w:pPr>
    </w:p>
    <w:p>
      <w:pPr>
        <w:ind w:left="492" w:hanging="492"/>
        <w:spacing w:after="0"/>
        <w:tabs>
          <w:tab w:leader="none" w:pos="492"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Charters</w:t>
      </w:r>
    </w:p>
    <w:p>
      <w:pPr>
        <w:spacing w:after="0" w:line="231" w:lineRule="exact"/>
        <w:rPr>
          <w:sz w:val="20"/>
          <w:szCs w:val="20"/>
          <w:color w:val="auto"/>
        </w:rPr>
      </w:pPr>
    </w:p>
    <w:p>
      <w:pPr>
        <w:ind w:left="532"/>
        <w:spacing w:after="0"/>
        <w:rPr>
          <w:sz w:val="20"/>
          <w:szCs w:val="20"/>
          <w:color w:val="auto"/>
        </w:rPr>
      </w:pPr>
      <w:r>
        <w:rPr>
          <w:rFonts w:ascii="Arial" w:cs="Arial" w:eastAsia="Arial" w:hAnsi="Arial"/>
          <w:sz w:val="18"/>
          <w:szCs w:val="18"/>
          <w:color w:val="auto"/>
        </w:rPr>
        <w:t>The Charters for each of Ship B, Ship C, Ship D and Ship E duly executed and with charter tenors which are no less than:</w:t>
      </w:r>
    </w:p>
    <w:p>
      <w:pPr>
        <w:spacing w:after="0" w:line="252" w:lineRule="exact"/>
        <w:rPr>
          <w:sz w:val="20"/>
          <w:szCs w:val="20"/>
          <w:color w:val="auto"/>
        </w:rPr>
      </w:pPr>
    </w:p>
    <w:p>
      <w:pPr>
        <w:ind w:left="1072" w:right="180" w:hanging="532"/>
        <w:spacing w:after="0" w:line="331" w:lineRule="auto"/>
        <w:tabs>
          <w:tab w:leader="none" w:pos="1072" w:val="left"/>
        </w:tabs>
        <w:numPr>
          <w:ilvl w:val="0"/>
          <w:numId w:val="554"/>
        </w:numPr>
        <w:rPr>
          <w:rFonts w:ascii="Arial" w:cs="Arial" w:eastAsia="Arial" w:hAnsi="Arial"/>
          <w:sz w:val="16"/>
          <w:szCs w:val="16"/>
          <w:color w:val="auto"/>
        </w:rPr>
      </w:pPr>
      <w:r>
        <w:rPr>
          <w:rFonts w:ascii="Arial" w:cs="Arial" w:eastAsia="Arial" w:hAnsi="Arial"/>
          <w:sz w:val="16"/>
          <w:szCs w:val="16"/>
          <w:color w:val="auto"/>
        </w:rPr>
        <w:t>38 months ending December 2021 under the Charter in relation to Ship B and which includes a Charterer's option to extend for at least 12 months and up to 84 months at a daily gross charter rate (before giving effect to any address commissions) of $61,000;</w:t>
      </w:r>
    </w:p>
    <w:p>
      <w:pPr>
        <w:spacing w:after="0" w:line="1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92"/>
          </w:cols>
          <w:pgMar w:left="168" w:top="261" w:right="239" w:bottom="1440" w:gutter="0" w:footer="0" w:header="0"/>
        </w:sectPr>
      </w:pPr>
    </w:p>
    <w:bookmarkStart w:id="374" w:name="page375"/>
    <w:bookmarkEnd w:id="374"/>
    <w:p>
      <w:pPr>
        <w:ind w:left="1072" w:right="160" w:hanging="532"/>
        <w:spacing w:after="0" w:line="331" w:lineRule="auto"/>
        <w:tabs>
          <w:tab w:leader="none" w:pos="1072" w:val="left"/>
        </w:tabs>
        <w:numPr>
          <w:ilvl w:val="0"/>
          <w:numId w:val="555"/>
        </w:numPr>
        <w:rPr>
          <w:rFonts w:ascii="Arial" w:cs="Arial" w:eastAsia="Arial" w:hAnsi="Arial"/>
          <w:sz w:val="16"/>
          <w:szCs w:val="16"/>
          <w:color w:val="auto"/>
        </w:rPr>
      </w:pPr>
      <w:r>
        <w:rPr>
          <w:rFonts w:ascii="Arial" w:cs="Arial" w:eastAsia="Arial" w:hAnsi="Arial"/>
          <w:sz w:val="16"/>
          <w:szCs w:val="16"/>
          <w:color w:val="auto"/>
        </w:rPr>
        <w:t>18 months ending June 2020 under the Charter in relation to Ship C which includes a Charterer's option to extend for two (2) consecutive periods, each one for at least 6 months, at a daily gross charter rate (before giving effect to any address commissions) of $68,750;</w:t>
      </w:r>
    </w:p>
    <w:p>
      <w:pPr>
        <w:spacing w:after="0" w:line="167" w:lineRule="exact"/>
        <w:rPr>
          <w:rFonts w:ascii="Arial" w:cs="Arial" w:eastAsia="Arial" w:hAnsi="Arial"/>
          <w:sz w:val="16"/>
          <w:szCs w:val="16"/>
          <w:color w:val="auto"/>
        </w:rPr>
      </w:pPr>
    </w:p>
    <w:p>
      <w:pPr>
        <w:ind w:left="1072" w:right="100" w:hanging="532"/>
        <w:spacing w:after="0" w:line="268" w:lineRule="auto"/>
        <w:tabs>
          <w:tab w:leader="none" w:pos="107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72 months ending April 2020 under the Charter in relation to Ship D at a daily gross charter rate (before giving effect to any address commissions) of $65,750; and</w:t>
      </w:r>
    </w:p>
    <w:p>
      <w:pPr>
        <w:spacing w:after="0" w:line="199" w:lineRule="exact"/>
        <w:rPr>
          <w:rFonts w:ascii="Arial" w:cs="Arial" w:eastAsia="Arial" w:hAnsi="Arial"/>
          <w:sz w:val="18"/>
          <w:szCs w:val="18"/>
          <w:color w:val="auto"/>
        </w:rPr>
      </w:pPr>
    </w:p>
    <w:p>
      <w:pPr>
        <w:ind w:left="1072" w:right="960" w:hanging="532"/>
        <w:spacing w:after="0" w:line="268" w:lineRule="auto"/>
        <w:tabs>
          <w:tab w:leader="none" w:pos="107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66 months ending October 2019 under the Charter in relation to Ship E at a daily gross charter rate (before giving effect to any address commissions) of $65,750,</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color w:val="auto"/>
        </w:rPr>
        <w:t>and otherwise in form satisfactory to the Majority Lenders.</w:t>
      </w:r>
    </w:p>
    <w:p>
      <w:pPr>
        <w:spacing w:after="0" w:line="219" w:lineRule="exact"/>
        <w:rPr>
          <w:sz w:val="20"/>
          <w:szCs w:val="20"/>
          <w:color w:val="auto"/>
        </w:rPr>
      </w:pPr>
    </w:p>
    <w:p>
      <w:pPr>
        <w:ind w:left="492" w:hanging="492"/>
        <w:spacing w:after="0"/>
        <w:tabs>
          <w:tab w:leader="none" w:pos="492"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31" w:lineRule="exact"/>
        <w:rPr>
          <w:sz w:val="20"/>
          <w:szCs w:val="20"/>
          <w:color w:val="auto"/>
        </w:rPr>
      </w:pPr>
    </w:p>
    <w:p>
      <w:pPr>
        <w:jc w:val="both"/>
        <w:ind w:left="532" w:right="280"/>
        <w:spacing w:after="0" w:line="259" w:lineRule="auto"/>
        <w:rPr>
          <w:sz w:val="20"/>
          <w:szCs w:val="20"/>
          <w:color w:val="auto"/>
        </w:rPr>
      </w:pPr>
      <w:r>
        <w:rPr>
          <w:rFonts w:ascii="Arial" w:cs="Arial" w:eastAsia="Arial" w:hAnsi="Arial"/>
          <w:sz w:val="18"/>
          <w:szCs w:val="18"/>
          <w:color w:val="auto"/>
        </w:rPr>
        <w:t>Agreed forms of the following legal opinions, each addressed to the Agent, the Security Agent and the Lenders (and in a form and substance reasonably satisfactory to the Agent, the Lenders) and capable of being relied upon by any persons who become Lenders pursuant to the primary syndication of the Facility:</w:t>
      </w:r>
    </w:p>
    <w:p>
      <w:pPr>
        <w:spacing w:after="0" w:line="207" w:lineRule="exact"/>
        <w:rPr>
          <w:sz w:val="20"/>
          <w:szCs w:val="20"/>
          <w:color w:val="auto"/>
        </w:rPr>
      </w:pPr>
    </w:p>
    <w:p>
      <w:pPr>
        <w:ind w:left="1072" w:hanging="532"/>
        <w:spacing w:after="0"/>
        <w:tabs>
          <w:tab w:leader="none" w:pos="107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 legal opinion of Norton Rose Fulbright on matters of English law.</w:t>
      </w:r>
    </w:p>
    <w:p>
      <w:pPr>
        <w:spacing w:after="0" w:line="252" w:lineRule="exact"/>
        <w:rPr>
          <w:rFonts w:ascii="Arial" w:cs="Arial" w:eastAsia="Arial" w:hAnsi="Arial"/>
          <w:sz w:val="18"/>
          <w:szCs w:val="18"/>
          <w:color w:val="auto"/>
        </w:rPr>
      </w:pPr>
    </w:p>
    <w:p>
      <w:pPr>
        <w:ind w:left="1072" w:right="240" w:hanging="532"/>
        <w:spacing w:after="0" w:line="331" w:lineRule="auto"/>
        <w:tabs>
          <w:tab w:leader="none" w:pos="1072" w:val="left"/>
        </w:tabs>
        <w:numPr>
          <w:ilvl w:val="0"/>
          <w:numId w:val="557"/>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35" w:lineRule="exact"/>
        <w:rPr>
          <w:sz w:val="20"/>
          <w:szCs w:val="20"/>
          <w:color w:val="auto"/>
        </w:rPr>
      </w:pPr>
    </w:p>
    <w:p>
      <w:pPr>
        <w:ind w:left="492" w:hanging="492"/>
        <w:spacing w:after="0"/>
        <w:tabs>
          <w:tab w:leader="none" w:pos="492"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44" w:lineRule="exact"/>
        <w:rPr>
          <w:rFonts w:ascii="Arial" w:cs="Arial" w:eastAsia="Arial" w:hAnsi="Arial"/>
          <w:sz w:val="18"/>
          <w:szCs w:val="18"/>
          <w:b w:val="1"/>
          <w:bCs w:val="1"/>
          <w:color w:val="auto"/>
        </w:rPr>
      </w:pPr>
    </w:p>
    <w:p>
      <w:pPr>
        <w:ind w:left="1072" w:right="140" w:hanging="532"/>
        <w:spacing w:after="0" w:line="268" w:lineRule="auto"/>
        <w:tabs>
          <w:tab w:leader="none" w:pos="1072" w:val="left"/>
        </w:tabs>
        <w:numPr>
          <w:ilvl w:val="1"/>
          <w:numId w:val="558"/>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45.2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558"/>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200" w:lineRule="exact"/>
        <w:rPr>
          <w:sz w:val="20"/>
          <w:szCs w:val="20"/>
          <w:color w:val="auto"/>
        </w:rPr>
      </w:pPr>
    </w:p>
    <w:p>
      <w:pPr>
        <w:spacing w:after="0" w:line="249" w:lineRule="exact"/>
        <w:rPr>
          <w:sz w:val="20"/>
          <w:szCs w:val="20"/>
          <w:color w:val="auto"/>
        </w:rPr>
      </w:pPr>
    </w:p>
    <w:p>
      <w:pPr>
        <w:ind w:left="532" w:hanging="532"/>
        <w:spacing w:after="0"/>
        <w:tabs>
          <w:tab w:leader="none" w:pos="532"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31" w:lineRule="exact"/>
        <w:rPr>
          <w:rFonts w:ascii="Arial" w:cs="Arial" w:eastAsia="Arial" w:hAnsi="Arial"/>
          <w:sz w:val="18"/>
          <w:szCs w:val="18"/>
          <w:b w:val="1"/>
          <w:bCs w:val="1"/>
          <w:color w:val="auto"/>
        </w:rPr>
      </w:pPr>
    </w:p>
    <w:p>
      <w:pPr>
        <w:ind w:left="532" w:right="4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Evidence that any Account required to be established under clause 27 (</w:t>
      </w:r>
      <w:r>
        <w:rPr>
          <w:rFonts w:ascii="Arial" w:cs="Arial" w:eastAsia="Arial" w:hAnsi="Arial"/>
          <w:sz w:val="15"/>
          <w:szCs w:val="15"/>
          <w:i w:val="1"/>
          <w:iCs w:val="1"/>
          <w:color w:val="auto"/>
        </w:rPr>
        <w:t>Bank accounts</w:t>
      </w:r>
      <w:r>
        <w:rPr>
          <w:rFonts w:ascii="Arial" w:cs="Arial" w:eastAsia="Arial" w:hAnsi="Arial"/>
          <w:sz w:val="15"/>
          <w:szCs w:val="15"/>
          <w:color w:val="auto"/>
        </w:rPr>
        <w:t>) has been opened (a) and established with the Account Bank and that all documents required by the Account Bank in relation to the opening of the Accounts (including disclosure of the ultimate beneficial ownership of each Borrower and any other documents required for the purpose of completing the "know your customer" process), (b) any Account Security in respect of each such Account has been executed and delivered by the relevant Account Holder in favour of the Security Agent and/or any of the other Finance Parties and</w:t>
      </w:r>
    </w:p>
    <w:p>
      <w:pPr>
        <w:spacing w:after="0" w:line="2" w:lineRule="exact"/>
        <w:rPr>
          <w:rFonts w:ascii="Arial" w:cs="Arial" w:eastAsia="Arial" w:hAnsi="Arial"/>
          <w:sz w:val="18"/>
          <w:szCs w:val="18"/>
          <w:b w:val="1"/>
          <w:bCs w:val="1"/>
          <w:color w:val="auto"/>
        </w:rPr>
      </w:pPr>
    </w:p>
    <w:p>
      <w:pPr>
        <w:ind w:left="532"/>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(c) that any notice required to be given to an Account Bank under that Account Security has been given to it and acknowledged by it in the manner required by that Account Security and that an amount has been credited to it.</w:t>
      </w:r>
    </w:p>
    <w:p>
      <w:pPr>
        <w:spacing w:after="0" w:line="201" w:lineRule="exact"/>
        <w:rPr>
          <w:sz w:val="20"/>
          <w:szCs w:val="20"/>
          <w:color w:val="auto"/>
        </w:rPr>
      </w:pPr>
    </w:p>
    <w:p>
      <w:pPr>
        <w:ind w:left="532" w:hanging="532"/>
        <w:spacing w:after="0"/>
        <w:tabs>
          <w:tab w:leader="none" w:pos="532"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31" w:lineRule="exact"/>
        <w:rPr>
          <w:rFonts w:ascii="Arial" w:cs="Arial" w:eastAsia="Arial" w:hAnsi="Arial"/>
          <w:sz w:val="18"/>
          <w:szCs w:val="18"/>
          <w:b w:val="1"/>
          <w:bCs w:val="1"/>
          <w:color w:val="auto"/>
        </w:rPr>
      </w:pPr>
    </w:p>
    <w:p>
      <w:pPr>
        <w:ind w:left="53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8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492"/>
          </w:cols>
          <w:pgMar w:left="168" w:top="65" w:right="239" w:bottom="1440" w:gutter="0" w:footer="0" w:header="0"/>
        </w:sectPr>
      </w:pPr>
    </w:p>
    <w:bookmarkStart w:id="375" w:name="page376"/>
    <w:bookmarkEnd w:id="375"/>
    <w:p>
      <w:pPr>
        <w:ind w:left="532" w:hanging="532"/>
        <w:spacing w:after="0"/>
        <w:tabs>
          <w:tab w:leader="none" w:pos="532"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00" w:lineRule="exact"/>
        <w:rPr>
          <w:rFonts w:ascii="Arial" w:cs="Arial" w:eastAsia="Arial" w:hAnsi="Arial"/>
          <w:sz w:val="18"/>
          <w:szCs w:val="18"/>
          <w:b w:val="1"/>
          <w:bCs w:val="1"/>
          <w:color w:val="auto"/>
        </w:rPr>
      </w:pPr>
    </w:p>
    <w:p>
      <w:pPr>
        <w:spacing w:after="0" w:line="274" w:lineRule="exact"/>
        <w:rPr>
          <w:rFonts w:ascii="Arial" w:cs="Arial" w:eastAsia="Arial" w:hAnsi="Arial"/>
          <w:sz w:val="18"/>
          <w:szCs w:val="18"/>
          <w:b w:val="1"/>
          <w:bCs w:val="1"/>
          <w:color w:val="auto"/>
        </w:rPr>
      </w:pPr>
    </w:p>
    <w:p>
      <w:pPr>
        <w:ind w:left="1072" w:right="240" w:hanging="532"/>
        <w:spacing w:after="0" w:line="268" w:lineRule="auto"/>
        <w:tabs>
          <w:tab w:leader="none" w:pos="1072" w:val="left"/>
        </w:tabs>
        <w:numPr>
          <w:ilvl w:val="1"/>
          <w:numId w:val="561"/>
        </w:numPr>
        <w:rPr>
          <w:rFonts w:ascii="Arial" w:cs="Arial" w:eastAsia="Arial" w:hAnsi="Arial"/>
          <w:sz w:val="18"/>
          <w:szCs w:val="18"/>
          <w:color w:val="auto"/>
        </w:rPr>
      </w:pPr>
      <w:r>
        <w:rPr>
          <w:rFonts w:ascii="Arial" w:cs="Arial" w:eastAsia="Arial" w:hAnsi="Arial"/>
          <w:sz w:val="18"/>
          <w:szCs w:val="18"/>
          <w:color w:val="auto"/>
        </w:rPr>
        <w:t>Evidence that the total amount of the Existing Indebtedness has been repaid in full, or will be so repaid in full with the proceeds of the Revolving Loans utilised on the first Utilisation Date under this Agreement simultaneously with such Utilisations.</w:t>
      </w:r>
    </w:p>
    <w:p>
      <w:pPr>
        <w:spacing w:after="0" w:line="199" w:lineRule="exact"/>
        <w:rPr>
          <w:rFonts w:ascii="Arial" w:cs="Arial" w:eastAsia="Arial" w:hAnsi="Arial"/>
          <w:sz w:val="18"/>
          <w:szCs w:val="18"/>
          <w:color w:val="auto"/>
        </w:rPr>
      </w:pPr>
    </w:p>
    <w:p>
      <w:pPr>
        <w:ind w:left="1072" w:right="200" w:hanging="532"/>
        <w:spacing w:after="0" w:line="259" w:lineRule="auto"/>
        <w:tabs>
          <w:tab w:leader="none" w:pos="1072" w:val="left"/>
        </w:tabs>
        <w:numPr>
          <w:ilvl w:val="1"/>
          <w:numId w:val="561"/>
        </w:numPr>
        <w:rPr>
          <w:rFonts w:ascii="Arial" w:cs="Arial" w:eastAsia="Arial" w:hAnsi="Arial"/>
          <w:sz w:val="18"/>
          <w:szCs w:val="18"/>
          <w:color w:val="auto"/>
        </w:rPr>
      </w:pPr>
      <w:r>
        <w:rPr>
          <w:rFonts w:ascii="Arial" w:cs="Arial" w:eastAsia="Arial" w:hAnsi="Arial"/>
          <w:sz w:val="18"/>
          <w:szCs w:val="18"/>
          <w:color w:val="auto"/>
        </w:rPr>
        <w:t>Evidence that all Security Interests over the Ships and their Earnings, Insurances and Requisition Compensation created in relation to the Existing Indebtedness have been discharged and reassigned to the Borrowers by the Existing Indebtedness Lenders under deeds of releases in form and substance satisfactory to the Agent.</w:t>
      </w:r>
    </w:p>
    <w:p>
      <w:pPr>
        <w:spacing w:after="0" w:line="200" w:lineRule="exact"/>
        <w:rPr>
          <w:sz w:val="20"/>
          <w:szCs w:val="20"/>
          <w:color w:val="auto"/>
        </w:rPr>
      </w:pPr>
    </w:p>
    <w:p>
      <w:pPr>
        <w:spacing w:after="0" w:line="217" w:lineRule="exact"/>
        <w:rPr>
          <w:sz w:val="20"/>
          <w:szCs w:val="20"/>
          <w:color w:val="auto"/>
        </w:rPr>
      </w:pPr>
    </w:p>
    <w:p>
      <w:pPr>
        <w:ind w:left="532" w:hanging="532"/>
        <w:spacing w:after="0"/>
        <w:tabs>
          <w:tab w:leader="none" w:pos="532"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00" w:lineRule="exact"/>
        <w:rPr>
          <w:rFonts w:ascii="Arial" w:cs="Arial" w:eastAsia="Arial" w:hAnsi="Arial"/>
          <w:sz w:val="18"/>
          <w:szCs w:val="18"/>
          <w:b w:val="1"/>
          <w:bCs w:val="1"/>
          <w:color w:val="auto"/>
        </w:rPr>
      </w:pPr>
    </w:p>
    <w:p>
      <w:pPr>
        <w:spacing w:after="0" w:line="274" w:lineRule="exact"/>
        <w:rPr>
          <w:rFonts w:ascii="Arial" w:cs="Arial" w:eastAsia="Arial" w:hAnsi="Arial"/>
          <w:sz w:val="18"/>
          <w:szCs w:val="18"/>
          <w:b w:val="1"/>
          <w:bCs w:val="1"/>
          <w:color w:val="auto"/>
        </w:rPr>
      </w:pPr>
    </w:p>
    <w:p>
      <w:pPr>
        <w:ind w:left="1072" w:right="640" w:hanging="532"/>
        <w:spacing w:after="0" w:line="268" w:lineRule="auto"/>
        <w:tabs>
          <w:tab w:leader="none" w:pos="107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in respect of each Ship and, unless the relevant Ship is Ship A, the Charter Assignment for each Ship.</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Any Manager's Undertaking duly executed by the relevant Manager.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Evidence that the Borrowers are in compliance with clause 26.5 (</w:t>
      </w:r>
      <w:r>
        <w:rPr>
          <w:rFonts w:ascii="Arial" w:cs="Arial" w:eastAsia="Arial" w:hAnsi="Arial"/>
          <w:sz w:val="18"/>
          <w:szCs w:val="18"/>
          <w:i w:val="1"/>
          <w:iCs w:val="1"/>
          <w:color w:val="auto"/>
        </w:rPr>
        <w:t>Notice of assignment</w:t>
      </w:r>
      <w:r>
        <w:rPr>
          <w:rFonts w:ascii="Arial" w:cs="Arial" w:eastAsia="Arial" w:hAnsi="Arial"/>
          <w:sz w:val="18"/>
          <w:szCs w:val="18"/>
          <w:color w:val="auto"/>
        </w:rPr>
        <w:t>) in respect of each Ship.</w:t>
      </w:r>
    </w:p>
    <w:p>
      <w:pPr>
        <w:spacing w:after="0" w:line="252" w:lineRule="exact"/>
        <w:rPr>
          <w:rFonts w:ascii="Arial" w:cs="Arial" w:eastAsia="Arial" w:hAnsi="Arial"/>
          <w:sz w:val="18"/>
          <w:szCs w:val="18"/>
          <w:color w:val="auto"/>
        </w:rPr>
      </w:pPr>
    </w:p>
    <w:p>
      <w:pPr>
        <w:ind w:left="1072" w:right="80" w:hanging="532"/>
        <w:spacing w:after="0" w:line="268" w:lineRule="auto"/>
        <w:tabs>
          <w:tab w:leader="none" w:pos="107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Except in the case of Ship A, if the Ship is subject to a charter commitment that falls under the assignment requirements of clause 22.7(b), evidence that the Borrowers are in compliance with such clause in respect of such charter commitment.</w:t>
      </w:r>
    </w:p>
    <w:p>
      <w:pPr>
        <w:spacing w:after="0" w:line="199" w:lineRule="exact"/>
        <w:rPr>
          <w:rFonts w:ascii="Arial" w:cs="Arial" w:eastAsia="Arial" w:hAnsi="Arial"/>
          <w:sz w:val="18"/>
          <w:szCs w:val="18"/>
          <w:color w:val="auto"/>
        </w:rPr>
      </w:pPr>
    </w:p>
    <w:p>
      <w:pPr>
        <w:ind w:left="1072" w:right="700" w:hanging="532"/>
        <w:spacing w:after="0" w:line="268" w:lineRule="auto"/>
        <w:tabs>
          <w:tab w:leader="none" w:pos="107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Quiet Enjoyment Agreement for each Ship (except Ship A) duly executed by the relevant Owners, the Security Agent and the relevant Charterers.</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562"/>
        </w:numPr>
        <w:rPr>
          <w:rFonts w:ascii="Arial" w:cs="Arial" w:eastAsia="Arial" w:hAnsi="Arial"/>
          <w:sz w:val="16"/>
          <w:szCs w:val="16"/>
          <w:color w:val="auto"/>
        </w:rPr>
      </w:pPr>
      <w:r>
        <w:rPr>
          <w:rFonts w:ascii="Arial" w:cs="Arial" w:eastAsia="Arial" w:hAnsi="Arial"/>
          <w:sz w:val="16"/>
          <w:szCs w:val="16"/>
          <w:color w:val="auto"/>
        </w:rPr>
        <w:t>Duly executed notices of assignment and acknowledgements required by the relevant Charter Assignment for each Ship (except Ship A).</w:t>
      </w:r>
    </w:p>
    <w:p>
      <w:pPr>
        <w:spacing w:after="0" w:line="275" w:lineRule="exact"/>
        <w:rPr>
          <w:rFonts w:ascii="Arial" w:cs="Arial" w:eastAsia="Arial" w:hAnsi="Arial"/>
          <w:sz w:val="16"/>
          <w:szCs w:val="16"/>
          <w:color w:val="auto"/>
        </w:rPr>
      </w:pPr>
    </w:p>
    <w:p>
      <w:pPr>
        <w:ind w:left="1072" w:hanging="532"/>
        <w:spacing w:after="0" w:line="306" w:lineRule="auto"/>
        <w:tabs>
          <w:tab w:leader="none" w:pos="1072" w:val="left"/>
        </w:tabs>
        <w:numPr>
          <w:ilvl w:val="1"/>
          <w:numId w:val="562"/>
        </w:numPr>
        <w:rPr>
          <w:rFonts w:ascii="Arial" w:cs="Arial" w:eastAsia="Arial" w:hAnsi="Arial"/>
          <w:sz w:val="16"/>
          <w:szCs w:val="16"/>
          <w:color w:val="auto"/>
        </w:rPr>
      </w:pPr>
      <w:r>
        <w:rPr>
          <w:rFonts w:ascii="Arial" w:cs="Arial" w:eastAsia="Arial" w:hAnsi="Arial"/>
          <w:sz w:val="16"/>
          <w:szCs w:val="16"/>
          <w:color w:val="auto"/>
        </w:rPr>
        <w:t>Other than the notices of assignment and acknowledgements referred to in paragraph (f) above, duly executed notices of assignment and acknowledgements of those notices as required by any of the above Security Documents (including notices of assignment and acknowledgements, in agreed form, in respect of the assignment of the Earnings of Ship A in relation to the Cool Pool Arrangements).</w:t>
      </w:r>
    </w:p>
    <w:p>
      <w:pPr>
        <w:spacing w:after="0" w:line="154" w:lineRule="exact"/>
        <w:rPr>
          <w:sz w:val="20"/>
          <w:szCs w:val="20"/>
          <w:color w:val="auto"/>
        </w:rPr>
      </w:pPr>
    </w:p>
    <w:p>
      <w:pPr>
        <w:ind w:left="532" w:right="9260" w:hanging="532"/>
        <w:spacing w:after="0" w:line="605" w:lineRule="auto"/>
        <w:tabs>
          <w:tab w:leader="none" w:pos="475" w:val="left"/>
        </w:tabs>
        <w:numPr>
          <w:ilvl w:val="0"/>
          <w:numId w:val="5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Registration of Ship </w:t>
      </w:r>
      <w:r>
        <w:rPr>
          <w:rFonts w:ascii="Arial" w:cs="Arial" w:eastAsia="Arial" w:hAnsi="Arial"/>
          <w:sz w:val="15"/>
          <w:szCs w:val="15"/>
          <w:color w:val="auto"/>
        </w:rPr>
        <w:t>Evidence that each Ship:</w:t>
      </w:r>
    </w:p>
    <w:p>
      <w:pPr>
        <w:spacing w:after="0" w:line="13" w:lineRule="exact"/>
        <w:rPr>
          <w:rFonts w:ascii="Arial" w:cs="Arial" w:eastAsia="Arial" w:hAnsi="Arial"/>
          <w:sz w:val="15"/>
          <w:szCs w:val="15"/>
          <w:b w:val="1"/>
          <w:bCs w:val="1"/>
          <w:color w:val="auto"/>
        </w:rPr>
      </w:pPr>
    </w:p>
    <w:p>
      <w:pPr>
        <w:jc w:val="both"/>
        <w:ind w:left="1072" w:right="280" w:hanging="532"/>
        <w:spacing w:after="0" w:line="259" w:lineRule="auto"/>
        <w:tabs>
          <w:tab w:leader="none" w:pos="1072"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free from any Security Interests (other than Security Interests created under the Finance Documents) through the relevant Registry as a ship under the laws and flag of the relevant Flag State;</w:t>
      </w:r>
    </w:p>
    <w:p>
      <w:pPr>
        <w:spacing w:after="0" w:line="207" w:lineRule="exact"/>
        <w:rPr>
          <w:rFonts w:ascii="Arial" w:cs="Arial" w:eastAsia="Arial" w:hAnsi="Arial"/>
          <w:sz w:val="18"/>
          <w:szCs w:val="18"/>
          <w:color w:val="auto"/>
        </w:rPr>
      </w:pPr>
    </w:p>
    <w:p>
      <w:pPr>
        <w:ind w:left="1072" w:hanging="532"/>
        <w:spacing w:after="0"/>
        <w:tabs>
          <w:tab w:leader="none" w:pos="1072" w:val="left"/>
        </w:tabs>
        <w:numPr>
          <w:ilvl w:val="1"/>
          <w:numId w:val="563"/>
        </w:numPr>
        <w:rPr>
          <w:rFonts w:ascii="Arial" w:cs="Arial" w:eastAsia="Arial" w:hAnsi="Arial"/>
          <w:sz w:val="18"/>
          <w:szCs w:val="18"/>
          <w:color w:val="auto"/>
        </w:rPr>
      </w:pPr>
      <w:r>
        <w:rPr>
          <w:rFonts w:ascii="Arial" w:cs="Arial" w:eastAsia="Arial" w:hAnsi="Arial"/>
          <w:sz w:val="18"/>
          <w:szCs w:val="18"/>
          <w:color w:val="auto"/>
        </w:rPr>
        <w:t>(except in the case of Ship A), it has been accepted by the Charterer under the relevant Charter;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563"/>
        </w:numPr>
        <w:rPr>
          <w:rFonts w:ascii="Arial" w:cs="Arial" w:eastAsia="Arial" w:hAnsi="Arial"/>
          <w:sz w:val="16"/>
          <w:szCs w:val="16"/>
          <w:color w:val="auto"/>
        </w:rPr>
      </w:pPr>
      <w:r>
        <w:rPr>
          <w:rFonts w:ascii="Arial" w:cs="Arial" w:eastAsia="Arial" w:hAnsi="Arial"/>
          <w:sz w:val="16"/>
          <w:szCs w:val="16"/>
          <w:color w:val="auto"/>
        </w:rPr>
        <w:t>is classed with the relevant Classification free of all overdue requirements and recommendations of the relevant Classification Society;</w:t>
      </w:r>
    </w:p>
    <w:p>
      <w:pPr>
        <w:spacing w:after="0" w:line="261" w:lineRule="exact"/>
        <w:rPr>
          <w:rFonts w:ascii="Arial" w:cs="Arial" w:eastAsia="Arial" w:hAnsi="Arial"/>
          <w:sz w:val="16"/>
          <w:szCs w:val="16"/>
          <w:color w:val="auto"/>
        </w:rPr>
      </w:pPr>
    </w:p>
    <w:p>
      <w:pPr>
        <w:ind w:left="1072" w:hanging="532"/>
        <w:spacing w:after="0"/>
        <w:tabs>
          <w:tab w:leader="none" w:pos="1072"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 and</w:t>
      </w:r>
    </w:p>
    <w:p>
      <w:pPr>
        <w:spacing w:after="0" w:line="252" w:lineRule="exact"/>
        <w:rPr>
          <w:rFonts w:ascii="Arial" w:cs="Arial" w:eastAsia="Arial" w:hAnsi="Arial"/>
          <w:sz w:val="18"/>
          <w:szCs w:val="18"/>
          <w:color w:val="auto"/>
        </w:rPr>
      </w:pPr>
    </w:p>
    <w:p>
      <w:pPr>
        <w:ind w:left="1072" w:right="500" w:hanging="532"/>
        <w:spacing w:after="0" w:line="268" w:lineRule="auto"/>
        <w:tabs>
          <w:tab w:leader="none" w:pos="1072"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is otherwise free of any other charter commitment (other than the relevant Charter, where applicable) which would require approval under the Finance Documents and is not otherwise approved.</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32"/>
          </w:cols>
          <w:pgMar w:left="168" w:top="58" w:right="199" w:bottom="1440" w:gutter="0" w:footer="0" w:header="0"/>
        </w:sectPr>
      </w:pPr>
    </w:p>
    <w:bookmarkStart w:id="376" w:name="page377"/>
    <w:bookmarkEnd w:id="376"/>
    <w:p>
      <w:pPr>
        <w:spacing w:after="0"/>
        <w:tabs>
          <w:tab w:leader="none" w:pos="4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Mortgage registration</w:t>
      </w:r>
    </w:p>
    <w:p>
      <w:pPr>
        <w:spacing w:after="0" w:line="23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Evidence that the Mortgage in respect of each Ship has been registered with first priority and/or preferred status against the relevant Ship through the relevant Registry under the laws and flag of the relevant Flag State.</w:t>
      </w:r>
    </w:p>
    <w:p>
      <w:pPr>
        <w:spacing w:after="0" w:line="193" w:lineRule="exact"/>
        <w:rPr>
          <w:sz w:val="20"/>
          <w:szCs w:val="20"/>
          <w:color w:val="auto"/>
        </w:rPr>
      </w:pPr>
    </w:p>
    <w:p>
      <w:pPr>
        <w:ind w:left="540" w:hanging="532"/>
        <w:spacing w:after="0"/>
        <w:tabs>
          <w:tab w:leader="none" w:pos="54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 relation to each Ship's Insurances: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40" w:right="9380" w:hanging="532"/>
        <w:spacing w:after="0" w:line="504" w:lineRule="auto"/>
        <w:tabs>
          <w:tab w:leader="none" w:pos="54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spacing w:after="0" w:line="1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564"/>
        </w:numPr>
        <w:rPr>
          <w:rFonts w:ascii="Arial" w:cs="Arial" w:eastAsia="Arial" w:hAnsi="Arial"/>
          <w:sz w:val="16"/>
          <w:szCs w:val="16"/>
          <w:color w:val="auto"/>
        </w:rPr>
      </w:pPr>
      <w:r>
        <w:rPr>
          <w:rFonts w:ascii="Arial" w:cs="Arial" w:eastAsia="Arial" w:hAnsi="Arial"/>
          <w:sz w:val="16"/>
          <w:szCs w:val="16"/>
          <w:color w:val="auto"/>
        </w:rPr>
        <w:t>the document of compliance issued in accordance with the ISM Code to the person who is the operator of each Ship for the purposes of that code;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safety management certificate in respect of each Ship issued in accordance with the ISM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each Ship issued under the ISPS Code;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each Ship or in relation to its operation under any applicable law.</w:t>
      </w:r>
    </w:p>
    <w:p>
      <w:pPr>
        <w:spacing w:after="0" w:line="179" w:lineRule="exact"/>
        <w:rPr>
          <w:rFonts w:ascii="Arial" w:cs="Arial" w:eastAsia="Arial" w:hAnsi="Arial"/>
          <w:sz w:val="18"/>
          <w:szCs w:val="18"/>
          <w:color w:val="auto"/>
        </w:rPr>
      </w:pPr>
    </w:p>
    <w:p>
      <w:pPr>
        <w:ind w:left="500" w:hanging="492"/>
        <w:spacing w:after="0"/>
        <w:tabs>
          <w:tab w:leader="none" w:pos="50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Evidence that the fees,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93" w:lineRule="exact"/>
        <w:rPr>
          <w:sz w:val="20"/>
          <w:szCs w:val="20"/>
          <w:color w:val="auto"/>
        </w:rPr>
      </w:pPr>
    </w:p>
    <w:p>
      <w:pPr>
        <w:ind w:left="540" w:hanging="532"/>
        <w:spacing w:after="0"/>
        <w:tabs>
          <w:tab w:leader="none" w:pos="54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31" w:lineRule="exact"/>
        <w:rPr>
          <w:rFonts w:ascii="Arial" w:cs="Arial" w:eastAsia="Arial" w:hAnsi="Arial"/>
          <w:sz w:val="18"/>
          <w:szCs w:val="18"/>
          <w:b w:val="1"/>
          <w:bCs w:val="1"/>
          <w:color w:val="auto"/>
        </w:rPr>
      </w:pPr>
    </w:p>
    <w:p>
      <w:pPr>
        <w:ind w:left="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Copies of each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214" w:lineRule="exact"/>
        <w:rPr>
          <w:rFonts w:ascii="Arial" w:cs="Arial" w:eastAsia="Arial" w:hAnsi="Arial"/>
          <w:sz w:val="18"/>
          <w:szCs w:val="18"/>
          <w:b w:val="1"/>
          <w:bCs w:val="1"/>
          <w:color w:val="auto"/>
        </w:rPr>
      </w:pPr>
    </w:p>
    <w:p>
      <w:pPr>
        <w:ind w:left="540" w:hanging="532"/>
        <w:spacing w:after="0"/>
        <w:tabs>
          <w:tab w:leader="none" w:pos="54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31" w:lineRule="exact"/>
        <w:rPr>
          <w:rFonts w:ascii="Arial" w:cs="Arial" w:eastAsia="Arial" w:hAnsi="Arial"/>
          <w:sz w:val="18"/>
          <w:szCs w:val="18"/>
          <w:b w:val="1"/>
          <w:bCs w:val="1"/>
          <w:color w:val="auto"/>
        </w:rPr>
      </w:pPr>
    </w:p>
    <w:p>
      <w:pPr>
        <w:ind w:left="540"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Evidence that any consents required in connection with the registration of title to each Ship, the registration of the Mortgage over each Ship and, if applicable, the assignment of any Charter in relation to the Ship have been obtained.</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45" w:right="299" w:bottom="1440" w:gutter="0" w:footer="0" w:header="0"/>
        </w:sectPr>
      </w:pPr>
    </w:p>
    <w:bookmarkStart w:id="377" w:name="page378"/>
    <w:bookmarkEnd w:id="377"/>
    <w:p>
      <w:pPr>
        <w:ind w:left="532" w:hanging="532"/>
        <w:spacing w:after="0"/>
        <w:tabs>
          <w:tab w:leader="none" w:pos="532"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31" w:lineRule="exact"/>
        <w:rPr>
          <w:rFonts w:ascii="Arial" w:cs="Arial" w:eastAsia="Arial" w:hAnsi="Arial"/>
          <w:sz w:val="18"/>
          <w:szCs w:val="18"/>
          <w:b w:val="1"/>
          <w:bCs w:val="1"/>
          <w:color w:val="auto"/>
        </w:rPr>
      </w:pPr>
    </w:p>
    <w:p>
      <w:pPr>
        <w:ind w:left="53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copy, certified by an approved person to be a true and complete copy, of the Management Agreement between the relevant Owner and each Manager relating to the appointment of that Manager in respect of each Ship.</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Survey report</w:t>
      </w:r>
    </w:p>
    <w:p>
      <w:pPr>
        <w:spacing w:after="0" w:line="231" w:lineRule="exact"/>
        <w:rPr>
          <w:rFonts w:ascii="Arial" w:cs="Arial" w:eastAsia="Arial" w:hAnsi="Arial"/>
          <w:sz w:val="18"/>
          <w:szCs w:val="18"/>
          <w:b w:val="1"/>
          <w:bCs w:val="1"/>
          <w:color w:val="auto"/>
        </w:rPr>
      </w:pPr>
    </w:p>
    <w:p>
      <w:pPr>
        <w:ind w:left="53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required by the Agent) A survey report from approved surveyors obtained not more than ten (10) days before the relevant Utilisation Date evidencing that each Ship is seaworthy and capable of safe operation.</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31" w:lineRule="exact"/>
        <w:rPr>
          <w:rFonts w:ascii="Arial" w:cs="Arial" w:eastAsia="Arial" w:hAnsi="Arial"/>
          <w:sz w:val="18"/>
          <w:szCs w:val="18"/>
          <w:b w:val="1"/>
          <w:bCs w:val="1"/>
          <w:color w:val="auto"/>
        </w:rPr>
      </w:pPr>
    </w:p>
    <w:p>
      <w:pPr>
        <w:ind w:left="53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Evidence that the Borrowers are in compliance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 in respect of each Ship and that the minimum balance required thereunder in respect of each Ship upon the first Utilisation has been paid into the relevant Earnings Account.</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w:t>
      </w:r>
    </w:p>
    <w:p>
      <w:pPr>
        <w:spacing w:after="0" w:line="231"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Any other document, authorisation, opinion or assurance required by the Agent.</w:t>
      </w:r>
    </w:p>
    <w:p>
      <w:pPr>
        <w:spacing w:after="0" w:line="246" w:lineRule="exact"/>
        <w:rPr>
          <w:rFonts w:ascii="Arial" w:cs="Arial" w:eastAsia="Arial" w:hAnsi="Arial"/>
          <w:sz w:val="18"/>
          <w:szCs w:val="18"/>
          <w:b w:val="1"/>
          <w:bCs w:val="1"/>
          <w:color w:val="auto"/>
        </w:rPr>
      </w:pPr>
    </w:p>
    <w:p>
      <w:pPr>
        <w:ind w:left="532" w:hanging="532"/>
        <w:spacing w:after="0"/>
        <w:tabs>
          <w:tab w:leader="none" w:pos="532"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Valuations</w:t>
      </w:r>
    </w:p>
    <w:p>
      <w:pPr>
        <w:spacing w:after="0" w:line="231"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Valuations dated at least five (5) calendar days before but no more than 90 calendar days before the proposed Utilisation and otherwise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8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52"/>
          </w:cols>
          <w:pgMar w:left="168" w:top="58" w:right="279" w:bottom="1440" w:gutter="0" w:footer="0" w:header="0"/>
        </w:sectPr>
      </w:pPr>
    </w:p>
    <w:bookmarkStart w:id="378" w:name="page379"/>
    <w:bookmarkEnd w:id="378"/>
    <w:p>
      <w:pPr>
        <w:jc w:val="center"/>
        <w:ind w:right="-91"/>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Conditions precedent to each further Utilisation</w:t>
      </w:r>
    </w:p>
    <w:p>
      <w:pPr>
        <w:spacing w:after="0" w:line="225" w:lineRule="exact"/>
        <w:rPr>
          <w:sz w:val="20"/>
          <w:szCs w:val="20"/>
          <w:color w:val="auto"/>
        </w:rPr>
      </w:pPr>
    </w:p>
    <w:p>
      <w:pPr>
        <w:ind w:left="472" w:hanging="472"/>
        <w:spacing w:after="0"/>
        <w:tabs>
          <w:tab w:leader="none" w:pos="472"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31" w:lineRule="exact"/>
        <w:rPr>
          <w:sz w:val="20"/>
          <w:szCs w:val="20"/>
          <w:color w:val="auto"/>
        </w:rPr>
      </w:pPr>
    </w:p>
    <w:p>
      <w:pPr>
        <w:ind w:left="532" w:right="300"/>
        <w:spacing w:after="0" w:line="268" w:lineRule="auto"/>
        <w:rPr>
          <w:sz w:val="20"/>
          <w:szCs w:val="20"/>
          <w:color w:val="auto"/>
        </w:rPr>
      </w:pPr>
      <w:r>
        <w:rPr>
          <w:rFonts w:ascii="Arial" w:cs="Arial" w:eastAsia="Arial" w:hAnsi="Arial"/>
          <w:sz w:val="18"/>
          <w:szCs w:val="18"/>
          <w:color w:val="auto"/>
        </w:rPr>
        <w:t>Other than in respect of a Rollover Loan, Valuations dated at least five (5) calendar days before but no more than 90 calendar days before the proposed Utilisation of each Ship and otherwise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80" w:lineRule="exact"/>
        <w:rPr>
          <w:sz w:val="20"/>
          <w:szCs w:val="20"/>
          <w:color w:val="auto"/>
        </w:rPr>
      </w:pPr>
    </w:p>
    <w:p>
      <w:pPr>
        <w:ind w:left="492" w:hanging="492"/>
        <w:spacing w:after="0"/>
        <w:tabs>
          <w:tab w:leader="none" w:pos="492"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Evidence that the fees,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8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41870"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32"/>
          </w:cols>
          <w:pgMar w:left="168" w:top="261" w:right="299" w:bottom="1440" w:gutter="0" w:footer="0" w:header="0"/>
        </w:sectPr>
      </w:pPr>
    </w:p>
    <w:bookmarkStart w:id="379" w:name="page380"/>
    <w:bookmarkEnd w:id="379"/>
    <w:p>
      <w:pPr>
        <w:ind w:left="5380"/>
        <w:spacing w:after="0"/>
        <w:rPr>
          <w:sz w:val="20"/>
          <w:szCs w:val="20"/>
          <w:color w:val="auto"/>
        </w:rPr>
      </w:pPr>
      <w:r>
        <w:rPr>
          <w:rFonts w:ascii="Arial" w:cs="Arial" w:eastAsia="Arial" w:hAnsi="Arial"/>
          <w:sz w:val="18"/>
          <w:szCs w:val="18"/>
          <w:b w:val="1"/>
          <w:bCs w:val="1"/>
          <w:color w:val="auto"/>
        </w:rPr>
        <w:t>Schedule 4</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Utilisation Request</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GAS-three Ltd.</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GAS-four Ltd.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GAS-five Ltd.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GAS-sixteen Ltd.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GAS-seventeen Ltd.</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Sirs </w:t>
      </w:r>
      <w:r>
        <w:rPr>
          <w:rFonts w:ascii="Arial" w:cs="Arial" w:eastAsia="Arial" w:hAnsi="Arial"/>
          <w:sz w:val="18"/>
          <w:szCs w:val="18"/>
          <w:b w:val="1"/>
          <w:bCs w:val="1"/>
          <w:color w:val="auto"/>
        </w:rPr>
        <w:t>$450,000,000 Facility Agreement dated [·] 2019 (the Agreement)</w:t>
      </w:r>
    </w:p>
    <w:p>
      <w:pPr>
        <w:spacing w:after="0" w:line="245" w:lineRule="exact"/>
        <w:rPr>
          <w:sz w:val="20"/>
          <w:szCs w:val="20"/>
          <w:color w:val="auto"/>
        </w:rPr>
      </w:pPr>
    </w:p>
    <w:p>
      <w:pPr>
        <w:ind w:left="540" w:hanging="532"/>
        <w:spacing w:after="0" w:line="268" w:lineRule="auto"/>
        <w:tabs>
          <w:tab w:leader="none" w:pos="54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213" w:lineRule="exact"/>
        <w:rPr>
          <w:sz w:val="20"/>
          <w:szCs w:val="20"/>
          <w:color w:val="auto"/>
        </w:rPr>
      </w:pPr>
    </w:p>
    <w:p>
      <w:pPr>
        <w:ind w:left="540" w:hanging="532"/>
        <w:spacing w:after="0"/>
        <w:tabs>
          <w:tab w:leader="none" w:pos="54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We wish to borrow [a Revolving Loan under each of the Revolving Loan Ship Tranches on the following terms:</w:t>
      </w:r>
    </w:p>
    <w:p>
      <w:pPr>
        <w:sectPr>
          <w:pgSz w:w="11900" w:h="16838" w:orient="portrait"/>
          <w:cols w:equalWidth="0" w:num="1">
            <w:col w:w="11440"/>
          </w:cols>
          <w:pgMar w:left="160" w:top="261" w:right="299" w:bottom="144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(or, if that is not a Business Day, the next Business Day)</w:t>
      </w:r>
    </w:p>
    <w:p>
      <w:pPr>
        <w:spacing w:after="0" w:line="211" w:lineRule="exact"/>
        <w:rPr>
          <w:sz w:val="20"/>
          <w:szCs w:val="20"/>
          <w:color w:val="auto"/>
        </w:rPr>
      </w:pPr>
    </w:p>
    <w:p>
      <w:pPr>
        <w:sectPr>
          <w:pgSz w:w="11900" w:h="16838" w:orient="portrait"/>
          <w:cols w:equalWidth="0" w:num="2">
            <w:col w:w="2520" w:space="720"/>
            <w:col w:w="8200"/>
          </w:cols>
          <w:pgMar w:left="160" w:top="261" w:right="299" w:bottom="1440" w:gutter="0" w:footer="0" w:header="0"/>
          <w:type w:val="continuous"/>
        </w:sectPr>
      </w:pP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of which $[·] is related to Rollover Loans</w:t>
      </w:r>
    </w:p>
    <w:p>
      <w:pPr>
        <w:spacing w:after="0" w:line="200" w:lineRule="exact"/>
        <w:rPr>
          <w:sz w:val="20"/>
          <w:szCs w:val="20"/>
          <w:color w:val="auto"/>
        </w:rPr>
      </w:pPr>
    </w:p>
    <w:p>
      <w:pPr>
        <w:sectPr>
          <w:pgSz w:w="11900" w:h="16838" w:orient="portrait"/>
          <w:cols w:equalWidth="0" w:num="2">
            <w:col w:w="2520" w:space="720"/>
            <w:col w:w="8200"/>
          </w:cols>
          <w:pgMar w:left="160" w:top="261" w:right="299" w:bottom="1440" w:gutter="0" w:footer="0" w:header="0"/>
          <w:type w:val="continuous"/>
        </w:sectPr>
      </w:pPr>
    </w:p>
    <w:p>
      <w:pPr>
        <w:spacing w:after="0" w:line="62" w:lineRule="exact"/>
        <w:rPr>
          <w:sz w:val="20"/>
          <w:szCs w:val="20"/>
          <w:color w:val="auto"/>
        </w:rPr>
      </w:pPr>
    </w:p>
    <w:p>
      <w:pPr>
        <w:ind w:left="540" w:hanging="532"/>
        <w:spacing w:after="0"/>
        <w:tabs>
          <w:tab w:leader="none" w:pos="54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We confirm that each condition specified in clause 4.3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is satisfied on the date of this Utilisation Request.</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w:t>
      </w:r>
      <w:r>
        <w:rPr>
          <w:rFonts w:ascii="Arial" w:cs="Arial" w:eastAsia="Arial" w:hAnsi="Arial"/>
          <w:sz w:val="15"/>
          <w:szCs w:val="15"/>
          <w:color w:val="auto"/>
        </w:rPr>
        <w:t>We further confirm that on the basis of the most recent valuations made in accordance with clause 25 (</w:t>
      </w:r>
      <w:r>
        <w:rPr>
          <w:rFonts w:ascii="Arial" w:cs="Arial" w:eastAsia="Arial" w:hAnsi="Arial"/>
          <w:sz w:val="15"/>
          <w:szCs w:val="15"/>
          <w:i w:val="1"/>
          <w:iCs w:val="1"/>
          <w:color w:val="auto"/>
        </w:rPr>
        <w:t>Minimum Security Value</w:t>
      </w:r>
      <w:r>
        <w:rPr>
          <w:rFonts w:ascii="Arial" w:cs="Arial" w:eastAsia="Arial" w:hAnsi="Arial"/>
          <w:sz w:val="15"/>
          <w:szCs w:val="15"/>
          <w:color w:val="auto"/>
        </w:rPr>
        <w:t>):</w:t>
      </w:r>
    </w:p>
    <w:p>
      <w:pPr>
        <w:sectPr>
          <w:pgSz w:w="11900" w:h="16838" w:orient="portrait"/>
          <w:cols w:equalWidth="0" w:num="1">
            <w:col w:w="11440"/>
          </w:cols>
          <w:pgMar w:left="160" w:top="261" w:right="29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Security Value as at the Proposed Utilisation Date is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3">
            <w:col w:w="5200" w:space="180"/>
            <w:col w:w="40" w:space="180"/>
            <w:col w:w="5840"/>
          </w:cols>
          <w:pgMar w:left="160" w:top="261" w:right="299" w:bottom="1440" w:gutter="0" w:footer="0" w:header="0"/>
          <w:type w:val="continuous"/>
        </w:sectPr>
      </w:pPr>
    </w:p>
    <w:p>
      <w:pPr>
        <w:spacing w:after="0" w:line="48" w:lineRule="exact"/>
        <w:rPr>
          <w:sz w:val="20"/>
          <w:szCs w:val="20"/>
          <w:color w:val="auto"/>
        </w:rPr>
      </w:pPr>
    </w:p>
    <w:p>
      <w:pPr>
        <w:ind w:left="1080" w:right="160" w:hanging="539"/>
        <w:spacing w:after="0" w:line="268" w:lineRule="auto"/>
        <w:tabs>
          <w:tab w:leader="none" w:pos="10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Security Value is [ · ]% of the aggregate of the current outstanding Revolving Loans and the Revolving Loans requested under this notice. The applicable Margin is therefore [ · ]% per annum; and</w:t>
      </w:r>
    </w:p>
    <w:p>
      <w:pPr>
        <w:sectPr>
          <w:pgSz w:w="11900" w:h="16838" w:orient="portrait"/>
          <w:cols w:equalWidth="0" w:num="1">
            <w:col w:w="11440"/>
          </w:cols>
          <w:pgMar w:left="160" w:top="261" w:right="299" w:bottom="1440" w:gutter="0" w:footer="0" w:header="0"/>
          <w:type w:val="continuous"/>
        </w:sectPr>
      </w:pPr>
    </w:p>
    <w:p>
      <w:pPr>
        <w:spacing w:after="0" w:line="213" w:lineRule="exact"/>
        <w:rPr>
          <w:sz w:val="20"/>
          <w:szCs w:val="20"/>
          <w:color w:val="auto"/>
        </w:rPr>
      </w:pPr>
    </w:p>
    <w:p>
      <w:pPr>
        <w:ind w:left="1080" w:hanging="532"/>
        <w:spacing w:after="0"/>
        <w:tabs>
          <w:tab w:leader="none" w:pos="108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total amount advanced under all of the Revolving Loan Ship Tranches under the facility including the Revolving Loans requested under this</w:t>
      </w:r>
    </w:p>
    <w:p>
      <w:pPr>
        <w:spacing w:after="0" w:line="38"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notice is $[</w:t>
        <w:tab/>
        <w:t>·</w:t>
      </w:r>
      <w:r>
        <w:rPr>
          <w:sz w:val="20"/>
          <w:szCs w:val="20"/>
          <w:color w:val="auto"/>
        </w:rPr>
        <w:tab/>
      </w:r>
      <w:r>
        <w:rPr>
          <w:rFonts w:ascii="Arial" w:cs="Arial" w:eastAsia="Arial" w:hAnsi="Arial"/>
          <w:sz w:val="15"/>
          <w:szCs w:val="15"/>
          <w:color w:val="auto"/>
        </w:rPr>
        <w:t>], which does not exceed 75% of the aggregate of the market values of all Ships as at the Proposed Utilisation Date.</w:t>
      </w:r>
    </w:p>
    <w:p>
      <w:pPr>
        <w:spacing w:after="0" w:line="200" w:lineRule="exact"/>
        <w:rPr>
          <w:sz w:val="20"/>
          <w:szCs w:val="20"/>
          <w:color w:val="auto"/>
        </w:rPr>
      </w:pPr>
    </w:p>
    <w:p>
      <w:pPr>
        <w:spacing w:after="0" w:line="262" w:lineRule="exact"/>
        <w:rPr>
          <w:sz w:val="20"/>
          <w:szCs w:val="20"/>
          <w:color w:val="auto"/>
        </w:rPr>
      </w:pPr>
    </w:p>
    <w:p>
      <w:pPr>
        <w:ind w:left="540" w:hanging="532"/>
        <w:spacing w:after="0" w:line="268" w:lineRule="auto"/>
        <w:tabs>
          <w:tab w:leader="none" w:pos="54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Revolving Loans [refinance the Existing Indebtedness][</w:t>
      </w:r>
      <w:r>
        <w:rPr>
          <w:rFonts w:ascii="Arial" w:cs="Arial" w:eastAsia="Arial" w:hAnsi="Arial"/>
          <w:sz w:val="18"/>
          <w:szCs w:val="18"/>
          <w:b w:val="1"/>
          <w:bCs w:val="1"/>
          <w:i w:val="1"/>
          <w:iCs w:val="1"/>
          <w:color w:val="auto"/>
        </w:rPr>
        <w:t>specify other</w:t>
      </w:r>
      <w:r>
        <w:rPr>
          <w:rFonts w:ascii="Arial" w:cs="Arial" w:eastAsia="Arial" w:hAnsi="Arial"/>
          <w:sz w:val="18"/>
          <w:szCs w:val="18"/>
          <w:color w:val="auto"/>
        </w:rPr>
        <w:t>] and its proceeds should be credited to the Earnings Account of each Ship for the amounts set out below:</w:t>
      </w:r>
    </w:p>
    <w:p>
      <w:pPr>
        <w:spacing w:after="0" w:line="186" w:lineRule="exact"/>
        <w:rPr>
          <w:sz w:val="20"/>
          <w:szCs w:val="20"/>
          <w:color w:val="auto"/>
        </w:rPr>
      </w:pPr>
    </w:p>
    <w:p>
      <w:pPr>
        <w:ind w:left="1080"/>
        <w:spacing w:after="0"/>
        <w:tabs>
          <w:tab w:leader="none" w:pos="2020" w:val="left"/>
          <w:tab w:leader="none" w:pos="2240" w:val="left"/>
        </w:tabs>
        <w:rPr>
          <w:sz w:val="20"/>
          <w:szCs w:val="20"/>
          <w:color w:val="auto"/>
        </w:rPr>
      </w:pPr>
      <w:r>
        <w:rPr>
          <w:rFonts w:ascii="Arial" w:cs="Arial" w:eastAsia="Arial" w:hAnsi="Arial"/>
          <w:sz w:val="18"/>
          <w:szCs w:val="18"/>
          <w:color w:val="auto"/>
        </w:rPr>
        <w:t>[Ship A: $[</w:t>
        <w:tab/>
        <w:t>·</w:t>
        <w:tab/>
        <w:t>];</w:t>
      </w:r>
    </w:p>
    <w:p>
      <w:pPr>
        <w:spacing w:after="0" w:line="225" w:lineRule="exact"/>
        <w:rPr>
          <w:sz w:val="20"/>
          <w:szCs w:val="20"/>
          <w:color w:val="auto"/>
        </w:rPr>
      </w:pPr>
    </w:p>
    <w:p>
      <w:pPr>
        <w:ind w:left="1080"/>
        <w:spacing w:after="0"/>
        <w:tabs>
          <w:tab w:leader="none" w:pos="1960" w:val="left"/>
          <w:tab w:leader="none" w:pos="2180" w:val="left"/>
        </w:tabs>
        <w:rPr>
          <w:sz w:val="20"/>
          <w:szCs w:val="20"/>
          <w:color w:val="auto"/>
        </w:rPr>
      </w:pPr>
      <w:r>
        <w:rPr>
          <w:rFonts w:ascii="Arial" w:cs="Arial" w:eastAsia="Arial" w:hAnsi="Arial"/>
          <w:sz w:val="18"/>
          <w:szCs w:val="18"/>
          <w:color w:val="auto"/>
        </w:rPr>
        <w:t>Ship B: $[</w:t>
        <w:tab/>
        <w:t>·</w:t>
        <w:tab/>
        <w:t>];</w:t>
      </w:r>
    </w:p>
    <w:p>
      <w:pPr>
        <w:spacing w:after="0" w:line="225" w:lineRule="exact"/>
        <w:rPr>
          <w:sz w:val="20"/>
          <w:szCs w:val="20"/>
          <w:color w:val="auto"/>
        </w:rPr>
      </w:pPr>
    </w:p>
    <w:p>
      <w:pPr>
        <w:ind w:left="1080"/>
        <w:spacing w:after="0"/>
        <w:tabs>
          <w:tab w:leader="none" w:pos="1960" w:val="left"/>
          <w:tab w:leader="none" w:pos="2180" w:val="left"/>
        </w:tabs>
        <w:rPr>
          <w:sz w:val="20"/>
          <w:szCs w:val="20"/>
          <w:color w:val="auto"/>
        </w:rPr>
      </w:pPr>
      <w:r>
        <w:rPr>
          <w:rFonts w:ascii="Arial" w:cs="Arial" w:eastAsia="Arial" w:hAnsi="Arial"/>
          <w:sz w:val="18"/>
          <w:szCs w:val="18"/>
          <w:color w:val="auto"/>
        </w:rPr>
        <w:t>Ship C: $[</w:t>
        <w:tab/>
        <w:t>·</w:t>
        <w:tab/>
        <w:t>];</w:t>
      </w:r>
    </w:p>
    <w:p>
      <w:pPr>
        <w:spacing w:after="0" w:line="225" w:lineRule="exact"/>
        <w:rPr>
          <w:sz w:val="20"/>
          <w:szCs w:val="20"/>
          <w:color w:val="auto"/>
        </w:rPr>
      </w:pPr>
    </w:p>
    <w:p>
      <w:pPr>
        <w:ind w:left="1080"/>
        <w:spacing w:after="0"/>
        <w:tabs>
          <w:tab w:leader="none" w:pos="1980" w:val="left"/>
          <w:tab w:leader="none" w:pos="2200" w:val="left"/>
        </w:tabs>
        <w:rPr>
          <w:sz w:val="20"/>
          <w:szCs w:val="20"/>
          <w:color w:val="auto"/>
        </w:rPr>
      </w:pPr>
      <w:r>
        <w:rPr>
          <w:rFonts w:ascii="Arial" w:cs="Arial" w:eastAsia="Arial" w:hAnsi="Arial"/>
          <w:sz w:val="18"/>
          <w:szCs w:val="18"/>
          <w:color w:val="auto"/>
        </w:rPr>
        <w:t>Ship D: $[</w:t>
        <w:tab/>
        <w:t>·</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ind w:left="1080"/>
        <w:spacing w:after="0"/>
        <w:tabs>
          <w:tab w:leader="none" w:pos="1960" w:val="left"/>
          <w:tab w:leader="none" w:pos="2180" w:val="left"/>
        </w:tabs>
        <w:rPr>
          <w:sz w:val="20"/>
          <w:szCs w:val="20"/>
          <w:color w:val="auto"/>
        </w:rPr>
      </w:pPr>
      <w:r>
        <w:rPr>
          <w:rFonts w:ascii="Arial" w:cs="Arial" w:eastAsia="Arial" w:hAnsi="Arial"/>
          <w:sz w:val="18"/>
          <w:szCs w:val="18"/>
          <w:color w:val="auto"/>
        </w:rPr>
        <w:t>Ship E: $[</w:t>
        <w:tab/>
        <w:t>·</w:t>
        <w:tab/>
        <w:t>];]</w:t>
      </w:r>
    </w:p>
    <w:p>
      <w:pPr>
        <w:spacing w:after="0" w:line="239" w:lineRule="exact"/>
        <w:rPr>
          <w:sz w:val="20"/>
          <w:szCs w:val="20"/>
          <w:color w:val="auto"/>
        </w:rPr>
      </w:pPr>
    </w:p>
    <w:p>
      <w:pPr>
        <w:ind w:left="540" w:right="320" w:hanging="532"/>
        <w:spacing w:after="0" w:line="268" w:lineRule="auto"/>
        <w:tabs>
          <w:tab w:leader="none" w:pos="5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We attach to this Utilisation Request a set of valuations obtained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in accordance with clause 4.3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40"/>
          </w:cols>
          <w:pgMar w:left="160" w:top="261" w:right="299" w:bottom="1440" w:gutter="0" w:footer="0" w:header="0"/>
          <w:type w:val="continuous"/>
        </w:sectPr>
      </w:pPr>
    </w:p>
    <w:bookmarkStart w:id="380" w:name="page381"/>
    <w:bookmarkEnd w:id="380"/>
    <w:p>
      <w:pPr>
        <w:ind w:left="540" w:right="60" w:hanging="532"/>
        <w:spacing w:after="0" w:line="268" w:lineRule="auto"/>
        <w:tabs>
          <w:tab w:leader="none" w:pos="5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We confirm that we will use the proceeds of the Revolving Loans for our benefit and under our full responsibility and exclusively for the purposes specified in the Agreement.</w:t>
      </w:r>
    </w:p>
    <w:p>
      <w:pPr>
        <w:spacing w:after="0" w:line="213" w:lineRule="exact"/>
        <w:rPr>
          <w:sz w:val="20"/>
          <w:szCs w:val="20"/>
          <w:color w:val="auto"/>
        </w:rPr>
      </w:pPr>
    </w:p>
    <w:p>
      <w:pPr>
        <w:ind w:left="540" w:hanging="532"/>
        <w:spacing w:after="0" w:line="268" w:lineRule="auto"/>
        <w:tabs>
          <w:tab w:leader="none" w:pos="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We confirm that the Interest Period for the said Revolving Loans shall be three (3) months [</w:t>
      </w:r>
      <w:r>
        <w:rPr>
          <w:rFonts w:ascii="Arial" w:cs="Arial" w:eastAsia="Arial" w:hAnsi="Arial"/>
          <w:sz w:val="18"/>
          <w:szCs w:val="18"/>
          <w:b w:val="1"/>
          <w:bCs w:val="1"/>
          <w:i w:val="1"/>
          <w:iCs w:val="1"/>
          <w:color w:val="auto"/>
        </w:rPr>
        <w:t>or specify other interest period if agreed with all Lenders under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clause 9.1(a)</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9" w:lineRule="exact"/>
        <w:rPr>
          <w:sz w:val="20"/>
          <w:szCs w:val="20"/>
          <w:color w:val="auto"/>
        </w:rPr>
      </w:pPr>
    </w:p>
    <w:p>
      <w:pPr>
        <w:ind w:right="3240" w:firstLine="8"/>
        <w:spacing w:after="0" w:line="518" w:lineRule="auto"/>
        <w:tabs>
          <w:tab w:leader="none" w:pos="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This Utilisation Request is irrevocable and cannot be varied without the prior consent of the Majority Lenders.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28289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GAS-three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8289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GAS-four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8289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GAS-five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8289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GAS-sixteen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8289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GAS-seventeen LTD.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60"/>
          </w:cols>
          <w:pgMar w:left="160" w:top="65" w:right="179" w:bottom="1440" w:gutter="0" w:footer="0" w:header="0"/>
        </w:sectPr>
      </w:pPr>
    </w:p>
    <w:bookmarkStart w:id="381" w:name="page382"/>
    <w:bookmarkEnd w:id="381"/>
    <w:p>
      <w:pPr>
        <w:jc w:val="center"/>
        <w:ind w:right="-59"/>
        <w:spacing w:after="0"/>
        <w:rPr>
          <w:sz w:val="20"/>
          <w:szCs w:val="20"/>
          <w:color w:val="auto"/>
        </w:rPr>
      </w:pPr>
      <w:r>
        <w:rPr>
          <w:rFonts w:ascii="Arial" w:cs="Arial" w:eastAsia="Arial" w:hAnsi="Arial"/>
          <w:sz w:val="18"/>
          <w:szCs w:val="18"/>
          <w:b w:val="1"/>
          <w:bCs w:val="1"/>
          <w:color w:val="auto"/>
        </w:rPr>
        <w:t>Schedule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Compliance Certificate</w:t>
      </w:r>
    </w:p>
    <w:p>
      <w:pPr>
        <w:sectPr>
          <w:pgSz w:w="11900" w:h="16838" w:orient="portrait"/>
          <w:cols w:equalWidth="0" w:num="1">
            <w:col w:w="11520"/>
          </w:cols>
          <w:pgMar w:left="160" w:top="261" w:right="21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Nordea Bank Abp, filial i Norge </w:t>
      </w:r>
      <w:r>
        <w:rPr>
          <w:rFonts w:ascii="Arial" w:cs="Arial" w:eastAsia="Arial" w:hAnsi="Arial"/>
          <w:sz w:val="16"/>
          <w:szCs w:val="16"/>
          <w:color w:val="auto"/>
        </w:rPr>
        <w:t>as Agent</w:t>
      </w:r>
    </w:p>
    <w:p>
      <w:pPr>
        <w:spacing w:after="0" w:line="205" w:lineRule="exact"/>
        <w:rPr>
          <w:sz w:val="20"/>
          <w:szCs w:val="20"/>
          <w:color w:val="auto"/>
        </w:rPr>
      </w:pPr>
    </w:p>
    <w:p>
      <w:pPr>
        <w:sectPr>
          <w:pgSz w:w="11900" w:h="16838" w:orient="portrait"/>
          <w:cols w:equalWidth="0" w:num="2">
            <w:col w:w="240" w:space="600"/>
            <w:col w:w="10680"/>
          </w:cols>
          <w:pgMar w:left="160" w:top="261" w:right="21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GasLog Partners LP</w:t>
      </w:r>
    </w:p>
    <w:p>
      <w:pPr>
        <w:spacing w:after="0" w:line="211" w:lineRule="exact"/>
        <w:rPr>
          <w:sz w:val="20"/>
          <w:szCs w:val="20"/>
          <w:color w:val="auto"/>
        </w:rPr>
      </w:pPr>
    </w:p>
    <w:p>
      <w:pPr>
        <w:sectPr>
          <w:pgSz w:w="11900" w:h="16838" w:orient="portrait"/>
          <w:cols w:equalWidth="0" w:num="2">
            <w:col w:w="440" w:space="400"/>
            <w:col w:w="10680"/>
          </w:cols>
          <w:pgMar w:left="160" w:top="261" w:right="21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80" w:space="360"/>
            <w:col w:w="10680"/>
          </w:cols>
          <w:pgMar w:left="160" w:top="261" w:right="2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Dear Sirs</w:t>
      </w:r>
    </w:p>
    <w:p>
      <w:pPr>
        <w:sectPr>
          <w:pgSz w:w="11900" w:h="16838" w:orient="portrait"/>
          <w:cols w:equalWidth="0" w:num="1">
            <w:col w:w="11520"/>
          </w:cols>
          <w:pgMar w:left="160" w:top="261" w:right="219" w:bottom="1440" w:gutter="0" w:footer="0" w:header="0"/>
          <w:type w:val="continuous"/>
        </w:sectPr>
      </w:pPr>
    </w:p>
    <w:p>
      <w:pPr>
        <w:spacing w:after="0" w:line="254" w:lineRule="exact"/>
        <w:rPr>
          <w:sz w:val="20"/>
          <w:szCs w:val="20"/>
          <w:color w:val="auto"/>
        </w:rPr>
      </w:pPr>
    </w:p>
    <w:p>
      <w:pPr>
        <w:spacing w:after="0"/>
        <w:tabs>
          <w:tab w:leader="none" w:pos="3180" w:val="left"/>
          <w:tab w:leader="none" w:pos="3400" w:val="left"/>
        </w:tabs>
        <w:rPr>
          <w:sz w:val="20"/>
          <w:szCs w:val="20"/>
          <w:color w:val="auto"/>
        </w:rPr>
      </w:pPr>
      <w:r>
        <w:rPr>
          <w:rFonts w:ascii="Arial" w:cs="Arial" w:eastAsia="Arial" w:hAnsi="Arial"/>
          <w:sz w:val="16"/>
          <w:szCs w:val="16"/>
          <w:b w:val="1"/>
          <w:bCs w:val="1"/>
          <w:color w:val="auto"/>
        </w:rPr>
        <w:t>$450,000,000 Facility Agreement dated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2019 (the Agreement)</w:t>
      </w:r>
    </w:p>
    <w:p>
      <w:pPr>
        <w:spacing w:after="0" w:line="245" w:lineRule="exact"/>
        <w:rPr>
          <w:sz w:val="20"/>
          <w:szCs w:val="20"/>
          <w:color w:val="auto"/>
        </w:rPr>
      </w:pPr>
    </w:p>
    <w:p>
      <w:pPr>
        <w:ind w:left="540" w:right="60" w:hanging="532"/>
        <w:spacing w:after="0" w:line="268" w:lineRule="auto"/>
        <w:tabs>
          <w:tab w:leader="none" w:pos="5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11120" w:type="dxa"/>
            <w:vAlign w:val="bottom"/>
            <w:gridSpan w:val="4"/>
          </w:tcPr>
          <w:p>
            <w:pPr>
              <w:ind w:left="220"/>
              <w:spacing w:after="0"/>
              <w:rPr>
                <w:sz w:val="20"/>
                <w:szCs w:val="20"/>
                <w:color w:val="auto"/>
              </w:rPr>
            </w:pPr>
            <w:r>
              <w:rPr>
                <w:rFonts w:ascii="Arial" w:cs="Arial" w:eastAsia="Arial" w:hAnsi="Arial"/>
                <w:sz w:val="18"/>
                <w:szCs w:val="18"/>
                <w:color w:val="auto"/>
                <w:w w:val="91"/>
              </w:rPr>
              <w:t>We confirm that by reference to the [Semi-Annual][Annual] Financial Statements for the Group for the financial period ending on [  ·  ] attached hereto:</w:t>
            </w:r>
          </w:p>
        </w:tc>
      </w:tr>
      <w:tr>
        <w:trPr>
          <w:trHeight w:val="655"/>
        </w:trPr>
        <w:tc>
          <w:tcPr>
            <w:tcW w:w="3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(a)</w:t>
            </w: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w w:val="93"/>
              </w:rPr>
              <w:t xml:space="preserve">Leverage: </w:t>
            </w:r>
            <w:r>
              <w:rPr>
                <w:rFonts w:ascii="Arial" w:cs="Arial" w:eastAsia="Arial" w:hAnsi="Arial"/>
                <w:sz w:val="18"/>
                <w:szCs w:val="18"/>
                <w:color w:val="auto"/>
                <w:w w:val="93"/>
              </w:rPr>
              <w:t>the Maximum Leverage is [</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60" w:type="dxa"/>
            <w:vAlign w:val="bottom"/>
          </w:tcPr>
          <w:p>
            <w:pPr>
              <w:ind w:left="40"/>
              <w:spacing w:after="0"/>
              <w:rPr>
                <w:sz w:val="20"/>
                <w:szCs w:val="20"/>
                <w:color w:val="auto"/>
              </w:rPr>
            </w:pPr>
            <w:r>
              <w:rPr>
                <w:rFonts w:ascii="Arial" w:cs="Arial" w:eastAsia="Arial" w:hAnsi="Arial"/>
                <w:sz w:val="18"/>
                <w:szCs w:val="18"/>
                <w:color w:val="auto"/>
                <w:w w:val="92"/>
              </w:rPr>
              <w:t xml:space="preserve">]% (being $[  ·  ] Total Indebtedness divided by $[  ·  ] Total Assets). </w:t>
            </w:r>
            <w:r>
              <w:rPr>
                <w:rFonts w:ascii="Arial" w:cs="Arial" w:eastAsia="Arial" w:hAnsi="Arial"/>
                <w:sz w:val="18"/>
                <w:szCs w:val="18"/>
                <w:b w:val="1"/>
                <w:bCs w:val="1"/>
                <w:i w:val="1"/>
                <w:iCs w:val="1"/>
                <w:color w:val="auto"/>
                <w:w w:val="92"/>
              </w:rPr>
              <w:t>[Requirement being that the</w:t>
            </w:r>
          </w:p>
        </w:tc>
      </w:tr>
      <w:tr>
        <w:trPr>
          <w:trHeight w:val="222"/>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2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Maximum Leverage shall be less than 65%]</w:t>
            </w:r>
            <w:r>
              <w:rPr>
                <w:rFonts w:ascii="Arial" w:cs="Arial" w:eastAsia="Arial" w:hAnsi="Arial"/>
                <w:sz w:val="18"/>
                <w:szCs w:val="18"/>
                <w:color w:val="auto"/>
              </w:rPr>
              <w:t>; and</w:t>
            </w:r>
          </w:p>
        </w:tc>
      </w:tr>
      <w:tr>
        <w:trPr>
          <w:trHeight w:val="439"/>
        </w:trPr>
        <w:tc>
          <w:tcPr>
            <w:tcW w:w="3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(b)</w:t>
            </w: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w w:val="93"/>
              </w:rPr>
              <w:t xml:space="preserve">Free Liquidity: </w:t>
            </w:r>
            <w:r>
              <w:rPr>
                <w:rFonts w:ascii="Arial" w:cs="Arial" w:eastAsia="Arial" w:hAnsi="Arial"/>
                <w:sz w:val="18"/>
                <w:szCs w:val="18"/>
                <w:color w:val="auto"/>
                <w:w w:val="93"/>
              </w:rPr>
              <w:t>our Free Liquidity is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60" w:type="dxa"/>
            <w:vAlign w:val="bottom"/>
          </w:tcPr>
          <w:p>
            <w:pPr>
              <w:ind w:left="120"/>
              <w:spacing w:after="0"/>
              <w:rPr>
                <w:sz w:val="20"/>
                <w:szCs w:val="20"/>
                <w:color w:val="auto"/>
              </w:rPr>
            </w:pPr>
            <w:r>
              <w:rPr>
                <w:rFonts w:ascii="Arial" w:cs="Arial" w:eastAsia="Arial" w:hAnsi="Arial"/>
                <w:sz w:val="18"/>
                <w:szCs w:val="18"/>
                <w:color w:val="auto"/>
                <w:w w:val="87"/>
              </w:rPr>
              <w:t xml:space="preserve">] (which represents Free Liquidity and more than $45,000,000). </w:t>
            </w:r>
            <w:r>
              <w:rPr>
                <w:rFonts w:ascii="Arial" w:cs="Arial" w:eastAsia="Arial" w:hAnsi="Arial"/>
                <w:sz w:val="18"/>
                <w:szCs w:val="18"/>
                <w:b w:val="1"/>
                <w:bCs w:val="1"/>
                <w:i w:val="1"/>
                <w:iCs w:val="1"/>
                <w:color w:val="auto"/>
                <w:w w:val="87"/>
              </w:rPr>
              <w:t>[Requirement that Free Liquidity is,</w:t>
            </w:r>
          </w:p>
        </w:tc>
      </w:tr>
      <w:tr>
        <w:trPr>
          <w:trHeight w:val="222"/>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6"/>
              </w:rPr>
              <w:t>at all times, not less than $45,000,000]</w:t>
            </w:r>
            <w:r>
              <w:rPr>
                <w:rFonts w:ascii="Arial" w:cs="Arial" w:eastAsia="Arial" w:hAnsi="Arial"/>
                <w:sz w:val="18"/>
                <w:szCs w:val="18"/>
                <w:color w:val="auto"/>
                <w:w w:val="86"/>
              </w:rPr>
              <w:t>.</w:t>
            </w:r>
          </w:p>
        </w:tc>
        <w:tc>
          <w:tcPr>
            <w:tcW w:w="220" w:type="dxa"/>
            <w:vAlign w:val="bottom"/>
          </w:tcPr>
          <w:p>
            <w:pPr>
              <w:spacing w:after="0"/>
              <w:rPr>
                <w:sz w:val="19"/>
                <w:szCs w:val="19"/>
                <w:color w:val="auto"/>
              </w:rPr>
            </w:pPr>
          </w:p>
        </w:tc>
        <w:tc>
          <w:tcPr>
            <w:tcW w:w="7260" w:type="dxa"/>
            <w:vAlign w:val="bottom"/>
          </w:tcPr>
          <w:p>
            <w:pPr>
              <w:spacing w:after="0"/>
              <w:rPr>
                <w:sz w:val="19"/>
                <w:szCs w:val="19"/>
                <w:color w:val="auto"/>
              </w:rPr>
            </w:pPr>
          </w:p>
        </w:tc>
      </w:tr>
    </w:tbl>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In order to demonstrate our confirmations in paragraph 2, we attach:</w:t>
      </w:r>
    </w:p>
    <w:p>
      <w:pPr>
        <w:spacing w:after="0" w:line="200" w:lineRule="exact"/>
        <w:rPr>
          <w:sz w:val="20"/>
          <w:szCs w:val="20"/>
          <w:color w:val="auto"/>
        </w:rPr>
      </w:pPr>
    </w:p>
    <w:p>
      <w:pPr>
        <w:spacing w:after="0" w:line="241" w:lineRule="exact"/>
        <w:rPr>
          <w:sz w:val="20"/>
          <w:szCs w:val="20"/>
          <w:color w:val="auto"/>
        </w:rPr>
      </w:pPr>
    </w:p>
    <w:p>
      <w:pPr>
        <w:ind w:left="1080" w:hanging="539"/>
        <w:spacing w:after="0" w:line="259" w:lineRule="auto"/>
        <w:tabs>
          <w:tab w:leader="none" w:pos="10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two valuations of all of the Ships from [ · ] and [ · ], each being Approved Brokers referred to in clause 25.8 (</w:t>
      </w:r>
      <w:r>
        <w:rPr>
          <w:rFonts w:ascii="Arial" w:cs="Arial" w:eastAsia="Arial" w:hAnsi="Arial"/>
          <w:sz w:val="18"/>
          <w:szCs w:val="18"/>
          <w:i w:val="1"/>
          <w:iCs w:val="1"/>
          <w:color w:val="auto"/>
        </w:rPr>
        <w:t>Approved 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value</w:t>
      </w:r>
      <w:r>
        <w:rPr>
          <w:rFonts w:ascii="Arial" w:cs="Arial" w:eastAsia="Arial" w:hAnsi="Arial"/>
          <w:sz w:val="18"/>
          <w:szCs w:val="18"/>
          <w:color w:val="auto"/>
        </w:rPr>
        <w:t>) of the Agreement;</w:t>
      </w:r>
    </w:p>
    <w:p>
      <w:pPr>
        <w:spacing w:after="0" w:line="221" w:lineRule="exact"/>
        <w:rPr>
          <w:sz w:val="20"/>
          <w:szCs w:val="20"/>
          <w:color w:val="auto"/>
        </w:rPr>
      </w:pPr>
    </w:p>
    <w:p>
      <w:pPr>
        <w:ind w:left="1080" w:right="760" w:hanging="532"/>
        <w:spacing w:after="0" w:line="268" w:lineRule="auto"/>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prepared in accordance with clause 25.4 of the Agreement (</w:t>
      </w:r>
      <w:r>
        <w:rPr>
          <w:rFonts w:ascii="Arial" w:cs="Arial" w:eastAsia="Arial" w:hAnsi="Arial"/>
          <w:sz w:val="18"/>
          <w:szCs w:val="18"/>
          <w:i w:val="1"/>
          <w:iCs w:val="1"/>
          <w:color w:val="auto"/>
        </w:rPr>
        <w:t>Valuations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procedure</w:t>
      </w:r>
      <w:r>
        <w:rPr>
          <w:rFonts w:ascii="Arial" w:cs="Arial" w:eastAsia="Arial" w:hAnsi="Arial"/>
          <w:sz w:val="18"/>
          <w:szCs w:val="18"/>
          <w:color w:val="auto"/>
        </w:rPr>
        <w:t>); [and]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member of the Group reconciled against the [Semi-Annual][Annual] Financial Statements.</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We confirm that each Borrower's Earnings Account has an amount of at least $1,500,000 standing to its credit.</w:t>
      </w:r>
    </w:p>
    <w:p>
      <w:pPr>
        <w:spacing w:after="0" w:line="252" w:lineRule="exact"/>
        <w:rPr>
          <w:sz w:val="20"/>
          <w:szCs w:val="20"/>
          <w:color w:val="auto"/>
        </w:rPr>
      </w:pPr>
    </w:p>
    <w:p>
      <w:pPr>
        <w:ind w:left="540" w:right="760" w:hanging="532"/>
        <w:spacing w:after="0" w:line="268" w:lineRule="auto"/>
        <w:tabs>
          <w:tab w:leader="none" w:pos="54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 Default that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continuing and the steps, if any, being taken to remedy it.</w:t>
      </w:r>
      <w:r>
        <w:rPr>
          <w:rFonts w:ascii="Arial" w:cs="Arial" w:eastAsia="Arial" w:hAnsi="Arial"/>
          <w:sz w:val="18"/>
          <w:szCs w:val="18"/>
          <w:color w:val="auto"/>
        </w:rPr>
        <w: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353695</wp:posOffset>
            </wp:positionV>
            <wp:extent cx="28289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GASLOG PARTNERS LP</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261" w:right="219" w:bottom="1440" w:gutter="0" w:footer="0" w:header="0"/>
          <w:type w:val="continuous"/>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Schedule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 Certificate</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b w:val="1"/>
          <w:bCs w:val="1"/>
          <w:color w:val="auto"/>
        </w:rPr>
        <w:t>The 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b w:val="1"/>
          <w:bCs w:val="1"/>
          <w:color w:val="auto"/>
        </w:rPr>
        <w:t>The 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jc w:val="center"/>
        <w:spacing w:after="0"/>
        <w:tabs>
          <w:tab w:leader="none" w:pos="160" w:val="left"/>
          <w:tab w:leader="none" w:pos="140" w:val="left"/>
        </w:tabs>
        <w:rPr>
          <w:sz w:val="20"/>
          <w:szCs w:val="20"/>
          <w:color w:val="auto"/>
        </w:rPr>
      </w:pPr>
      <w:r>
        <w:rPr>
          <w:rFonts w:ascii="Arial" w:cs="Arial" w:eastAsia="Arial" w:hAnsi="Arial"/>
          <w:sz w:val="16"/>
          <w:szCs w:val="16"/>
          <w:b w:val="1"/>
          <w:bCs w:val="1"/>
          <w:color w:val="auto"/>
        </w:rPr>
        <w:t>$450,000,000 Facility Agreement dated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xml:space="preserve">] 2019 </w:t>
      </w:r>
      <w:r>
        <w:rPr>
          <w:rFonts w:ascii="Arial" w:cs="Arial" w:eastAsia="Arial" w:hAnsi="Arial"/>
          <w:sz w:val="15"/>
          <w:szCs w:val="15"/>
          <w:color w:val="auto"/>
        </w:rPr>
        <w:t>(</w:t>
      </w:r>
      <w:r>
        <w:rPr>
          <w:rFonts w:ascii="Arial" w:cs="Arial" w:eastAsia="Arial" w:hAnsi="Arial"/>
          <w:sz w:val="15"/>
          <w:szCs w:val="15"/>
          <w:b w:val="1"/>
          <w:bCs w:val="1"/>
          <w:color w:val="auto"/>
        </w:rPr>
        <w:t>the Agreement</w:t>
      </w:r>
      <w:r>
        <w:rPr>
          <w:rFonts w:ascii="Arial" w:cs="Arial" w:eastAsia="Arial" w:hAnsi="Arial"/>
          <w:sz w:val="15"/>
          <w:szCs w:val="15"/>
          <w:color w:val="auto"/>
        </w:rPr>
        <w:t>)</w:t>
      </w:r>
    </w:p>
    <w:p>
      <w:pPr>
        <w:spacing w:after="0" w:line="245" w:lineRule="exact"/>
        <w:rPr>
          <w:sz w:val="20"/>
          <w:szCs w:val="20"/>
          <w:color w:val="auto"/>
        </w:rPr>
      </w:pPr>
    </w:p>
    <w:p>
      <w:pPr>
        <w:ind w:left="540" w:right="80" w:hanging="532"/>
        <w:spacing w:after="0" w:line="268" w:lineRule="auto"/>
        <w:tabs>
          <w:tab w:leader="none" w:pos="5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213" w:lineRule="exact"/>
        <w:rPr>
          <w:sz w:val="20"/>
          <w:szCs w:val="20"/>
          <w:color w:val="auto"/>
        </w:rPr>
      </w:pPr>
    </w:p>
    <w:p>
      <w:pPr>
        <w:ind w:left="540" w:hanging="532"/>
        <w:spacing w:after="0"/>
        <w:tabs>
          <w:tab w:leader="none" w:pos="5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We refer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60" w:hanging="532"/>
        <w:spacing w:after="0" w:line="259" w:lineRule="auto"/>
        <w:tabs>
          <w:tab w:leader="none" w:pos="108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Revolving Loans under the Agreement as specified in the Schedule.</w:t>
      </w:r>
    </w:p>
    <w:p>
      <w:pPr>
        <w:spacing w:after="0" w:line="207" w:lineRule="exact"/>
        <w:rPr>
          <w:rFonts w:ascii="Arial" w:cs="Arial" w:eastAsia="Arial" w:hAnsi="Arial"/>
          <w:sz w:val="18"/>
          <w:szCs w:val="18"/>
          <w:color w:val="auto"/>
        </w:rPr>
      </w:pPr>
    </w:p>
    <w:p>
      <w:pPr>
        <w:ind w:left="1080" w:right="900" w:hanging="532"/>
        <w:spacing w:after="0" w:line="331" w:lineRule="auto"/>
        <w:tabs>
          <w:tab w:leader="none" w:pos="1080" w:val="left"/>
        </w:tabs>
        <w:numPr>
          <w:ilvl w:val="1"/>
          <w:numId w:val="584"/>
        </w:numPr>
        <w:rPr>
          <w:rFonts w:ascii="Arial" w:cs="Arial" w:eastAsia="Arial" w:hAnsi="Arial"/>
          <w:sz w:val="16"/>
          <w:szCs w:val="16"/>
          <w:color w:val="auto"/>
        </w:rPr>
      </w:pPr>
      <w:r>
        <w:rPr>
          <w:rFonts w:ascii="Arial" w:cs="Arial" w:eastAsia="Arial" w:hAnsi="Arial"/>
          <w:sz w:val="16"/>
          <w:szCs w:val="16"/>
          <w:color w:val="auto"/>
        </w:rPr>
        <w:t>The Existing Lender is released from all the obligations of the Existing Lender which correspond to that portion of the Existing Lender's Commitment(s) and participations in the Revolving Loans under the Agreement specified in the Schedule.</w:t>
      </w:r>
    </w:p>
    <w:p>
      <w:pPr>
        <w:spacing w:after="0" w:line="167" w:lineRule="exact"/>
        <w:rPr>
          <w:rFonts w:ascii="Arial" w:cs="Arial" w:eastAsia="Arial" w:hAnsi="Arial"/>
          <w:sz w:val="16"/>
          <w:szCs w:val="16"/>
          <w:color w:val="auto"/>
        </w:rPr>
      </w:pPr>
    </w:p>
    <w:p>
      <w:pPr>
        <w:ind w:left="1080" w:right="380" w:hanging="532"/>
        <w:spacing w:after="0" w:line="268" w:lineRule="auto"/>
        <w:tabs>
          <w:tab w:leader="none" w:pos="108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86" w:lineRule="exact"/>
        <w:rPr>
          <w:sz w:val="20"/>
          <w:szCs w:val="20"/>
          <w:color w:val="auto"/>
        </w:rPr>
      </w:pPr>
    </w:p>
    <w:p>
      <w:pPr>
        <w:ind w:left="540"/>
        <w:spacing w:after="0"/>
        <w:tabs>
          <w:tab w:leader="none" w:pos="1060" w:val="left"/>
          <w:tab w:leader="none" w:pos="3480" w:val="left"/>
          <w:tab w:leader="none" w:pos="37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The proposed Transfer Date is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52" w:lineRule="exact"/>
        <w:rPr>
          <w:sz w:val="20"/>
          <w:szCs w:val="20"/>
          <w:color w:val="auto"/>
        </w:rPr>
      </w:pPr>
    </w:p>
    <w:p>
      <w:pPr>
        <w:ind w:left="1080" w:right="200" w:hanging="532"/>
        <w:spacing w:after="0" w:line="268" w:lineRule="auto"/>
        <w:tabs>
          <w:tab w:leader="none" w:pos="108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200" w:lineRule="exact"/>
        <w:rPr>
          <w:sz w:val="20"/>
          <w:szCs w:val="20"/>
          <w:color w:val="auto"/>
        </w:rPr>
      </w:pPr>
    </w:p>
    <w:p>
      <w:pPr>
        <w:spacing w:after="0" w:line="229" w:lineRule="exact"/>
        <w:rPr>
          <w:sz w:val="20"/>
          <w:szCs w:val="20"/>
          <w:color w:val="auto"/>
        </w:rPr>
      </w:pPr>
    </w:p>
    <w:p>
      <w:pPr>
        <w:ind w:left="540" w:right="400" w:hanging="532"/>
        <w:spacing w:after="0" w:line="268" w:lineRule="auto"/>
        <w:tabs>
          <w:tab w:leader="none" w:pos="5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sub-clause 30.4(c) of clause 30.4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199" w:lineRule="exact"/>
        <w:rPr>
          <w:sz w:val="20"/>
          <w:szCs w:val="20"/>
          <w:color w:val="auto"/>
        </w:rPr>
      </w:pPr>
    </w:p>
    <w:p>
      <w:pPr>
        <w:ind w:left="540" w:hanging="532"/>
        <w:spacing w:after="0"/>
        <w:tabs>
          <w:tab w:leader="none" w:pos="54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New Lender confirms that it is [not] a Group Member or an Affiliate of any Group Member.</w:t>
      </w:r>
    </w:p>
    <w:p>
      <w:pPr>
        <w:spacing w:after="0" w:line="239" w:lineRule="exact"/>
        <w:rPr>
          <w:sz w:val="20"/>
          <w:szCs w:val="20"/>
          <w:color w:val="auto"/>
        </w:rPr>
      </w:pPr>
    </w:p>
    <w:p>
      <w:pPr>
        <w:ind w:left="540" w:hanging="532"/>
        <w:spacing w:after="0" w:line="268" w:lineRule="auto"/>
        <w:tabs>
          <w:tab w:leader="none" w:pos="54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213" w:lineRule="exact"/>
        <w:rPr>
          <w:sz w:val="20"/>
          <w:szCs w:val="20"/>
          <w:color w:val="auto"/>
        </w:rPr>
      </w:pPr>
    </w:p>
    <w:p>
      <w:pPr>
        <w:ind w:left="540" w:right="20" w:hanging="532"/>
        <w:spacing w:after="0" w:line="331" w:lineRule="auto"/>
        <w:tabs>
          <w:tab w:leader="none" w:pos="54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Consider including reference to accession to an intercreditor agreement, mortgage or other Finance Documents to which Lenders may need to be party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and checklist of steps necessary for the New Lender to obtain the benefit of the Security Documents</w:t>
      </w:r>
      <w:r>
        <w:rPr>
          <w:rFonts w:ascii="Arial" w:cs="Arial" w:eastAsia="Arial" w:hAnsi="Arial"/>
          <w:sz w:val="16"/>
          <w:szCs w:val="16"/>
          <w:color w:val="auto"/>
        </w:rPr>
        <w:t>.]</w:t>
      </w:r>
    </w:p>
    <w:p>
      <w:pPr>
        <w:spacing w:after="0" w:line="154" w:lineRule="exact"/>
        <w:rPr>
          <w:sz w:val="20"/>
          <w:szCs w:val="20"/>
          <w:color w:val="auto"/>
        </w:rPr>
      </w:pPr>
    </w:p>
    <w:p>
      <w:pPr>
        <w:ind w:left="540" w:hanging="532"/>
        <w:spacing w:after="0"/>
        <w:tabs>
          <w:tab w:leader="none" w:pos="54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5"/>
          <w:szCs w:val="15"/>
          <w:color w:val="auto"/>
        </w:rPr>
        <w:t>This Transfer Certificate has been entered into on the date stated at the beginning of this Transfer Certificate.</w:t>
      </w:r>
    </w:p>
    <w:p>
      <w:pPr>
        <w:spacing w:after="0" w:line="233"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83" w:name="page384"/>
    <w:bookmarkEnd w:id="383"/>
    <w:p>
      <w:pPr>
        <w:jc w:val="center"/>
        <w:ind w:right="-17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Rights to be assigned and obligations to be released and undertaken</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[Facility Office address, fax number and attention details for notices and account details for payments.]</w:t>
      </w:r>
    </w:p>
    <w:p>
      <w:pPr>
        <w:sectPr>
          <w:pgSz w:w="11900" w:h="16838" w:orient="portrait"/>
          <w:cols w:equalWidth="0" w:num="1">
            <w:col w:w="11400"/>
          </w:cols>
          <w:pgMar w:left="160" w:top="45" w:right="339" w:bottom="1440" w:gutter="0" w:footer="0" w:header="0"/>
        </w:sectPr>
      </w:pP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Lender</w:t>
      </w:r>
      <w:r>
        <w:rPr>
          <w:rFonts w:ascii="Arial" w:cs="Arial" w:eastAsia="Arial" w:hAnsi="Arial"/>
          <w:sz w:val="16"/>
          <w:szCs w:val="16"/>
          <w:color w:val="auto"/>
        </w:rPr>
        <w:t>]</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Lender</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ectPr>
          <w:pgSz w:w="11900" w:h="16838" w:orient="portrait"/>
          <w:cols w:equalWidth="0" w:num="2">
            <w:col w:w="2460" w:space="580"/>
            <w:col w:w="8360"/>
          </w:cols>
          <w:pgMar w:left="160" w:top="45" w:right="339" w:bottom="1440" w:gutter="0" w:footer="0" w:header="0"/>
          <w:type w:val="continuous"/>
        </w:sectPr>
      </w:pPr>
    </w:p>
    <w:p>
      <w:pPr>
        <w:spacing w:after="0" w:line="19" w:lineRule="exact"/>
        <w:rPr>
          <w:sz w:val="20"/>
          <w:szCs w:val="20"/>
          <w:color w:val="auto"/>
        </w:rPr>
      </w:pPr>
    </w:p>
    <w:p>
      <w:pPr>
        <w:spacing w:after="0"/>
        <w:tabs>
          <w:tab w:leader="none" w:pos="6760" w:val="left"/>
          <w:tab w:leader="none" w:pos="6980" w:val="left"/>
        </w:tabs>
        <w:rPr>
          <w:sz w:val="20"/>
          <w:szCs w:val="20"/>
          <w:color w:val="auto"/>
        </w:rPr>
      </w:pPr>
      <w:r>
        <w:rPr>
          <w:rFonts w:ascii="Arial" w:cs="Arial" w:eastAsia="Arial" w:hAnsi="Arial"/>
          <w:sz w:val="16"/>
          <w:szCs w:val="16"/>
          <w:color w:val="auto"/>
        </w:rPr>
        <w:t>This is accepted by the Agent as a Transfer Certificate and the Transfer Date is confirmed as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341870"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400"/>
          </w:cols>
          <w:pgMar w:left="160" w:top="45" w:right="339" w:bottom="1440" w:gutter="0" w:footer="0" w:header="0"/>
          <w:type w:val="continuous"/>
        </w:sectPr>
      </w:pPr>
    </w:p>
    <w:bookmarkStart w:id="384" w:name="page385"/>
    <w:bookmarkEnd w:id="384"/>
    <w:p>
      <w:pPr>
        <w:jc w:val="center"/>
        <w:ind w:right="-19"/>
        <w:spacing w:after="0"/>
        <w:rPr>
          <w:sz w:val="20"/>
          <w:szCs w:val="20"/>
          <w:color w:val="auto"/>
        </w:rPr>
      </w:pPr>
      <w:r>
        <w:rPr>
          <w:rFonts w:ascii="Arial" w:cs="Arial" w:eastAsia="Arial" w:hAnsi="Arial"/>
          <w:sz w:val="18"/>
          <w:szCs w:val="18"/>
          <w:b w:val="1"/>
          <w:bCs w:val="1"/>
          <w:color w:val="auto"/>
        </w:rPr>
        <w:t>Schedule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Notifiable Debt Purchase Transaction Notice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Form of Notice on Entering into Notifiable Debt Purchase Transaction</w:t>
      </w:r>
    </w:p>
    <w:p>
      <w:pPr>
        <w:spacing w:after="0" w:line="225"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w:t>
      </w:r>
    </w:p>
    <w:p>
      <w:pPr>
        <w:spacing w:after="0" w:line="258"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jc w:val="center"/>
        <w:spacing w:after="0"/>
        <w:tabs>
          <w:tab w:leader="none" w:pos="160" w:val="left"/>
          <w:tab w:leader="none" w:pos="140" w:val="left"/>
        </w:tabs>
        <w:rPr>
          <w:sz w:val="20"/>
          <w:szCs w:val="20"/>
          <w:color w:val="auto"/>
        </w:rPr>
      </w:pPr>
      <w:r>
        <w:rPr>
          <w:rFonts w:ascii="Arial" w:cs="Arial" w:eastAsia="Arial" w:hAnsi="Arial"/>
          <w:sz w:val="16"/>
          <w:szCs w:val="16"/>
          <w:b w:val="1"/>
          <w:bCs w:val="1"/>
          <w:color w:val="auto"/>
        </w:rPr>
        <w:t>$450,000,000 Facility Agreement dated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2019 (the Agreement)</w:t>
      </w:r>
    </w:p>
    <w:p>
      <w:pPr>
        <w:spacing w:after="0" w:line="245" w:lineRule="exact"/>
        <w:rPr>
          <w:sz w:val="20"/>
          <w:szCs w:val="20"/>
          <w:color w:val="auto"/>
        </w:rPr>
      </w:pPr>
    </w:p>
    <w:p>
      <w:pPr>
        <w:ind w:left="540" w:right="120" w:hanging="532"/>
        <w:spacing w:after="0" w:line="268" w:lineRule="auto"/>
        <w:tabs>
          <w:tab w:leader="none" w:pos="5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We refer to clause 31.3(b) of the Agreement. Terms defined in the Agreement have the same meaning in this notice unless given a different meaning in this notice.</w:t>
      </w:r>
    </w:p>
    <w:p>
      <w:pPr>
        <w:spacing w:after="0" w:line="213" w:lineRule="exact"/>
        <w:rPr>
          <w:sz w:val="20"/>
          <w:szCs w:val="20"/>
          <w:color w:val="auto"/>
        </w:rPr>
      </w:pPr>
    </w:p>
    <w:p>
      <w:pPr>
        <w:ind w:left="540" w:hanging="532"/>
        <w:spacing w:after="0"/>
        <w:tabs>
          <w:tab w:leader="none" w:pos="54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We have entered into a Notifiable Debt Purchase Transaction.</w:t>
      </w:r>
    </w:p>
    <w:p>
      <w:pPr>
        <w:spacing w:after="0" w:line="239" w:lineRule="exact"/>
        <w:rPr>
          <w:sz w:val="20"/>
          <w:szCs w:val="20"/>
          <w:color w:val="auto"/>
        </w:rPr>
      </w:pPr>
    </w:p>
    <w:p>
      <w:pPr>
        <w:ind w:left="540" w:hanging="532"/>
        <w:spacing w:after="0"/>
        <w:tabs>
          <w:tab w:leader="none" w:pos="54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ind w:left="280"/>
              <w:spacing w:after="0"/>
              <w:rPr>
                <w:sz w:val="20"/>
                <w:szCs w:val="20"/>
                <w:color w:val="auto"/>
              </w:rPr>
            </w:pPr>
            <w:r>
              <w:rPr>
                <w:rFonts w:ascii="Arial" w:cs="Arial" w:eastAsia="Arial" w:hAnsi="Arial"/>
                <w:sz w:val="18"/>
                <w:szCs w:val="18"/>
                <w:b w:val="1"/>
                <w:bCs w:val="1"/>
                <w:color w:val="auto"/>
              </w:rPr>
              <w:t>Commitment</w:t>
            </w:r>
          </w:p>
        </w:tc>
        <w:tc>
          <w:tcPr>
            <w:tcW w:w="9860" w:type="dxa"/>
            <w:vAlign w:val="bottom"/>
          </w:tcPr>
          <w:p>
            <w:pPr>
              <w:ind w:left="44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459"/>
        </w:trPr>
        <w:tc>
          <w:tcPr>
            <w:tcW w:w="1700" w:type="dxa"/>
            <w:vAlign w:val="bottom"/>
          </w:tcPr>
          <w:p>
            <w:pPr>
              <w:ind w:left="280"/>
              <w:spacing w:after="0"/>
              <w:rPr>
                <w:sz w:val="20"/>
                <w:szCs w:val="20"/>
                <w:color w:val="auto"/>
              </w:rPr>
            </w:pPr>
            <w:r>
              <w:rPr>
                <w:rFonts w:ascii="Arial" w:cs="Arial" w:eastAsia="Arial" w:hAnsi="Arial"/>
                <w:sz w:val="18"/>
                <w:szCs w:val="18"/>
                <w:color w:val="auto"/>
              </w:rPr>
              <w:t>[·]</w:t>
            </w:r>
          </w:p>
        </w:tc>
        <w:tc>
          <w:tcPr>
            <w:tcW w:w="9860" w:type="dxa"/>
            <w:vAlign w:val="bottom"/>
          </w:tcPr>
          <w:p>
            <w:pPr>
              <w:ind w:left="44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[Lender]</w:t>
            </w:r>
          </w:p>
        </w:tc>
        <w:tc>
          <w:tcPr>
            <w:tcW w:w="986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9860" w:type="dxa"/>
            <w:vAlign w:val="bottom"/>
          </w:tcPr>
          <w:p>
            <w:pPr>
              <w:ind w:left="4280"/>
              <w:spacing w:after="0"/>
              <w:rPr>
                <w:sz w:val="20"/>
                <w:szCs w:val="20"/>
                <w:color w:val="auto"/>
              </w:rPr>
            </w:pPr>
            <w:r>
              <w:rPr>
                <w:rFonts w:ascii="Arial" w:cs="Arial" w:eastAsia="Arial" w:hAnsi="Arial"/>
                <w:sz w:val="18"/>
                <w:szCs w:val="18"/>
                <w:color w:val="auto"/>
              </w:rPr>
              <w:t>By:</w:t>
            </w:r>
          </w:p>
        </w:tc>
      </w:tr>
      <w:tr>
        <w:trPr>
          <w:trHeight w:val="432"/>
        </w:trPr>
        <w:tc>
          <w:tcPr>
            <w:tcW w:w="1700" w:type="dxa"/>
            <w:vAlign w:val="bottom"/>
          </w:tcPr>
          <w:p>
            <w:pPr>
              <w:spacing w:after="0"/>
              <w:rPr>
                <w:sz w:val="24"/>
                <w:szCs w:val="24"/>
                <w:color w:val="auto"/>
              </w:rPr>
            </w:pPr>
          </w:p>
        </w:tc>
        <w:tc>
          <w:tcPr>
            <w:tcW w:w="9860" w:type="dxa"/>
            <w:vAlign w:val="bottom"/>
          </w:tcPr>
          <w:p>
            <w:pPr>
              <w:jc w:val="right"/>
              <w:ind w:right="5552"/>
              <w:spacing w:after="0"/>
              <w:rPr>
                <w:sz w:val="20"/>
                <w:szCs w:val="20"/>
                <w:color w:val="auto"/>
              </w:rPr>
            </w:pPr>
            <w:r>
              <w:rPr>
                <w:rFonts w:ascii="Arial" w:cs="Arial" w:eastAsia="Arial" w:hAnsi="Arial"/>
                <w:sz w:val="18"/>
                <w:szCs w:val="18"/>
                <w:color w:val="auto"/>
              </w:rPr>
              <w:t>166</w:t>
            </w:r>
          </w:p>
        </w:tc>
      </w:tr>
      <w:tr>
        <w:trPr>
          <w:trHeight w:val="228"/>
        </w:trPr>
        <w:tc>
          <w:tcPr>
            <w:tcW w:w="170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Notice on Termination of Notifiable Debt Purchase Transaction / Notifiable Debt Purchase Transaction ceasing to be with a Parent Affiliate</w:t>
      </w:r>
    </w:p>
    <w:p>
      <w:pPr>
        <w:spacing w:after="0" w:line="248"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Nordea Bank Abp, filial i Norge </w:t>
      </w:r>
      <w:r>
        <w:rPr>
          <w:rFonts w:ascii="Arial" w:cs="Arial" w:eastAsia="Arial" w:hAnsi="Arial"/>
          <w:sz w:val="18"/>
          <w:szCs w:val="18"/>
          <w:color w:val="auto"/>
        </w:rPr>
        <w:t>as Agent</w:t>
      </w:r>
    </w:p>
    <w:p>
      <w:pPr>
        <w:spacing w:after="0" w:line="258"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jc w:val="center"/>
        <w:spacing w:after="0"/>
        <w:tabs>
          <w:tab w:leader="none" w:pos="160" w:val="left"/>
          <w:tab w:leader="none" w:pos="140" w:val="left"/>
        </w:tabs>
        <w:rPr>
          <w:sz w:val="20"/>
          <w:szCs w:val="20"/>
          <w:color w:val="auto"/>
        </w:rPr>
      </w:pPr>
      <w:r>
        <w:rPr>
          <w:rFonts w:ascii="Arial" w:cs="Arial" w:eastAsia="Arial" w:hAnsi="Arial"/>
          <w:sz w:val="16"/>
          <w:szCs w:val="16"/>
          <w:b w:val="1"/>
          <w:bCs w:val="1"/>
          <w:color w:val="auto"/>
        </w:rPr>
        <w:t>$450,000,000 Facility Agreement dated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2019 (the Agreement)</w:t>
      </w:r>
    </w:p>
    <w:p>
      <w:pPr>
        <w:spacing w:after="0" w:line="245" w:lineRule="exact"/>
        <w:rPr>
          <w:sz w:val="20"/>
          <w:szCs w:val="20"/>
          <w:color w:val="auto"/>
        </w:rPr>
      </w:pPr>
    </w:p>
    <w:p>
      <w:pPr>
        <w:ind w:left="540" w:right="540" w:hanging="532"/>
        <w:spacing w:after="0" w:line="268" w:lineRule="auto"/>
        <w:tabs>
          <w:tab w:leader="none" w:pos="5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We refer to clause 31.2 (</w:t>
      </w:r>
      <w:r>
        <w:rPr>
          <w:rFonts w:ascii="Arial" w:cs="Arial" w:eastAsia="Arial" w:hAnsi="Arial"/>
          <w:sz w:val="18"/>
          <w:szCs w:val="18"/>
          <w:i w:val="1"/>
          <w:iCs w:val="1"/>
          <w:color w:val="auto"/>
        </w:rPr>
        <w:t>Prohibition on Debt Purchase Transactions by the Group</w:t>
      </w:r>
      <w:r>
        <w:rPr>
          <w:rFonts w:ascii="Arial" w:cs="Arial" w:eastAsia="Arial" w:hAnsi="Arial"/>
          <w:sz w:val="18"/>
          <w:szCs w:val="18"/>
          <w:color w:val="auto"/>
        </w:rPr>
        <w:t>) of the Agreement. Terms defined in the Agreement have the same meaning in this notice unless given a different meaning in this notice.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5</w:t>
            </w:r>
          </w:p>
        </w:tc>
        <w:tc>
          <w:tcPr>
            <w:tcW w:w="11120" w:type="dxa"/>
            <w:vAlign w:val="bottom"/>
          </w:tcPr>
          <w:p>
            <w:pPr>
              <w:ind w:left="220"/>
              <w:spacing w:after="0"/>
              <w:rPr>
                <w:sz w:val="20"/>
                <w:szCs w:val="20"/>
                <w:color w:val="auto"/>
              </w:rPr>
            </w:pPr>
            <w:r>
              <w:rPr>
                <w:rFonts w:ascii="Arial" w:cs="Arial" w:eastAsia="Arial" w:hAnsi="Arial"/>
                <w:sz w:val="18"/>
                <w:szCs w:val="18"/>
                <w:color w:val="auto"/>
                <w:w w:val="90"/>
              </w:rPr>
              <w:t>A Notifiable Debt Purchase Transaction which we entered into and which we notified you of in a notice dated [  ·  ] has [terminated]/[ceased to be with a</w:t>
            </w:r>
          </w:p>
        </w:tc>
      </w:tr>
      <w:tr>
        <w:trPr>
          <w:trHeight w:val="222"/>
        </w:trPr>
        <w:tc>
          <w:tcPr>
            <w:tcW w:w="320" w:type="dxa"/>
            <w:vAlign w:val="bottom"/>
          </w:tcPr>
          <w:p>
            <w:pPr>
              <w:spacing w:after="0"/>
              <w:rPr>
                <w:sz w:val="19"/>
                <w:szCs w:val="19"/>
                <w:color w:val="auto"/>
              </w:rPr>
            </w:pPr>
          </w:p>
        </w:tc>
        <w:tc>
          <w:tcPr>
            <w:tcW w:w="11120" w:type="dxa"/>
            <w:vAlign w:val="bottom"/>
          </w:tcPr>
          <w:p>
            <w:pPr>
              <w:ind w:left="220"/>
              <w:spacing w:after="0"/>
              <w:rPr>
                <w:sz w:val="20"/>
                <w:szCs w:val="20"/>
                <w:color w:val="auto"/>
              </w:rPr>
            </w:pPr>
            <w:r>
              <w:rPr>
                <w:rFonts w:ascii="Arial" w:cs="Arial" w:eastAsia="Arial" w:hAnsi="Arial"/>
                <w:sz w:val="18"/>
                <w:szCs w:val="18"/>
                <w:color w:val="auto"/>
              </w:rPr>
              <w:t>Parent Affiliate].</w:t>
            </w:r>
          </w:p>
        </w:tc>
      </w:tr>
    </w:tbl>
    <w:p>
      <w:pPr>
        <w:spacing w:after="0" w:line="223" w:lineRule="exact"/>
        <w:rPr>
          <w:sz w:val="20"/>
          <w:szCs w:val="20"/>
          <w:color w:val="auto"/>
        </w:rPr>
      </w:pPr>
    </w:p>
    <w:p>
      <w:pPr>
        <w:ind w:left="540" w:hanging="532"/>
        <w:spacing w:after="0"/>
        <w:tabs>
          <w:tab w:leader="none" w:pos="5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ind w:left="280"/>
              <w:spacing w:after="0"/>
              <w:rPr>
                <w:sz w:val="20"/>
                <w:szCs w:val="20"/>
                <w:color w:val="auto"/>
              </w:rPr>
            </w:pPr>
            <w:r>
              <w:rPr>
                <w:rFonts w:ascii="Arial" w:cs="Arial" w:eastAsia="Arial" w:hAnsi="Arial"/>
                <w:sz w:val="18"/>
                <w:szCs w:val="18"/>
                <w:b w:val="1"/>
                <w:bCs w:val="1"/>
                <w:color w:val="auto"/>
              </w:rPr>
              <w:t>Commitment</w:t>
            </w:r>
          </w:p>
        </w:tc>
        <w:tc>
          <w:tcPr>
            <w:tcW w:w="9860" w:type="dxa"/>
            <w:vAlign w:val="bottom"/>
          </w:tcPr>
          <w:p>
            <w:pPr>
              <w:ind w:left="44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 (Base Currency)</w:t>
            </w:r>
          </w:p>
        </w:tc>
      </w:tr>
      <w:tr>
        <w:trPr>
          <w:trHeight w:val="459"/>
        </w:trPr>
        <w:tc>
          <w:tcPr>
            <w:tcW w:w="1700" w:type="dxa"/>
            <w:vAlign w:val="bottom"/>
          </w:tcPr>
          <w:p>
            <w:pPr>
              <w:ind w:left="280"/>
              <w:spacing w:after="0"/>
              <w:rPr>
                <w:sz w:val="20"/>
                <w:szCs w:val="20"/>
                <w:color w:val="auto"/>
              </w:rPr>
            </w:pPr>
            <w:r>
              <w:rPr>
                <w:rFonts w:ascii="Arial" w:cs="Arial" w:eastAsia="Arial" w:hAnsi="Arial"/>
                <w:sz w:val="18"/>
                <w:szCs w:val="18"/>
                <w:color w:val="auto"/>
              </w:rPr>
              <w:t>[·]</w:t>
            </w:r>
          </w:p>
        </w:tc>
        <w:tc>
          <w:tcPr>
            <w:tcW w:w="9860" w:type="dxa"/>
            <w:vAlign w:val="bottom"/>
          </w:tcPr>
          <w:p>
            <w:pPr>
              <w:ind w:left="44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[Lender]</w:t>
            </w:r>
          </w:p>
        </w:tc>
        <w:tc>
          <w:tcPr>
            <w:tcW w:w="986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9860" w:type="dxa"/>
            <w:vAlign w:val="bottom"/>
          </w:tcPr>
          <w:p>
            <w:pPr>
              <w:ind w:left="4280"/>
              <w:spacing w:after="0"/>
              <w:rPr>
                <w:sz w:val="20"/>
                <w:szCs w:val="20"/>
                <w:color w:val="auto"/>
              </w:rPr>
            </w:pPr>
            <w:r>
              <w:rPr>
                <w:rFonts w:ascii="Arial" w:cs="Arial" w:eastAsia="Arial" w:hAnsi="Arial"/>
                <w:sz w:val="18"/>
                <w:szCs w:val="18"/>
                <w:color w:val="auto"/>
              </w:rPr>
              <w:t>By:</w:t>
            </w:r>
          </w:p>
        </w:tc>
      </w:tr>
      <w:tr>
        <w:trPr>
          <w:trHeight w:val="432"/>
        </w:trPr>
        <w:tc>
          <w:tcPr>
            <w:tcW w:w="1700" w:type="dxa"/>
            <w:vAlign w:val="bottom"/>
          </w:tcPr>
          <w:p>
            <w:pPr>
              <w:spacing w:after="0"/>
              <w:rPr>
                <w:sz w:val="24"/>
                <w:szCs w:val="24"/>
                <w:color w:val="auto"/>
              </w:rPr>
            </w:pPr>
          </w:p>
        </w:tc>
        <w:tc>
          <w:tcPr>
            <w:tcW w:w="9860" w:type="dxa"/>
            <w:vAlign w:val="bottom"/>
          </w:tcPr>
          <w:p>
            <w:pPr>
              <w:jc w:val="right"/>
              <w:ind w:right="5552"/>
              <w:spacing w:after="0"/>
              <w:rPr>
                <w:sz w:val="20"/>
                <w:szCs w:val="20"/>
                <w:color w:val="auto"/>
              </w:rPr>
            </w:pPr>
            <w:r>
              <w:rPr>
                <w:rFonts w:ascii="Arial" w:cs="Arial" w:eastAsia="Arial" w:hAnsi="Arial"/>
                <w:sz w:val="18"/>
                <w:szCs w:val="18"/>
                <w:color w:val="auto"/>
              </w:rPr>
              <w:t>167</w:t>
            </w:r>
          </w:p>
        </w:tc>
      </w:tr>
      <w:tr>
        <w:trPr>
          <w:trHeight w:val="228"/>
        </w:trPr>
        <w:tc>
          <w:tcPr>
            <w:tcW w:w="170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80" w:type="dxa"/>
            <w:vAlign w:val="bottom"/>
            <w:gridSpan w:val="5"/>
          </w:tcPr>
          <w:p>
            <w:pPr>
              <w:jc w:val="center"/>
              <w:ind w:right="4080"/>
              <w:spacing w:after="0"/>
              <w:rPr>
                <w:sz w:val="20"/>
                <w:szCs w:val="20"/>
                <w:color w:val="auto"/>
              </w:rPr>
            </w:pPr>
            <w:r>
              <w:rPr>
                <w:rFonts w:ascii="Arial" w:cs="Arial" w:eastAsia="Arial" w:hAnsi="Arial"/>
                <w:sz w:val="18"/>
                <w:szCs w:val="18"/>
                <w:b w:val="1"/>
                <w:bCs w:val="1"/>
                <w:color w:val="auto"/>
                <w:w w:val="84"/>
              </w:rPr>
              <w:t>Schedule 8</w:t>
            </w:r>
          </w:p>
        </w:tc>
      </w:tr>
      <w:tr>
        <w:trPr>
          <w:trHeight w:val="228"/>
        </w:trPr>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80" w:type="dxa"/>
            <w:vAlign w:val="bottom"/>
            <w:gridSpan w:val="5"/>
          </w:tcPr>
          <w:p>
            <w:pPr>
              <w:ind w:left="940"/>
              <w:spacing w:after="0"/>
              <w:rPr>
                <w:sz w:val="20"/>
                <w:szCs w:val="20"/>
                <w:color w:val="auto"/>
              </w:rPr>
            </w:pPr>
            <w:r>
              <w:rPr>
                <w:rFonts w:ascii="Arial" w:cs="Arial" w:eastAsia="Arial" w:hAnsi="Arial"/>
                <w:sz w:val="18"/>
                <w:szCs w:val="18"/>
                <w:b w:val="1"/>
                <w:bCs w:val="1"/>
                <w:color w:val="auto"/>
              </w:rPr>
              <w:t>Reduction Schedule</w:t>
            </w:r>
          </w:p>
        </w:tc>
      </w:tr>
      <w:tr>
        <w:trPr>
          <w:trHeight w:val="432"/>
        </w:trPr>
        <w:tc>
          <w:tcPr>
            <w:tcW w:w="4080" w:type="dxa"/>
            <w:vAlign w:val="bottom"/>
            <w:gridSpan w:val="3"/>
          </w:tcPr>
          <w:p>
            <w:pPr>
              <w:ind w:left="360"/>
              <w:spacing w:after="0"/>
              <w:rPr>
                <w:sz w:val="20"/>
                <w:szCs w:val="20"/>
                <w:color w:val="auto"/>
              </w:rPr>
            </w:pPr>
            <w:r>
              <w:rPr>
                <w:rFonts w:ascii="Arial" w:cs="Arial" w:eastAsia="Arial" w:hAnsi="Arial"/>
                <w:sz w:val="18"/>
                <w:szCs w:val="18"/>
                <w:color w:val="auto"/>
              </w:rPr>
              <w:t>For each of Ship A, Ship B and Ship C:</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7"/>
        </w:trPr>
        <w:tc>
          <w:tcPr>
            <w:tcW w:w="174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Reduction Date</w:t>
            </w:r>
          </w:p>
        </w:tc>
        <w:tc>
          <w:tcPr>
            <w:tcW w:w="1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 ($)</w:t>
            </w:r>
          </w:p>
        </w:tc>
        <w:tc>
          <w:tcPr>
            <w:tcW w:w="1900" w:type="dxa"/>
            <w:vAlign w:val="bottom"/>
            <w:gridSpan w:val="2"/>
          </w:tcPr>
          <w:p>
            <w:pPr>
              <w:spacing w:after="0"/>
              <w:rPr>
                <w:sz w:val="24"/>
                <w:szCs w:val="24"/>
                <w:color w:val="auto"/>
              </w:rPr>
            </w:pPr>
          </w:p>
        </w:tc>
      </w:tr>
      <w:tr>
        <w:trPr>
          <w:trHeight w:val="210"/>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Second</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Fourth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Sixth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Eighth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Eleventh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Twelfth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Fourteenth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Sixteenth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Eighteenth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Twentieth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83,145,000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112,500,000</w:t>
            </w:r>
          </w:p>
        </w:tc>
        <w:tc>
          <w:tcPr>
            <w:tcW w:w="1740" w:type="dxa"/>
            <w:vAlign w:val="bottom"/>
          </w:tcPr>
          <w:p>
            <w:pPr>
              <w:spacing w:after="0"/>
              <w:rPr>
                <w:sz w:val="18"/>
                <w:szCs w:val="18"/>
                <w:color w:val="auto"/>
              </w:rPr>
            </w:pPr>
          </w:p>
        </w:tc>
      </w:tr>
      <w:tr>
        <w:trPr>
          <w:trHeight w:val="430"/>
        </w:trPr>
        <w:tc>
          <w:tcPr>
            <w:tcW w:w="4080" w:type="dxa"/>
            <w:vAlign w:val="bottom"/>
            <w:gridSpan w:val="3"/>
          </w:tcPr>
          <w:p>
            <w:pPr>
              <w:ind w:left="360"/>
              <w:spacing w:after="0"/>
              <w:rPr>
                <w:sz w:val="20"/>
                <w:szCs w:val="20"/>
                <w:color w:val="auto"/>
              </w:rPr>
            </w:pPr>
            <w:r>
              <w:rPr>
                <w:rFonts w:ascii="Arial" w:cs="Arial" w:eastAsia="Arial" w:hAnsi="Arial"/>
                <w:sz w:val="18"/>
                <w:szCs w:val="18"/>
                <w:color w:val="auto"/>
              </w:rPr>
              <w:t>For each of Ship D and E:</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7"/>
        </w:trPr>
        <w:tc>
          <w:tcPr>
            <w:tcW w:w="174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Reduction Date</w:t>
            </w:r>
          </w:p>
        </w:tc>
        <w:tc>
          <w:tcPr>
            <w:tcW w:w="1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Amount ($)</w:t>
            </w:r>
          </w:p>
        </w:tc>
        <w:tc>
          <w:tcPr>
            <w:tcW w:w="1900" w:type="dxa"/>
            <w:vAlign w:val="bottom"/>
            <w:gridSpan w:val="2"/>
          </w:tcPr>
          <w:p>
            <w:pPr>
              <w:spacing w:after="0"/>
              <w:rPr>
                <w:sz w:val="24"/>
                <w:szCs w:val="24"/>
                <w:color w:val="auto"/>
              </w:rPr>
            </w:pPr>
          </w:p>
        </w:tc>
      </w:tr>
      <w:tr>
        <w:trPr>
          <w:trHeight w:val="210"/>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Second</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Fourth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Sixth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Eighth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Eleventh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Twelfth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Fourteenth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Sixteenth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Eighteenth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Nineteenth</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Twentieth</w:t>
            </w:r>
          </w:p>
        </w:tc>
        <w:tc>
          <w:tcPr>
            <w:tcW w:w="5740" w:type="dxa"/>
            <w:vAlign w:val="bottom"/>
            <w:gridSpan w:val="4"/>
          </w:tcPr>
          <w:p>
            <w:pPr>
              <w:jc w:val="right"/>
              <w:ind w:right="160"/>
              <w:spacing w:after="0"/>
              <w:rPr>
                <w:sz w:val="20"/>
                <w:szCs w:val="20"/>
                <w:color w:val="auto"/>
              </w:rPr>
            </w:pPr>
            <w:r>
              <w:rPr>
                <w:rFonts w:ascii="Arial" w:cs="Arial" w:eastAsia="Arial" w:hAnsi="Arial"/>
                <w:sz w:val="18"/>
                <w:szCs w:val="18"/>
                <w:color w:val="auto"/>
              </w:rPr>
              <w:t>30,391,000</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56,250,000</w:t>
            </w:r>
          </w:p>
        </w:tc>
        <w:tc>
          <w:tcPr>
            <w:tcW w:w="1740" w:type="dxa"/>
            <w:vAlign w:val="bottom"/>
          </w:tcPr>
          <w:p>
            <w:pPr>
              <w:spacing w:after="0"/>
              <w:rPr>
                <w:sz w:val="18"/>
                <w:szCs w:val="18"/>
                <w:color w:val="auto"/>
              </w:rPr>
            </w:pPr>
          </w:p>
        </w:tc>
      </w:tr>
      <w:tr>
        <w:trPr>
          <w:trHeight w:val="430"/>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60" w:type="dxa"/>
            <w:vAlign w:val="bottom"/>
          </w:tcPr>
          <w:p>
            <w:pPr>
              <w:jc w:val="right"/>
              <w:ind w:right="26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8"/>
        </w:trPr>
        <w:tc>
          <w:tcPr>
            <w:tcW w:w="1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160" w:type="dxa"/>
            <w:vAlign w:val="bottom"/>
          </w:tcPr>
          <w:p>
            <w:pPr>
              <w:jc w:val="right"/>
              <w:ind w:right="1492"/>
              <w:spacing w:after="0"/>
              <w:rPr>
                <w:sz w:val="20"/>
                <w:szCs w:val="20"/>
                <w:color w:val="auto"/>
              </w:rPr>
            </w:pPr>
            <w:r>
              <w:rPr>
                <w:rFonts w:ascii="Arial" w:cs="Arial" w:eastAsia="Arial" w:hAnsi="Arial"/>
                <w:sz w:val="18"/>
                <w:szCs w:val="18"/>
                <w:b w:val="1"/>
                <w:bCs w:val="1"/>
                <w:color w:val="auto"/>
              </w:rPr>
              <w:t>SIGNATURES</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THE BORROWERS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4"/>
                <w:szCs w:val="24"/>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GAS-three LTD.</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60" w:type="dxa"/>
            <w:vAlign w:val="bottom"/>
            <w:vMerge w:val="restart"/>
          </w:tcPr>
          <w:p>
            <w:pPr>
              <w:spacing w:after="0"/>
              <w:rPr>
                <w:sz w:val="24"/>
                <w:szCs w:val="24"/>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GAS-four LTD.</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60" w:type="dxa"/>
            <w:vAlign w:val="bottom"/>
            <w:vMerge w:val="restart"/>
          </w:tcPr>
          <w:p>
            <w:pPr>
              <w:spacing w:after="0"/>
              <w:rPr>
                <w:sz w:val="24"/>
                <w:szCs w:val="24"/>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GAS-five LTD.</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60" w:type="dxa"/>
            <w:vAlign w:val="bottom"/>
            <w:vMerge w:val="restart"/>
          </w:tcPr>
          <w:p>
            <w:pPr>
              <w:spacing w:after="0"/>
              <w:rPr>
                <w:sz w:val="24"/>
                <w:szCs w:val="24"/>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GAS-sixteen LTD.</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60" w:type="dxa"/>
            <w:vAlign w:val="bottom"/>
            <w:vMerge w:val="restart"/>
          </w:tcPr>
          <w:p>
            <w:pPr>
              <w:spacing w:after="0"/>
              <w:rPr>
                <w:sz w:val="24"/>
                <w:szCs w:val="24"/>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GAS-seventeen LTD.</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THE GUARANTORS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for and on behalf of</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GASLOG PARTNERS LP</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as Parent and Guarantor</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16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Occupation:</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GASLOG PARTNERS HOLDINGS LLC</w:t>
            </w:r>
          </w:p>
        </w:tc>
        <w:tc>
          <w:tcPr>
            <w:tcW w:w="31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as Guarantor</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Occupation:</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jc w:val="right"/>
              <w:ind w:right="1892"/>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20"/>
                <w:szCs w:val="20"/>
                <w:color w:val="auto"/>
              </w:rPr>
            </w:pPr>
            <w:r>
              <w:rPr>
                <w:rFonts w:ascii="Arial" w:cs="Arial" w:eastAsia="Arial" w:hAnsi="Arial"/>
                <w:sz w:val="18"/>
                <w:szCs w:val="18"/>
                <w:b w:val="1"/>
                <w:bCs w:val="1"/>
                <w:color w:val="auto"/>
              </w:rPr>
              <w:t>THE ARRANGERS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CREDIT SUISSE AG</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2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160"/>
              <w:spacing w:after="0"/>
              <w:rPr>
                <w:sz w:val="20"/>
                <w:szCs w:val="20"/>
                <w:color w:val="auto"/>
              </w:rPr>
            </w:pPr>
            <w:r>
              <w:rPr>
                <w:rFonts w:ascii="Arial" w:cs="Arial" w:eastAsia="Arial" w:hAnsi="Arial"/>
                <w:sz w:val="18"/>
                <w:szCs w:val="18"/>
                <w:color w:val="auto"/>
              </w:rPr>
              <w:t>as Mandated Lead Arranger</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NORDEA BANK ABP, FILIAL I NORGE</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160"/>
              <w:spacing w:after="0"/>
              <w:rPr>
                <w:sz w:val="20"/>
                <w:szCs w:val="20"/>
                <w:color w:val="auto"/>
              </w:rPr>
            </w:pPr>
            <w:r>
              <w:rPr>
                <w:rFonts w:ascii="Arial" w:cs="Arial" w:eastAsia="Arial" w:hAnsi="Arial"/>
                <w:sz w:val="18"/>
                <w:szCs w:val="18"/>
                <w:color w:val="auto"/>
              </w:rPr>
              <w:t>as Mandated Lead Arranger</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20" w:type="dxa"/>
            <w:vAlign w:val="bottom"/>
          </w:tcPr>
          <w:p>
            <w:pPr>
              <w:ind w:left="1160"/>
              <w:spacing w:after="0"/>
              <w:rPr>
                <w:sz w:val="20"/>
                <w:szCs w:val="20"/>
                <w:color w:val="auto"/>
              </w:rPr>
            </w:pPr>
            <w:r>
              <w:rPr>
                <w:rFonts w:ascii="Arial" w:cs="Arial" w:eastAsia="Arial" w:hAnsi="Arial"/>
                <w:sz w:val="18"/>
                <w:szCs w:val="18"/>
                <w:b w:val="1"/>
                <w:bCs w:val="1"/>
                <w:color w:val="auto"/>
              </w:rPr>
              <w:t>THE ORIGINAL LENDERS</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CREDIT SUISSE AG</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NORDEA BANK ABP, FILIAL I NORGE</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THE IYOBANK, LTD. SINGAPORE BRANCH</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432"/>
        </w:trPr>
        <w:tc>
          <w:tcPr>
            <w:tcW w:w="5220" w:type="dxa"/>
            <w:vAlign w:val="bottom"/>
          </w:tcPr>
          <w:p>
            <w:pPr>
              <w:ind w:left="1160"/>
              <w:spacing w:after="0"/>
              <w:rPr>
                <w:sz w:val="20"/>
                <w:szCs w:val="20"/>
                <w:color w:val="auto"/>
              </w:rPr>
            </w:pPr>
            <w:r>
              <w:rPr>
                <w:rFonts w:ascii="Arial" w:cs="Arial" w:eastAsia="Arial" w:hAnsi="Arial"/>
                <w:sz w:val="18"/>
                <w:szCs w:val="18"/>
                <w:b w:val="1"/>
                <w:bCs w:val="1"/>
                <w:color w:val="auto"/>
              </w:rPr>
              <w:t>THE GLOBAL CO-ORDINATOR</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CREDIT SUISSE AG</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432"/>
        </w:trPr>
        <w:tc>
          <w:tcPr>
            <w:tcW w:w="5220" w:type="dxa"/>
            <w:vAlign w:val="bottom"/>
          </w:tcPr>
          <w:p>
            <w:pPr>
              <w:ind w:left="1160"/>
              <w:spacing w:after="0"/>
              <w:rPr>
                <w:sz w:val="20"/>
                <w:szCs w:val="20"/>
                <w:color w:val="auto"/>
              </w:rPr>
            </w:pPr>
            <w:r>
              <w:rPr>
                <w:rFonts w:ascii="Arial" w:cs="Arial" w:eastAsia="Arial" w:hAnsi="Arial"/>
                <w:sz w:val="18"/>
                <w:szCs w:val="18"/>
                <w:b w:val="1"/>
                <w:bCs w:val="1"/>
                <w:color w:val="auto"/>
              </w:rPr>
              <w:t>THE BOOKRUNNERS</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CREDIT SUISSE AG</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312"/>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NORDEA BANK ABP, FILIAL I NORGE</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432"/>
        </w:trPr>
        <w:tc>
          <w:tcPr>
            <w:tcW w:w="5220" w:type="dxa"/>
            <w:vAlign w:val="bottom"/>
          </w:tcPr>
          <w:p>
            <w:pPr>
              <w:ind w:left="1160"/>
              <w:spacing w:after="0"/>
              <w:rPr>
                <w:sz w:val="20"/>
                <w:szCs w:val="20"/>
                <w:color w:val="auto"/>
              </w:rPr>
            </w:pPr>
            <w:r>
              <w:rPr>
                <w:rFonts w:ascii="Arial" w:cs="Arial" w:eastAsia="Arial" w:hAnsi="Arial"/>
                <w:sz w:val="18"/>
                <w:szCs w:val="18"/>
                <w:b w:val="1"/>
                <w:bCs w:val="1"/>
                <w:color w:val="auto"/>
              </w:rPr>
              <w:t>THE AGENT</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NORDEA BANK ABP, FILIAL I NORGE</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432"/>
        </w:trPr>
        <w:tc>
          <w:tcPr>
            <w:tcW w:w="5220" w:type="dxa"/>
            <w:vAlign w:val="bottom"/>
          </w:tcPr>
          <w:p>
            <w:pPr>
              <w:ind w:left="1160"/>
              <w:spacing w:after="0"/>
              <w:rPr>
                <w:sz w:val="20"/>
                <w:szCs w:val="20"/>
                <w:color w:val="auto"/>
              </w:rPr>
            </w:pPr>
            <w:r>
              <w:rPr>
                <w:rFonts w:ascii="Arial" w:cs="Arial" w:eastAsia="Arial" w:hAnsi="Arial"/>
                <w:sz w:val="18"/>
                <w:szCs w:val="18"/>
                <w:b w:val="1"/>
                <w:bCs w:val="1"/>
                <w:color w:val="auto"/>
              </w:rPr>
              <w:t>THE SECURITY AGENT</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NORDEA BANK ABP, FILIAL I NORGE</w:t>
            </w:r>
          </w:p>
        </w:tc>
        <w:tc>
          <w:tcPr>
            <w:tcW w:w="26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160"/>
              <w:spacing w:after="0"/>
              <w:rPr>
                <w:sz w:val="20"/>
                <w:szCs w:val="20"/>
                <w:color w:val="auto"/>
              </w:rPr>
            </w:pPr>
            <w:r>
              <w:rPr>
                <w:rFonts w:ascii="Arial" w:cs="Arial" w:eastAsia="Arial" w:hAnsi="Arial"/>
                <w:sz w:val="18"/>
                <w:szCs w:val="18"/>
                <w:color w:val="auto"/>
              </w:rPr>
              <w:t>By:</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i w:val="1"/>
                <w:iCs w:val="1"/>
                <w:color w:val="auto"/>
              </w:rPr>
              <w:t>Attorney-in-fact</w:t>
            </w: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4"/>
                <w:szCs w:val="24"/>
                <w:color w:val="auto"/>
              </w:rPr>
            </w:pPr>
          </w:p>
        </w:tc>
        <w:tc>
          <w:tcPr>
            <w:tcW w:w="2680" w:type="dxa"/>
            <w:vAlign w:val="bottom"/>
          </w:tcPr>
          <w:p>
            <w:pPr>
              <w:jc w:val="right"/>
              <w:ind w:right="1892"/>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89" w:name="page390"/>
    <w:bookmarkEnd w:id="38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Exhibit 4.23</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THE ENTITIES LISTED IN SCHEDULE 1 as Borrowers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17">
        <w:r>
          <w:rPr>
            <w:rFonts w:ascii="Arial" w:cs="Arial" w:eastAsia="Arial" w:hAnsi="Arial"/>
            <w:sz w:val="16"/>
            <w:szCs w:val="16"/>
            <w:u w:val="single" w:color="auto"/>
            <w:color w:val="0000EE"/>
          </w:rPr>
          <w:t>CREDIT SUISSE AG NORDEA BANK ABP, FILIAL I NORGE as mandated lead arrangers (together as Arrangers)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with NORDEA BANK ABP, FILIAL I NORGE as Agent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NORDEA BANK ABP, FILIAL I NORGE as Security Agent</w:t>
        </w:r>
      </w:hyperlink>
    </w:p>
    <w:p>
      <w:pPr>
        <w:spacing w:after="0" w:line="9" w:lineRule="exact"/>
        <w:rPr>
          <w:sz w:val="20"/>
          <w:szCs w:val="20"/>
          <w:color w:val="auto"/>
        </w:rPr>
      </w:pPr>
    </w:p>
    <w:p>
      <w:pPr>
        <w:ind w:right="4519"/>
        <w:spacing w:after="0" w:line="250" w:lineRule="auto"/>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CREDIT SUISSE AG NORDEA BANK ABP, FILIAL I NORGE as Bookrunners</w:t>
        </w:r>
      </w:hyperlink>
      <w:r>
        <w:rPr>
          <w:rFonts w:ascii="Arial" w:cs="Arial" w:eastAsia="Arial" w:hAnsi="Arial"/>
          <w:sz w:val="18"/>
          <w:szCs w:val="18"/>
          <w:u w:val="single" w:color="auto"/>
          <w:color w:val="0000EE"/>
        </w:rPr>
        <w:t xml:space="preserve"> </w:t>
      </w:r>
      <w:hyperlink w:anchor="page217">
        <w:r>
          <w:rPr>
            <w:rFonts w:ascii="Arial" w:cs="Arial" w:eastAsia="Arial" w:hAnsi="Arial"/>
            <w:sz w:val="18"/>
            <w:szCs w:val="18"/>
            <w:u w:val="single" w:color="auto"/>
            <w:color w:val="0000EE"/>
          </w:rPr>
          <w:t>CREDIT SUISSE AG as Global Co-ordinator</w:t>
        </w:r>
      </w:hyperlink>
    </w:p>
    <w:p>
      <w:pPr>
        <w:spacing w:after="0" w:line="1" w:lineRule="exact"/>
        <w:rPr>
          <w:sz w:val="20"/>
          <w:szCs w:val="20"/>
          <w:color w:val="auto"/>
        </w:rPr>
      </w:pPr>
    </w:p>
    <w:p>
      <w:pPr>
        <w:ind w:right="4099"/>
        <w:spacing w:after="0" w:line="250" w:lineRule="auto"/>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guaranteed by GASLOG PARTNERS LP and GASLOG PARTNERS HOLDINGS LLC</w:t>
        </w:r>
      </w:hyperlink>
      <w:r>
        <w:rPr>
          <w:rFonts w:ascii="Arial" w:cs="Arial" w:eastAsia="Arial" w:hAnsi="Arial"/>
          <w:sz w:val="18"/>
          <w:szCs w:val="18"/>
          <w:u w:val="single" w:color="auto"/>
          <w:color w:val="0000EE"/>
        </w:rPr>
        <w:t xml:space="preserve"> </w:t>
      </w:r>
      <w:hyperlink w:anchor="page217">
        <w:r>
          <w:rPr>
            <w:rFonts w:ascii="Arial" w:cs="Arial" w:eastAsia="Arial" w:hAnsi="Arial"/>
            <w:sz w:val="18"/>
            <w:szCs w:val="18"/>
            <w:u w:val="single" w:color="auto"/>
            <w:color w:val="0000EE"/>
          </w:rPr>
          <w:t>FACILITY AGREEMENT for $450,000,000 Revolving Credit Facility</w:t>
        </w:r>
      </w:hyperlink>
      <w:r>
        <w:rPr>
          <w:rFonts w:ascii="Arial" w:cs="Arial" w:eastAsia="Arial" w:hAnsi="Arial"/>
          <w:sz w:val="18"/>
          <w:szCs w:val="18"/>
          <w:u w:val="single" w:color="auto"/>
          <w:color w:val="0000EE"/>
        </w:rPr>
        <w:t xml:space="preserve"> </w:t>
      </w:r>
      <w:hyperlink w:anchor="page218">
        <w:r>
          <w:rPr>
            <w:rFonts w:ascii="Arial" w:cs="Arial" w:eastAsia="Arial" w:hAnsi="Arial"/>
            <w:sz w:val="18"/>
            <w:szCs w:val="18"/>
            <w:u w:val="single" w:color="auto"/>
            <w:color w:val="0000EE"/>
          </w:rPr>
          <w:t>Contents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"NOTICE OF MORTGAGE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6">
        <w:r>
          <w:rPr>
            <w:rFonts w:ascii="Arial" w:cs="Arial" w:eastAsia="Arial" w:hAnsi="Arial"/>
            <w:sz w:val="18"/>
            <w:szCs w:val="18"/>
            <w:u w:val="single" w:color="auto"/>
            <w:color w:val="0000EE"/>
          </w:rPr>
          <w:t>Schedule 1 The original parties Borrowers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7">
        <w:r>
          <w:rPr>
            <w:rFonts w:ascii="Arial" w:cs="Arial" w:eastAsia="Arial" w:hAnsi="Arial"/>
            <w:sz w:val="18"/>
            <w:szCs w:val="18"/>
            <w:u w:val="single" w:color="auto"/>
            <w:color w:val="0000EE"/>
          </w:rPr>
          <w:t>Parent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GasLog Holdings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The Original Lenders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The Agent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The Security Agent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The Arrangers Mandated Lead Arrangers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0">
        <w:r>
          <w:rPr>
            <w:rFonts w:ascii="Arial" w:cs="Arial" w:eastAsia="Arial" w:hAnsi="Arial"/>
            <w:sz w:val="18"/>
            <w:szCs w:val="18"/>
            <w:u w:val="single" w:color="auto"/>
            <w:color w:val="0000EE"/>
          </w:rPr>
          <w:t>The Global Co-ordinator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0">
        <w:r>
          <w:rPr>
            <w:rFonts w:ascii="Arial" w:cs="Arial" w:eastAsia="Arial" w:hAnsi="Arial"/>
            <w:sz w:val="18"/>
            <w:szCs w:val="18"/>
            <w:u w:val="single" w:color="auto"/>
            <w:color w:val="0000EE"/>
          </w:rPr>
          <w:t>The Bookrunners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1">
        <w:r>
          <w:rPr>
            <w:rFonts w:ascii="Arial" w:cs="Arial" w:eastAsia="Arial" w:hAnsi="Arial"/>
            <w:sz w:val="18"/>
            <w:szCs w:val="18"/>
            <w:u w:val="single" w:color="auto"/>
            <w:color w:val="0000EE"/>
          </w:rPr>
          <w:t>Schedule 2 Ship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1">
        <w:r>
          <w:rPr>
            <w:rFonts w:ascii="Arial" w:cs="Arial" w:eastAsia="Arial" w:hAnsi="Arial"/>
            <w:sz w:val="18"/>
            <w:szCs w:val="18"/>
            <w:u w:val="single" w:color="auto"/>
            <w:color w:val="0000EE"/>
          </w:rPr>
          <w:t>Ship A</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1">
        <w:r>
          <w:rPr>
            <w:rFonts w:ascii="Arial" w:cs="Arial" w:eastAsia="Arial" w:hAnsi="Arial"/>
            <w:sz w:val="18"/>
            <w:szCs w:val="18"/>
            <w:u w:val="single" w:color="auto"/>
            <w:color w:val="0000EE"/>
          </w:rPr>
          <w:t>Ship B</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2">
        <w:r>
          <w:rPr>
            <w:rFonts w:ascii="Arial" w:cs="Arial" w:eastAsia="Arial" w:hAnsi="Arial"/>
            <w:sz w:val="18"/>
            <w:szCs w:val="18"/>
            <w:u w:val="single" w:color="auto"/>
            <w:color w:val="0000EE"/>
          </w:rPr>
          <w:t>Ship 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2">
        <w:r>
          <w:rPr>
            <w:rFonts w:ascii="Arial" w:cs="Arial" w:eastAsia="Arial" w:hAnsi="Arial"/>
            <w:sz w:val="18"/>
            <w:szCs w:val="18"/>
            <w:u w:val="single" w:color="auto"/>
            <w:color w:val="0000EE"/>
          </w:rPr>
          <w:t>Ship 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3">
        <w:r>
          <w:rPr>
            <w:rFonts w:ascii="Arial" w:cs="Arial" w:eastAsia="Arial" w:hAnsi="Arial"/>
            <w:sz w:val="18"/>
            <w:szCs w:val="18"/>
            <w:u w:val="single" w:color="auto"/>
            <w:color w:val="0000EE"/>
          </w:rPr>
          <w:t>Ship 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4">
        <w:r>
          <w:rPr>
            <w:rFonts w:ascii="Arial" w:cs="Arial" w:eastAsia="Arial" w:hAnsi="Arial"/>
            <w:sz w:val="18"/>
            <w:szCs w:val="18"/>
            <w:u w:val="single" w:color="auto"/>
            <w:color w:val="0000EE"/>
          </w:rPr>
          <w:t>Schedule 3 Conditions precedent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4">
        <w:r>
          <w:rPr>
            <w:rFonts w:ascii="Arial" w:cs="Arial" w:eastAsia="Arial" w:hAnsi="Arial"/>
            <w:sz w:val="18"/>
            <w:szCs w:val="18"/>
            <w:u w:val="single" w:color="auto"/>
            <w:color w:val="0000EE"/>
          </w:rPr>
          <w:t>Part 1 Conditions precedent to first Utilisation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9">
        <w:r>
          <w:rPr>
            <w:rFonts w:ascii="Arial" w:cs="Arial" w:eastAsia="Arial" w:hAnsi="Arial"/>
            <w:sz w:val="18"/>
            <w:szCs w:val="18"/>
            <w:u w:val="single" w:color="auto"/>
            <w:color w:val="0000EE"/>
          </w:rPr>
          <w:t>Part 2 Conditions precedent to each further Utilisation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0">
        <w:r>
          <w:rPr>
            <w:rFonts w:ascii="Arial" w:cs="Arial" w:eastAsia="Arial" w:hAnsi="Arial"/>
            <w:sz w:val="18"/>
            <w:szCs w:val="18"/>
            <w:u w:val="single" w:color="auto"/>
            <w:color w:val="0000EE"/>
          </w:rPr>
          <w:t>Schedule 4 Utilisation Request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Schedule 5 Form of Compliance Certificate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7">
        <w:r>
          <w:rPr>
            <w:rFonts w:ascii="Arial" w:cs="Arial" w:eastAsia="Arial" w:hAnsi="Arial"/>
            <w:sz w:val="18"/>
            <w:szCs w:val="18"/>
            <w:u w:val="single" w:color="auto"/>
            <w:color w:val="0000EE"/>
          </w:rPr>
          <w:t>Schedule 8 Reduction Schedule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8">
        <w:r>
          <w:rPr>
            <w:rFonts w:ascii="Arial" w:cs="Arial" w:eastAsia="Arial" w:hAnsi="Arial"/>
            <w:sz w:val="18"/>
            <w:szCs w:val="18"/>
            <w:u w:val="single" w:color="auto"/>
            <w:color w:val="0000EE"/>
          </w:rPr>
          <w:t>SIGNATURES</w:t>
        </w:r>
      </w:hyperlink>
    </w:p>
    <w:p>
      <w:pPr>
        <w:sectPr>
          <w:pgSz w:w="11900" w:h="16838" w:orient="portrait"/>
          <w:cols w:equalWidth="0" w:num="1">
            <w:col w:w="10299"/>
          </w:cols>
          <w:pgMar w:left="160" w:top="740" w:right="1440" w:bottom="1440" w:gutter="0" w:footer="0" w:header="0"/>
        </w:sectPr>
      </w:pPr>
    </w:p>
    <w:bookmarkStart w:id="390" w:name="page391"/>
    <w:bookmarkEnd w:id="390"/>
    <w:p>
      <w:pPr>
        <w:spacing w:after="0"/>
        <w:rPr>
          <w:rFonts w:ascii="Arial" w:cs="Arial" w:eastAsia="Arial" w:hAnsi="Arial"/>
          <w:sz w:val="22"/>
          <w:szCs w:val="22"/>
          <w:color w:val="0000EE"/>
        </w:rPr>
      </w:pPr>
      <w:hyperlink w:anchor="page3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SUBSIDIARIES OF GASLOG PARTNERS LP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Partners LP: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60" w:type="dxa"/>
            <w:vAlign w:val="bottom"/>
          </w:tcPr>
          <w:p>
            <w:pPr>
              <w:spacing w:after="0"/>
              <w:rPr>
                <w:sz w:val="13"/>
                <w:szCs w:val="13"/>
                <w:color w:val="auto"/>
              </w:rPr>
            </w:pPr>
          </w:p>
        </w:tc>
        <w:tc>
          <w:tcPr>
            <w:tcW w:w="262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4"/>
              </w:rPr>
              <w:t>Proportion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3"/>
                <w:szCs w:val="13"/>
                <w:b w:val="1"/>
                <w:bCs w:val="1"/>
                <w:color w:val="auto"/>
              </w:rPr>
              <w:t>Name of Subsidiary</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60" w:type="dxa"/>
            <w:vAlign w:val="bottom"/>
          </w:tcPr>
          <w:p>
            <w:pPr>
              <w:spacing w:after="0"/>
              <w:rPr>
                <w:sz w:val="14"/>
                <w:szCs w:val="14"/>
                <w:color w:val="auto"/>
              </w:rPr>
            </w:pPr>
          </w:p>
        </w:tc>
        <w:tc>
          <w:tcPr>
            <w:tcW w:w="26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Ownership 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3"/>
              </w:rPr>
              <w:t>GAS-three Ltd.</w:t>
            </w:r>
          </w:p>
        </w:tc>
        <w:tc>
          <w:tcPr>
            <w:tcW w:w="5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GAS-fourteen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GAS-nineteen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one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GAS-twenty seven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 Holdings LLC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Marshall Islands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391" w:name="page392"/>
    <w:bookmarkEnd w:id="39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1">
        <w:r>
          <w:rPr>
            <w:rFonts w:ascii="Arial" w:cs="Arial" w:eastAsia="Arial" w:hAnsi="Arial"/>
            <w:sz w:val="16"/>
            <w:szCs w:val="16"/>
            <w:u w:val="single" w:color="auto"/>
            <w:color w:val="0000EE"/>
          </w:rPr>
          <w:t>SUBSIDIARIES OF GASLOG PARTNERS LP</w:t>
        </w:r>
      </w:hyperlink>
    </w:p>
    <w:p>
      <w:pPr>
        <w:sectPr>
          <w:pgSz w:w="11900" w:h="16838" w:orient="portrait"/>
          <w:cols w:equalWidth="0" w:num="1">
            <w:col w:w="10299"/>
          </w:cols>
          <w:pgMar w:left="160" w:top="740" w:right="1440" w:bottom="1440" w:gutter="0" w:footer="0" w:header="0"/>
        </w:sectPr>
      </w:pPr>
    </w:p>
    <w:bookmarkStart w:id="392" w:name="page393"/>
    <w:bookmarkEnd w:id="392"/>
    <w:p>
      <w:pPr>
        <w:spacing w:after="0"/>
        <w:rPr>
          <w:rFonts w:ascii="Arial" w:cs="Arial" w:eastAsia="Arial" w:hAnsi="Arial"/>
          <w:sz w:val="22"/>
          <w:szCs w:val="22"/>
          <w:color w:val="0000EE"/>
        </w:rPr>
      </w:pPr>
      <w:hyperlink w:anchor="page39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J. Orekar, certify that:</w:t>
      </w:r>
    </w:p>
    <w:p>
      <w:pPr>
        <w:spacing w:after="0" w:line="245" w:lineRule="exact"/>
        <w:rPr>
          <w:sz w:val="20"/>
          <w:szCs w:val="20"/>
          <w:color w:val="auto"/>
        </w:rPr>
      </w:pPr>
    </w:p>
    <w:p>
      <w:pPr>
        <w:ind w:left="540" w:hanging="532"/>
        <w:spacing w:after="0"/>
        <w:tabs>
          <w:tab w:leader="none" w:pos="5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20" w:hanging="532"/>
        <w:spacing w:after="0" w:line="331" w:lineRule="auto"/>
        <w:tabs>
          <w:tab w:leader="none" w:pos="54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left="540" w:right="100" w:hanging="532"/>
        <w:spacing w:after="0" w:line="331" w:lineRule="auto"/>
        <w:tabs>
          <w:tab w:leader="none" w:pos="54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4" w:lineRule="exact"/>
        <w:rPr>
          <w:rFonts w:ascii="Arial" w:cs="Arial" w:eastAsia="Arial" w:hAnsi="Arial"/>
          <w:sz w:val="16"/>
          <w:szCs w:val="16"/>
          <w:color w:val="auto"/>
        </w:rPr>
      </w:pPr>
    </w:p>
    <w:p>
      <w:pPr>
        <w:ind w:left="540" w:right="140" w:hanging="532"/>
        <w:spacing w:after="0" w:line="259" w:lineRule="auto"/>
        <w:tabs>
          <w:tab w:leader="none" w:pos="5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900" w:hanging="532"/>
        <w:spacing w:after="0" w:line="369" w:lineRule="auto"/>
        <w:tabs>
          <w:tab w:leader="none" w:pos="1080" w:val="left"/>
        </w:tabs>
        <w:numPr>
          <w:ilvl w:val="1"/>
          <w:numId w:val="596"/>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ind w:left="1080" w:right="160" w:hanging="532"/>
        <w:spacing w:after="0" w:line="331" w:lineRule="auto"/>
        <w:tabs>
          <w:tab w:leader="none" w:pos="1080" w:val="left"/>
        </w:tabs>
        <w:numPr>
          <w:ilvl w:val="1"/>
          <w:numId w:val="596"/>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70" w:lineRule="exact"/>
        <w:rPr>
          <w:rFonts w:ascii="Arial" w:cs="Arial" w:eastAsia="Arial" w:hAnsi="Arial"/>
          <w:sz w:val="16"/>
          <w:szCs w:val="16"/>
          <w:color w:val="auto"/>
        </w:rPr>
      </w:pPr>
    </w:p>
    <w:p>
      <w:pPr>
        <w:ind w:left="540" w:right="580" w:hanging="532"/>
        <w:spacing w:after="0" w:line="331" w:lineRule="auto"/>
        <w:tabs>
          <w:tab w:leader="none" w:pos="54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70" w:lineRule="exact"/>
        <w:rPr>
          <w:rFonts w:ascii="Arial" w:cs="Arial" w:eastAsia="Arial" w:hAnsi="Arial"/>
          <w:sz w:val="16"/>
          <w:szCs w:val="16"/>
          <w:color w:val="auto"/>
        </w:rPr>
      </w:pPr>
    </w:p>
    <w:p>
      <w:pPr>
        <w:ind w:left="1080" w:right="420" w:hanging="532"/>
        <w:spacing w:after="0" w:line="331" w:lineRule="auto"/>
        <w:tabs>
          <w:tab w:leader="none" w:pos="1080" w:val="left"/>
        </w:tabs>
        <w:numPr>
          <w:ilvl w:val="1"/>
          <w:numId w:val="5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7"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62230</wp:posOffset>
            </wp:positionV>
            <wp:extent cx="270891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Andrew J. Orekar</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393" w:name="page394"/>
    <w:bookmarkEnd w:id="39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3">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3">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299"/>
          </w:cols>
          <w:pgMar w:left="160" w:top="740" w:right="1440" w:bottom="1440" w:gutter="0" w:footer="0" w:header="0"/>
        </w:sectPr>
      </w:pPr>
    </w:p>
    <w:bookmarkStart w:id="394" w:name="page395"/>
    <w:bookmarkEnd w:id="394"/>
    <w:p>
      <w:pPr>
        <w:spacing w:after="0"/>
        <w:rPr>
          <w:rFonts w:ascii="Arial" w:cs="Arial" w:eastAsia="Arial" w:hAnsi="Arial"/>
          <w:sz w:val="22"/>
          <w:szCs w:val="22"/>
          <w:color w:val="0000EE"/>
        </w:rPr>
      </w:pPr>
      <w:hyperlink w:anchor="page3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20" w:hanging="532"/>
        <w:spacing w:after="0" w:line="331" w:lineRule="auto"/>
        <w:tabs>
          <w:tab w:leader="none" w:pos="54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6"/>
          <w:szCs w:val="16"/>
          <w:color w:val="auto"/>
        </w:rPr>
      </w:pPr>
    </w:p>
    <w:p>
      <w:pPr>
        <w:ind w:left="540" w:right="100" w:hanging="532"/>
        <w:spacing w:after="0" w:line="331" w:lineRule="auto"/>
        <w:tabs>
          <w:tab w:leader="none" w:pos="54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4" w:lineRule="exact"/>
        <w:rPr>
          <w:rFonts w:ascii="Arial" w:cs="Arial" w:eastAsia="Arial" w:hAnsi="Arial"/>
          <w:sz w:val="16"/>
          <w:szCs w:val="16"/>
          <w:color w:val="auto"/>
        </w:rPr>
      </w:pPr>
    </w:p>
    <w:p>
      <w:pPr>
        <w:ind w:left="540" w:right="140" w:hanging="532"/>
        <w:spacing w:after="0" w:line="259" w:lineRule="auto"/>
        <w:tabs>
          <w:tab w:leader="none" w:pos="5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900" w:hanging="532"/>
        <w:spacing w:after="0" w:line="369" w:lineRule="auto"/>
        <w:tabs>
          <w:tab w:leader="none" w:pos="1080" w:val="left"/>
        </w:tabs>
        <w:numPr>
          <w:ilvl w:val="1"/>
          <w:numId w:val="597"/>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ind w:left="1080" w:right="160" w:hanging="532"/>
        <w:spacing w:after="0" w:line="331" w:lineRule="auto"/>
        <w:tabs>
          <w:tab w:leader="none" w:pos="1080" w:val="left"/>
        </w:tabs>
        <w:numPr>
          <w:ilvl w:val="1"/>
          <w:numId w:val="597"/>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70" w:lineRule="exact"/>
        <w:rPr>
          <w:rFonts w:ascii="Arial" w:cs="Arial" w:eastAsia="Arial" w:hAnsi="Arial"/>
          <w:sz w:val="16"/>
          <w:szCs w:val="16"/>
          <w:color w:val="auto"/>
        </w:rPr>
      </w:pPr>
    </w:p>
    <w:p>
      <w:pPr>
        <w:ind w:left="540" w:right="580" w:hanging="532"/>
        <w:spacing w:after="0" w:line="331" w:lineRule="auto"/>
        <w:tabs>
          <w:tab w:leader="none" w:pos="54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70" w:lineRule="exact"/>
        <w:rPr>
          <w:rFonts w:ascii="Arial" w:cs="Arial" w:eastAsia="Arial" w:hAnsi="Arial"/>
          <w:sz w:val="16"/>
          <w:szCs w:val="16"/>
          <w:color w:val="auto"/>
        </w:rPr>
      </w:pPr>
    </w:p>
    <w:p>
      <w:pPr>
        <w:ind w:left="1080" w:right="420" w:hanging="532"/>
        <w:spacing w:after="0" w:line="331" w:lineRule="auto"/>
        <w:tabs>
          <w:tab w:leader="none" w:pos="1080" w:val="left"/>
        </w:tabs>
        <w:numPr>
          <w:ilvl w:val="1"/>
          <w:numId w:val="5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7"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62230</wp:posOffset>
            </wp:positionV>
            <wp:extent cx="27089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Alastair Maxwell</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341870" cy="215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395" w:name="page396"/>
    <w:bookmarkEnd w:id="39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5">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5">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299"/>
          </w:cols>
          <w:pgMar w:left="160" w:top="740" w:right="1440" w:bottom="1440" w:gutter="0" w:footer="0" w:header="0"/>
        </w:sectPr>
      </w:pPr>
    </w:p>
    <w:bookmarkStart w:id="396" w:name="page397"/>
    <w:bookmarkEnd w:id="396"/>
    <w:p>
      <w:pPr>
        <w:spacing w:after="0"/>
        <w:rPr>
          <w:rFonts w:ascii="Arial" w:cs="Arial" w:eastAsia="Arial" w:hAnsi="Arial"/>
          <w:sz w:val="22"/>
          <w:szCs w:val="22"/>
          <w:color w:val="0000EE"/>
        </w:rPr>
      </w:pPr>
      <w:hyperlink w:anchor="page3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connection with the annual report on Form 20-F of GasLog Partners LP, a limited partnership organized under the laws of the Republic of the Marshall Islands (the "Partnership"), for the period ending December 31, 2018, as filed with the Securities and Exchange Commission on the date hereof (the "Report"), the undersigned officer of the Company certifies pursuant to 18 U.S.C. Section 1350, as adopted pursuant to Section 906 of the Sarbanes-Oxley Act of 2002, that:</w:t>
      </w:r>
    </w:p>
    <w:p>
      <w:pPr>
        <w:spacing w:after="0" w:line="155" w:lineRule="exact"/>
        <w:rPr>
          <w:sz w:val="20"/>
          <w:szCs w:val="20"/>
          <w:color w:val="auto"/>
        </w:rPr>
      </w:pPr>
    </w:p>
    <w:p>
      <w:pPr>
        <w:ind w:left="1080" w:hanging="532"/>
        <w:spacing w:after="0"/>
        <w:tabs>
          <w:tab w:leader="none" w:pos="10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ANDREW J. OREKAR</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-66040</wp:posOffset>
            </wp:positionV>
            <wp:extent cx="26917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140" w:type="dxa"/>
            <w:vAlign w:val="bottom"/>
          </w:tcPr>
          <w:p>
            <w:pPr>
              <w:ind w:left="500"/>
              <w:spacing w:after="0"/>
              <w:rPr>
                <w:sz w:val="20"/>
                <w:szCs w:val="20"/>
                <w:color w:val="auto"/>
              </w:rPr>
            </w:pPr>
            <w:r>
              <w:rPr>
                <w:rFonts w:ascii="Arial" w:cs="Arial" w:eastAsia="Arial" w:hAnsi="Arial"/>
                <w:sz w:val="18"/>
                <w:szCs w:val="18"/>
                <w:color w:val="auto"/>
              </w:rPr>
              <w:t>Name:</w:t>
            </w:r>
          </w:p>
        </w:tc>
        <w:tc>
          <w:tcPr>
            <w:tcW w:w="10420" w:type="dxa"/>
            <w:vAlign w:val="bottom"/>
          </w:tcPr>
          <w:p>
            <w:pPr>
              <w:ind w:left="160"/>
              <w:spacing w:after="0"/>
              <w:rPr>
                <w:sz w:val="20"/>
                <w:szCs w:val="20"/>
                <w:color w:val="auto"/>
              </w:rPr>
            </w:pPr>
            <w:r>
              <w:rPr>
                <w:rFonts w:ascii="Arial" w:cs="Arial" w:eastAsia="Arial" w:hAnsi="Arial"/>
                <w:sz w:val="18"/>
                <w:szCs w:val="18"/>
                <w:color w:val="auto"/>
              </w:rPr>
              <w:t>Andrew J. Orekar</w:t>
            </w:r>
          </w:p>
        </w:tc>
      </w:tr>
      <w:tr>
        <w:trPr>
          <w:trHeight w:val="222"/>
        </w:trPr>
        <w:tc>
          <w:tcPr>
            <w:tcW w:w="1140" w:type="dxa"/>
            <w:vAlign w:val="bottom"/>
          </w:tcPr>
          <w:p>
            <w:pPr>
              <w:ind w:left="500"/>
              <w:spacing w:after="0"/>
              <w:rPr>
                <w:sz w:val="20"/>
                <w:szCs w:val="20"/>
                <w:color w:val="auto"/>
              </w:rPr>
            </w:pPr>
            <w:r>
              <w:rPr>
                <w:rFonts w:ascii="Arial" w:cs="Arial" w:eastAsia="Arial" w:hAnsi="Arial"/>
                <w:sz w:val="18"/>
                <w:szCs w:val="18"/>
                <w:color w:val="auto"/>
              </w:rPr>
              <w:t>Title:</w:t>
            </w:r>
          </w:p>
        </w:tc>
        <w:tc>
          <w:tcPr>
            <w:tcW w:w="10420" w:type="dxa"/>
            <w:vAlign w:val="bottom"/>
          </w:tcPr>
          <w:p>
            <w:pPr>
              <w:ind w:left="160"/>
              <w:spacing w:after="0"/>
              <w:rPr>
                <w:sz w:val="20"/>
                <w:szCs w:val="20"/>
                <w:color w:val="auto"/>
              </w:rPr>
            </w:pPr>
            <w:r>
              <w:rPr>
                <w:rFonts w:ascii="Arial" w:cs="Arial" w:eastAsia="Arial" w:hAnsi="Arial"/>
                <w:sz w:val="18"/>
                <w:szCs w:val="18"/>
                <w:i w:val="1"/>
                <w:iCs w:val="1"/>
                <w:color w:val="auto"/>
              </w:rPr>
              <w:t>Chief Executive Officer</w:t>
            </w:r>
          </w:p>
        </w:tc>
      </w:tr>
      <w:tr>
        <w:trPr>
          <w:trHeight w:val="120"/>
        </w:trPr>
        <w:tc>
          <w:tcPr>
            <w:tcW w:w="1140" w:type="dxa"/>
            <w:vAlign w:val="bottom"/>
            <w:tcBorders>
              <w:bottom w:val="single" w:sz="8" w:color="808080"/>
            </w:tcBorders>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7332345</wp:posOffset>
            </wp:positionH>
            <wp:positionV relativeFrom="paragraph">
              <wp:posOffset>-13970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60"/>
          </w:cols>
          <w:pgMar w:left="160" w:top="281" w:right="179" w:bottom="1440" w:gutter="0" w:footer="0" w:header="0"/>
        </w:sectPr>
      </w:pPr>
    </w:p>
    <w:bookmarkStart w:id="397" w:name="page398"/>
    <w:bookmarkEnd w:id="39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7">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160" w:top="740" w:right="479" w:bottom="1440" w:gutter="0" w:footer="0" w:header="0"/>
        </w:sectPr>
      </w:pPr>
    </w:p>
    <w:bookmarkStart w:id="398" w:name="page399"/>
    <w:bookmarkEnd w:id="398"/>
    <w:p>
      <w:pPr>
        <w:spacing w:after="0"/>
        <w:rPr>
          <w:rFonts w:ascii="Arial" w:cs="Arial" w:eastAsia="Arial" w:hAnsi="Arial"/>
          <w:sz w:val="22"/>
          <w:szCs w:val="22"/>
          <w:color w:val="0000EE"/>
        </w:rPr>
      </w:pPr>
      <w:hyperlink w:anchor="page4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In connection with the annual report on Form 20-F of GasLog Partners LP, a limited partnership organized under the laws of the Republic of the Marshall Islands (the "Partnership"), for the period ending December 31, 2018,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155" w:lineRule="exact"/>
        <w:rPr>
          <w:sz w:val="20"/>
          <w:szCs w:val="20"/>
          <w:color w:val="auto"/>
        </w:rPr>
      </w:pPr>
    </w:p>
    <w:p>
      <w:pPr>
        <w:ind w:left="1080" w:hanging="532"/>
        <w:spacing w:after="0"/>
        <w:tabs>
          <w:tab w:leader="none" w:pos="108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ALASTAIR MAXWELL</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-66040</wp:posOffset>
            </wp:positionV>
            <wp:extent cx="269176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ind w:left="500"/>
        <w:spacing w:after="0"/>
        <w:tabs>
          <w:tab w:leader="none" w:pos="1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Alastair Maxwell</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34187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281" w:right="219" w:bottom="1440" w:gutter="0" w:footer="0" w:header="0"/>
        </w:sectPr>
      </w:pPr>
    </w:p>
    <w:bookmarkStart w:id="399" w:name="page400"/>
    <w:bookmarkEnd w:id="3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9">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9">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160" w:top="740" w:right="479" w:bottom="1440" w:gutter="0" w:footer="0" w:header="0"/>
        </w:sectPr>
      </w:pPr>
    </w:p>
    <w:bookmarkStart w:id="400" w:name="page401"/>
    <w:bookmarkEnd w:id="400"/>
    <w:p>
      <w:pPr>
        <w:spacing w:after="0"/>
        <w:rPr>
          <w:rFonts w:ascii="Arial" w:cs="Arial" w:eastAsia="Arial" w:hAnsi="Arial"/>
          <w:sz w:val="22"/>
          <w:szCs w:val="22"/>
          <w:color w:val="0000EE"/>
        </w:rPr>
      </w:pPr>
      <w:hyperlink w:anchor="page4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333-220736 on Form F-3, and No. 333-203139 on Form S-8, of our reports dated February 26, 2019, relating to the consolidated financial statements of GasLog Partners LP, and the effectiveness of GasLog Partners LP's internal control over financial reporting, appearing in this Annual Report on Form 20-F of GasLog Partners LP for the year ended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Deloitte LLP is a limited liability partnership registered in England and Wales with registered number OC303675 and its registered office at 1 New Street Square, London EC4A 3HQ, United Kingdom.</w:t>
      </w:r>
    </w:p>
    <w:p>
      <w:pPr>
        <w:spacing w:after="0" w:line="215" w:lineRule="exact"/>
        <w:rPr>
          <w:sz w:val="20"/>
          <w:szCs w:val="20"/>
          <w:color w:val="auto"/>
        </w:rPr>
      </w:pPr>
    </w:p>
    <w:p>
      <w:pPr>
        <w:jc w:val="both"/>
        <w:ind w:right="160"/>
        <w:spacing w:after="0" w:line="317" w:lineRule="auto"/>
        <w:rPr>
          <w:sz w:val="20"/>
          <w:szCs w:val="20"/>
          <w:color w:val="auto"/>
        </w:rPr>
      </w:pPr>
      <w:r>
        <w:rPr>
          <w:rFonts w:ascii="Arial" w:cs="Arial" w:eastAsia="Arial" w:hAnsi="Arial"/>
          <w:sz w:val="12"/>
          <w:szCs w:val="12"/>
          <w:color w:val="auto"/>
        </w:rPr>
        <w:t>Deloitte LLP is the United Kingdom affiliate of Deloitte NWE LLP, a member firm of Deloitte Touche Tohmatsu Limited, a UK private company limited by guarantee ("DTTL"). DTTL and each of its member firms are legally separate and independent entities. DTTL and Deloitte NWE LLP do not provide services to clients. Please see www.deloitte.com/about to learn more about our global network of member firms.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 2019 Deloitte LLP.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341870"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341870" cy="20955"/>
                    </a:xfrm>
                    <a:prstGeom prst="rect">
                      <a:avLst/>
                    </a:prstGeom>
                    <a:noFill/>
                  </pic:spPr>
                </pic:pic>
              </a:graphicData>
            </a:graphic>
          </wp:anchor>
        </w:drawing>
      </w:r>
    </w:p>
    <w:p>
      <w:pPr>
        <w:sectPr>
          <w:pgSz w:w="11900" w:h="16838" w:orient="portrait"/>
          <w:cols w:equalWidth="0" w:num="1">
            <w:col w:w="11520"/>
          </w:cols>
          <w:pgMar w:left="160" w:top="281" w:right="219" w:bottom="1440" w:gutter="0" w:footer="0" w:header="0"/>
        </w:sectPr>
      </w:pPr>
    </w:p>
    <w:bookmarkStart w:id="401" w:name="page402"/>
    <w:bookmarkEnd w:id="4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01">
        <w:r>
          <w:rPr>
            <w:rFonts w:ascii="Arial" w:cs="Arial" w:eastAsia="Arial" w:hAnsi="Arial"/>
            <w:sz w:val="18"/>
            <w:szCs w:val="18"/>
            <w:u w:val="single" w:color="auto"/>
            <w:color w:val="0000EE"/>
          </w:rPr>
          <w:t>Exhibit 13.3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01">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99"/>
      </w:cols>
      <w:pgMar w:left="160" w:top="7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F88EA6"/>
    <w:multiLevelType w:val="hybridMultilevel"/>
    <w:lvl w:ilvl="0">
      <w:lvlJc w:val="left"/>
      <w:lvlText w:val="o"/>
      <w:numFmt w:val="bullet"/>
      <w:start w:val="1"/>
    </w:lvl>
  </w:abstractNum>
  <w:abstractNum w:abstractNumId="1">
    <w:nsid w:val="617C843E"/>
    <w:multiLevelType w:val="hybridMultilevel"/>
    <w:lvl w:ilvl="0">
      <w:lvlJc w:val="left"/>
      <w:lvlText w:val="ý"/>
      <w:numFmt w:val="bullet"/>
      <w:start w:val="1"/>
    </w:lvl>
  </w:abstractNum>
  <w:abstractNum w:abstractNumId="2">
    <w:nsid w:val="7B541FAB"/>
    <w:multiLevelType w:val="hybridMultilevel"/>
    <w:lvl w:ilvl="0">
      <w:lvlJc w:val="left"/>
      <w:lvlText w:val="o"/>
      <w:numFmt w:val="bullet"/>
      <w:start w:val="1"/>
    </w:lvl>
  </w:abstractNum>
  <w:abstractNum w:abstractNumId="3">
    <w:nsid w:val="2A79EC49"/>
    <w:multiLevelType w:val="hybridMultilevel"/>
    <w:lvl w:ilvl="0">
      <w:lvlJc w:val="left"/>
      <w:lvlText w:val="•"/>
      <w:numFmt w:val="bullet"/>
      <w:start w:val="1"/>
    </w:lvl>
  </w:abstractNum>
  <w:abstractNum w:abstractNumId="4">
    <w:nsid w:val="338125CF"/>
    <w:multiLevelType w:val="hybridMultilevel"/>
    <w:lvl w:ilvl="0">
      <w:lvlJc w:val="left"/>
      <w:lvlText w:val="•"/>
      <w:numFmt w:val="bullet"/>
      <w:start w:val="1"/>
    </w:lvl>
  </w:abstractNum>
  <w:abstractNum w:abstractNumId="5">
    <w:nsid w:val="47C7C971"/>
    <w:multiLevelType w:val="hybridMultilevel"/>
    <w:lvl w:ilvl="0">
      <w:lvlJc w:val="left"/>
      <w:lvlText w:val="•"/>
      <w:numFmt w:val="bullet"/>
      <w:start w:val="1"/>
    </w:lvl>
  </w:abstractNum>
  <w:abstractNum w:abstractNumId="6">
    <w:nsid w:val="46F8284B"/>
    <w:multiLevelType w:val="hybridMultilevel"/>
    <w:lvl w:ilvl="0">
      <w:lvlJc w:val="left"/>
      <w:lvlText w:val="•"/>
      <w:numFmt w:val="bullet"/>
      <w:start w:val="1"/>
    </w:lvl>
  </w:abstractNum>
  <w:abstractNum w:abstractNumId="7">
    <w:nsid w:val="4FA327CE"/>
    <w:multiLevelType w:val="hybridMultilevel"/>
    <w:lvl w:ilvl="0">
      <w:lvlJc w:val="left"/>
      <w:lvlText w:val="*"/>
      <w:numFmt w:val="bullet"/>
      <w:start w:val="1"/>
    </w:lvl>
  </w:abstractNum>
  <w:abstractNum w:abstractNumId="8">
    <w:nsid w:val="1873983A"/>
    <w:multiLevelType w:val="hybridMultilevel"/>
    <w:lvl w:ilvl="0">
      <w:lvlJc w:val="left"/>
      <w:lvlText w:val="*"/>
      <w:numFmt w:val="bullet"/>
      <w:start w:val="1"/>
    </w:lvl>
  </w:abstractNum>
  <w:abstractNum w:abstractNumId="9">
    <w:nsid w:val="3D2DD275"/>
    <w:multiLevelType w:val="hybridMultilevel"/>
    <w:lvl w:ilvl="0">
      <w:lvlJc w:val="left"/>
      <w:lvlText w:val="(%1)"/>
      <w:numFmt w:val="decimal"/>
      <w:start w:val="1"/>
    </w:lvl>
  </w:abstractNum>
  <w:abstractNum w:abstractNumId="10">
    <w:nsid w:val="2E17ECA7"/>
    <w:multiLevelType w:val="hybridMultilevel"/>
    <w:lvl w:ilvl="0">
      <w:lvlJc w:val="left"/>
      <w:lvlText w:val="(%1)"/>
      <w:numFmt w:val="decimal"/>
      <w:start w:val="4"/>
    </w:lvl>
  </w:abstractNum>
  <w:abstractNum w:abstractNumId="11">
    <w:nsid w:val="53B2564F"/>
    <w:multiLevelType w:val="hybridMultilevel"/>
    <w:lvl w:ilvl="0">
      <w:lvlJc w:val="left"/>
      <w:lvlText w:val="*"/>
      <w:numFmt w:val="bullet"/>
      <w:start w:val="1"/>
    </w:lvl>
  </w:abstractNum>
  <w:abstractNum w:abstractNumId="12">
    <w:nsid w:val="75509D76"/>
    <w:multiLevelType w:val="hybridMultilevel"/>
    <w:lvl w:ilvl="0">
      <w:lvlJc w:val="left"/>
      <w:lvlText w:val="%1"/>
      <w:numFmt w:val="decimal"/>
      <w:start w:val="1"/>
    </w:lvl>
    <w:lvl w:ilvl="1">
      <w:lvlJc w:val="left"/>
      <w:lvlText w:val="**"/>
      <w:numFmt w:val="bullet"/>
      <w:start w:val="1"/>
    </w:lvl>
  </w:abstractNum>
  <w:abstractNum w:abstractNumId="13">
    <w:nsid w:val="1AF7F0EA"/>
    <w:multiLevelType w:val="hybridMultilevel"/>
    <w:lvl w:ilvl="0">
      <w:lvlJc w:val="left"/>
      <w:lvlText w:val="(%1)"/>
      <w:numFmt w:val="decimal"/>
      <w:start w:val="6"/>
    </w:lvl>
    <w:lvl w:ilvl="1">
      <w:lvlJc w:val="left"/>
      <w:lvlText w:val="***"/>
      <w:numFmt w:val="bullet"/>
      <w:start w:val="1"/>
    </w:lvl>
  </w:abstractNum>
  <w:abstractNum w:abstractNumId="14">
    <w:nsid w:val="4DA32C7E"/>
    <w:multiLevelType w:val="hybridMultilevel"/>
    <w:lvl w:ilvl="0">
      <w:lvlJc w:val="left"/>
      <w:lvlText w:val="%1"/>
      <w:numFmt w:val="upperLetter"/>
      <w:start w:val="1"/>
    </w:lvl>
    <w:lvl w:ilvl="1">
      <w:lvlJc w:val="left"/>
      <w:lvlText w:val="(%2)"/>
      <w:numFmt w:val="decimal"/>
      <w:start w:val="9"/>
    </w:lvl>
  </w:abstractNum>
  <w:abstractNum w:abstractNumId="15">
    <w:nsid w:val="6EC68664"/>
    <w:multiLevelType w:val="hybridMultilevel"/>
    <w:lvl w:ilvl="0">
      <w:lvlJc w:val="left"/>
      <w:lvlText w:val="%1."/>
      <w:numFmt w:val="upperLetter"/>
      <w:start w:val="2"/>
    </w:lvl>
    <w:lvl w:ilvl="1">
      <w:lvlJc w:val="left"/>
      <w:lvlText w:val="%2"/>
      <w:numFmt w:val="decimal"/>
      <w:start w:val="1"/>
    </w:lvl>
  </w:abstractNum>
  <w:abstractNum w:abstractNumId="16">
    <w:nsid w:val="E0D31FF"/>
    <w:multiLevelType w:val="hybridMultilevel"/>
    <w:lvl w:ilvl="0">
      <w:lvlJc w:val="left"/>
      <w:lvlText w:val="%1"/>
      <w:numFmt w:val="upperLetter"/>
      <w:start w:val="1"/>
    </w:lvl>
    <w:lvl w:ilvl="1">
      <w:lvlJc w:val="left"/>
      <w:lvlText w:val="(%2)"/>
      <w:numFmt w:val="decimal"/>
      <w:start w:val="1"/>
    </w:lvl>
  </w:abstractNum>
  <w:abstractNum w:abstractNumId="17">
    <w:nsid w:val="2FD0AD81"/>
    <w:multiLevelType w:val="hybridMultilevel"/>
    <w:lvl w:ilvl="0">
      <w:lvlJc w:val="left"/>
      <w:lvlText w:val="%1."/>
      <w:numFmt w:val="upperLetter"/>
      <w:start w:val="3"/>
    </w:lvl>
    <w:lvl w:ilvl="1">
      <w:lvlJc w:val="left"/>
      <w:lvlText w:val="%2"/>
      <w:numFmt w:val="decimal"/>
      <w:start w:val="1"/>
    </w:lvl>
  </w:abstractNum>
  <w:abstractNum w:abstractNumId="18">
    <w:nsid w:val="1978EBEB"/>
    <w:multiLevelType w:val="hybridMultilevel"/>
    <w:lvl w:ilvl="0">
      <w:lvlJc w:val="left"/>
      <w:lvlText w:val="•"/>
      <w:numFmt w:val="bullet"/>
      <w:start w:val="1"/>
    </w:lvl>
  </w:abstractNum>
  <w:abstractNum w:abstractNumId="19">
    <w:nsid w:val="52C12C61"/>
    <w:multiLevelType w:val="hybridMultilevel"/>
    <w:lvl w:ilvl="0">
      <w:lvlJc w:val="left"/>
      <w:lvlText w:val="•"/>
      <w:numFmt w:val="bullet"/>
      <w:start w:val="1"/>
    </w:lvl>
  </w:abstractNum>
  <w:abstractNum w:abstractNumId="20">
    <w:nsid w:val="4BDD53FD"/>
    <w:multiLevelType w:val="hybridMultilevel"/>
    <w:lvl w:ilvl="0">
      <w:lvlJc w:val="left"/>
      <w:lvlText w:val="•"/>
      <w:numFmt w:val="bullet"/>
      <w:start w:val="1"/>
    </w:lvl>
  </w:abstractNum>
  <w:abstractNum w:abstractNumId="21">
    <w:nsid w:val="569951FE"/>
    <w:multiLevelType w:val="hybridMultilevel"/>
    <w:lvl w:ilvl="0">
      <w:lvlJc w:val="left"/>
      <w:lvlText w:val="•"/>
      <w:numFmt w:val="bullet"/>
      <w:start w:val="1"/>
    </w:lvl>
  </w:abstractNum>
  <w:abstractNum w:abstractNumId="22">
    <w:nsid w:val="4C54E2C3"/>
    <w:multiLevelType w:val="hybridMultilevel"/>
    <w:lvl w:ilvl="0">
      <w:lvlJc w:val="left"/>
      <w:lvlText w:val="•"/>
      <w:numFmt w:val="bullet"/>
      <w:start w:val="1"/>
    </w:lvl>
  </w:abstractNum>
  <w:abstractNum w:abstractNumId="23">
    <w:nsid w:val="788BD9B"/>
    <w:multiLevelType w:val="hybridMultilevel"/>
    <w:lvl w:ilvl="0">
      <w:lvlJc w:val="left"/>
      <w:lvlText w:val="•"/>
      <w:numFmt w:val="bullet"/>
      <w:start w:val="1"/>
    </w:lvl>
  </w:abstractNum>
  <w:abstractNum w:abstractNumId="24">
    <w:nsid w:val="47CAA567"/>
    <w:multiLevelType w:val="hybridMultilevel"/>
    <w:lvl w:ilvl="0">
      <w:lvlJc w:val="left"/>
      <w:lvlText w:val="•"/>
      <w:numFmt w:val="bullet"/>
      <w:start w:val="1"/>
    </w:lvl>
  </w:abstractNum>
  <w:abstractNum w:abstractNumId="25">
    <w:nsid w:val="48249DBF"/>
    <w:multiLevelType w:val="hybridMultilevel"/>
    <w:lvl w:ilvl="0">
      <w:lvlJc w:val="left"/>
      <w:lvlText w:val="•"/>
      <w:numFmt w:val="bullet"/>
      <w:start w:val="1"/>
    </w:lvl>
  </w:abstractNum>
  <w:abstractNum w:abstractNumId="26">
    <w:nsid w:val="1F0E5D0D"/>
    <w:multiLevelType w:val="hybridMultilevel"/>
    <w:lvl w:ilvl="0">
      <w:lvlJc w:val="left"/>
      <w:lvlText w:val="•"/>
      <w:numFmt w:val="bullet"/>
      <w:start w:val="1"/>
    </w:lvl>
  </w:abstractNum>
  <w:abstractNum w:abstractNumId="27">
    <w:nsid w:val="26BAAE9"/>
    <w:multiLevelType w:val="hybridMultilevel"/>
    <w:lvl w:ilvl="0">
      <w:lvlJc w:val="left"/>
      <w:lvlText w:val="•"/>
      <w:numFmt w:val="bullet"/>
      <w:start w:val="1"/>
    </w:lvl>
  </w:abstractNum>
  <w:abstractNum w:abstractNumId="28">
    <w:nsid w:val="2C02FE8C"/>
    <w:multiLevelType w:val="hybridMultilevel"/>
    <w:lvl w:ilvl="0">
      <w:lvlJc w:val="left"/>
      <w:lvlText w:val="•"/>
      <w:numFmt w:val="bullet"/>
      <w:start w:val="1"/>
    </w:lvl>
  </w:abstractNum>
  <w:abstractNum w:abstractNumId="29">
    <w:nsid w:val="129517E"/>
    <w:multiLevelType w:val="hybridMultilevel"/>
    <w:lvl w:ilvl="0">
      <w:lvlJc w:val="left"/>
      <w:lvlText w:val="•"/>
      <w:numFmt w:val="bullet"/>
      <w:start w:val="1"/>
    </w:lvl>
  </w:abstractNum>
  <w:abstractNum w:abstractNumId="30">
    <w:nsid w:val="763B8C4E"/>
    <w:multiLevelType w:val="hybridMultilevel"/>
    <w:lvl w:ilvl="0">
      <w:lvlJc w:val="left"/>
      <w:lvlText w:val="•"/>
      <w:numFmt w:val="bullet"/>
      <w:start w:val="1"/>
    </w:lvl>
  </w:abstractNum>
  <w:abstractNum w:abstractNumId="31">
    <w:nsid w:val="4CFB8D32"/>
    <w:multiLevelType w:val="hybridMultilevel"/>
    <w:lvl w:ilvl="0">
      <w:lvlJc w:val="left"/>
      <w:lvlText w:val="•"/>
      <w:numFmt w:val="bullet"/>
      <w:start w:val="1"/>
    </w:lvl>
  </w:abstractNum>
  <w:abstractNum w:abstractNumId="32">
    <w:nsid w:val="62A5D5BD"/>
    <w:multiLevelType w:val="hybridMultilevel"/>
    <w:lvl w:ilvl="0">
      <w:lvlJc w:val="left"/>
      <w:lvlText w:val="•"/>
      <w:numFmt w:val="bullet"/>
      <w:start w:val="1"/>
    </w:lvl>
  </w:abstractNum>
  <w:abstractNum w:abstractNumId="33">
    <w:nsid w:val="718FABF9"/>
    <w:multiLevelType w:val="hybridMultilevel"/>
    <w:lvl w:ilvl="0">
      <w:lvlJc w:val="left"/>
      <w:lvlText w:val="•"/>
      <w:numFmt w:val="bullet"/>
      <w:start w:val="1"/>
    </w:lvl>
  </w:abstractNum>
  <w:abstractNum w:abstractNumId="34">
    <w:nsid w:val="7775797C"/>
    <w:multiLevelType w:val="hybridMultilevel"/>
    <w:lvl w:ilvl="0">
      <w:lvlJc w:val="left"/>
      <w:lvlText w:val="•"/>
      <w:numFmt w:val="bullet"/>
      <w:start w:val="1"/>
    </w:lvl>
  </w:abstractNum>
  <w:abstractNum w:abstractNumId="35">
    <w:nsid w:val="1626FB8C"/>
    <w:multiLevelType w:val="hybridMultilevel"/>
    <w:lvl w:ilvl="0">
      <w:lvlJc w:val="left"/>
      <w:lvlText w:val="•"/>
      <w:numFmt w:val="bullet"/>
      <w:start w:val="1"/>
    </w:lvl>
  </w:abstractNum>
  <w:abstractNum w:abstractNumId="36">
    <w:nsid w:val="3957756A"/>
    <w:multiLevelType w:val="hybridMultilevel"/>
    <w:lvl w:ilvl="0">
      <w:lvlJc w:val="left"/>
      <w:lvlText w:val="•"/>
      <w:numFmt w:val="bullet"/>
      <w:start w:val="1"/>
    </w:lvl>
  </w:abstractNum>
  <w:abstractNum w:abstractNumId="37">
    <w:nsid w:val="3E6DA1C7"/>
    <w:multiLevelType w:val="hybridMultilevel"/>
    <w:lvl w:ilvl="0">
      <w:lvlJc w:val="left"/>
      <w:lvlText w:val="•"/>
      <w:numFmt w:val="bullet"/>
      <w:start w:val="1"/>
    </w:lvl>
  </w:abstractNum>
  <w:abstractNum w:abstractNumId="38">
    <w:nsid w:val="65CA235B"/>
    <w:multiLevelType w:val="hybridMultilevel"/>
    <w:lvl w:ilvl="0">
      <w:lvlJc w:val="left"/>
      <w:lvlText w:val="•"/>
      <w:numFmt w:val="bullet"/>
      <w:start w:val="1"/>
    </w:lvl>
  </w:abstractNum>
  <w:abstractNum w:abstractNumId="39">
    <w:nsid w:val="51CB0DA4"/>
    <w:multiLevelType w:val="hybridMultilevel"/>
    <w:lvl w:ilvl="0">
      <w:lvlJc w:val="left"/>
      <w:lvlText w:val="•"/>
      <w:numFmt w:val="bullet"/>
      <w:start w:val="1"/>
    </w:lvl>
  </w:abstractNum>
  <w:abstractNum w:abstractNumId="40">
    <w:nsid w:val="7B9B743C"/>
    <w:multiLevelType w:val="hybridMultilevel"/>
    <w:lvl w:ilvl="0">
      <w:lvlJc w:val="left"/>
      <w:lvlText w:val="•"/>
      <w:numFmt w:val="bullet"/>
      <w:start w:val="1"/>
    </w:lvl>
  </w:abstractNum>
  <w:abstractNum w:abstractNumId="41">
    <w:nsid w:val="13E21002"/>
    <w:multiLevelType w:val="hybridMultilevel"/>
    <w:lvl w:ilvl="0">
      <w:lvlJc w:val="left"/>
      <w:lvlText w:val="•"/>
      <w:numFmt w:val="bullet"/>
      <w:start w:val="1"/>
    </w:lvl>
  </w:abstractNum>
  <w:abstractNum w:abstractNumId="42">
    <w:nsid w:val="257D63F4"/>
    <w:multiLevelType w:val="hybridMultilevel"/>
    <w:lvl w:ilvl="0">
      <w:lvlJc w:val="left"/>
      <w:lvlText w:val="•"/>
      <w:numFmt w:val="bullet"/>
      <w:start w:val="1"/>
    </w:lvl>
  </w:abstractNum>
  <w:abstractNum w:abstractNumId="43">
    <w:nsid w:val="70EC11B2"/>
    <w:multiLevelType w:val="hybridMultilevel"/>
    <w:lvl w:ilvl="0">
      <w:lvlJc w:val="left"/>
      <w:lvlText w:val="•"/>
      <w:numFmt w:val="bullet"/>
      <w:start w:val="1"/>
    </w:lvl>
  </w:abstractNum>
  <w:abstractNum w:abstractNumId="44">
    <w:nsid w:val="2EDA00ED"/>
    <w:multiLevelType w:val="hybridMultilevel"/>
    <w:lvl w:ilvl="0">
      <w:lvlJc w:val="left"/>
      <w:lvlText w:val="•"/>
      <w:numFmt w:val="bullet"/>
      <w:start w:val="1"/>
    </w:lvl>
  </w:abstractNum>
  <w:abstractNum w:abstractNumId="45">
    <w:nsid w:val="73209072"/>
    <w:multiLevelType w:val="hybridMultilevel"/>
    <w:lvl w:ilvl="0">
      <w:lvlJc w:val="left"/>
      <w:lvlText w:val="•"/>
      <w:numFmt w:val="bullet"/>
      <w:start w:val="1"/>
    </w:lvl>
  </w:abstractNum>
  <w:abstractNum w:abstractNumId="46">
    <w:nsid w:val="5FB29816"/>
    <w:multiLevelType w:val="hybridMultilevel"/>
    <w:lvl w:ilvl="0">
      <w:lvlJc w:val="left"/>
      <w:lvlText w:val="•"/>
      <w:numFmt w:val="bullet"/>
      <w:start w:val="1"/>
    </w:lvl>
  </w:abstractNum>
  <w:abstractNum w:abstractNumId="47">
    <w:nsid w:val="3CE732EC"/>
    <w:multiLevelType w:val="hybridMultilevel"/>
    <w:lvl w:ilvl="0">
      <w:lvlJc w:val="left"/>
      <w:lvlText w:val="•"/>
      <w:numFmt w:val="bullet"/>
      <w:start w:val="1"/>
    </w:lvl>
  </w:abstractNum>
  <w:abstractNum w:abstractNumId="48">
    <w:nsid w:val="22F13DF3"/>
    <w:multiLevelType w:val="hybridMultilevel"/>
    <w:lvl w:ilvl="0">
      <w:lvlJc w:val="left"/>
      <w:lvlText w:val="•"/>
      <w:numFmt w:val="bullet"/>
      <w:start w:val="1"/>
    </w:lvl>
    <w:lvl w:ilvl="1">
      <w:lvlJc w:val="left"/>
      <w:lvlText w:val="•"/>
      <w:numFmt w:val="bullet"/>
      <w:start w:val="1"/>
    </w:lvl>
  </w:abstractNum>
  <w:abstractNum w:abstractNumId="49">
    <w:nsid w:val="792B8401"/>
    <w:multiLevelType w:val="hybridMultilevel"/>
    <w:lvl w:ilvl="0">
      <w:lvlJc w:val="left"/>
      <w:lvlText w:val="•"/>
      <w:numFmt w:val="bullet"/>
      <w:start w:val="1"/>
    </w:lvl>
  </w:abstractNum>
  <w:abstractNum w:abstractNumId="50">
    <w:nsid w:val="FA85F4D"/>
    <w:multiLevelType w:val="hybridMultilevel"/>
    <w:lvl w:ilvl="0">
      <w:lvlJc w:val="left"/>
      <w:lvlText w:val="•"/>
      <w:numFmt w:val="bullet"/>
      <w:start w:val="1"/>
    </w:lvl>
  </w:abstractNum>
  <w:abstractNum w:abstractNumId="51">
    <w:nsid w:val="6ECE91F0"/>
    <w:multiLevelType w:val="hybridMultilevel"/>
    <w:lvl w:ilvl="0">
      <w:lvlJc w:val="left"/>
      <w:lvlText w:val="(%1)"/>
      <w:numFmt w:val="decimal"/>
      <w:start w:val="1"/>
    </w:lvl>
  </w:abstractNum>
  <w:abstractNum w:abstractNumId="52">
    <w:nsid w:val="4FC4D600"/>
    <w:multiLevelType w:val="hybridMultilevel"/>
    <w:lvl w:ilvl="0">
      <w:lvlJc w:val="left"/>
      <w:lvlText w:val="(%1)"/>
      <w:numFmt w:val="decimal"/>
      <w:start w:val="2"/>
    </w:lvl>
  </w:abstractNum>
  <w:abstractNum w:abstractNumId="53">
    <w:nsid w:val="5BFD4210"/>
    <w:multiLevelType w:val="hybridMultilevel"/>
    <w:lvl w:ilvl="0">
      <w:lvlJc w:val="left"/>
      <w:lvlText w:val="•"/>
      <w:numFmt w:val="bullet"/>
      <w:start w:val="1"/>
    </w:lvl>
  </w:abstractNum>
  <w:abstractNum w:abstractNumId="54">
    <w:nsid w:val="76574F8B"/>
    <w:multiLevelType w:val="hybridMultilevel"/>
    <w:lvl w:ilvl="0">
      <w:lvlJc w:val="left"/>
      <w:lvlText w:val="(%1)"/>
      <w:numFmt w:val="decimal"/>
      <w:start w:val="1"/>
    </w:lvl>
  </w:abstractNum>
  <w:abstractNum w:abstractNumId="55">
    <w:nsid w:val="178F7B67"/>
    <w:multiLevelType w:val="hybridMultilevel"/>
    <w:lvl w:ilvl="0">
      <w:lvlJc w:val="left"/>
      <w:lvlText w:val="(%1)"/>
      <w:numFmt w:val="decimal"/>
      <w:start w:val="2"/>
    </w:lvl>
  </w:abstractNum>
  <w:abstractNum w:abstractNumId="56">
    <w:nsid w:val="2421DFCF"/>
    <w:multiLevelType w:val="hybridMultilevel"/>
    <w:lvl w:ilvl="0">
      <w:lvlJc w:val="left"/>
      <w:lvlText w:val="•"/>
      <w:numFmt w:val="bullet"/>
      <w:start w:val="1"/>
    </w:lvl>
  </w:abstractNum>
  <w:abstractNum w:abstractNumId="57">
    <w:nsid w:val="1565AC99"/>
    <w:multiLevelType w:val="hybridMultilevel"/>
    <w:lvl w:ilvl="0">
      <w:lvlJc w:val="left"/>
      <w:lvlText w:val="(%1)"/>
      <w:numFmt w:val="lowerRoman"/>
      <w:start w:val="1"/>
    </w:lvl>
  </w:abstractNum>
  <w:abstractNum w:abstractNumId="58">
    <w:nsid w:val="19FB2650"/>
    <w:multiLevelType w:val="hybridMultilevel"/>
    <w:lvl w:ilvl="0">
      <w:lvlJc w:val="left"/>
      <w:lvlText w:val="(%1)"/>
      <w:numFmt w:val="lowerRoman"/>
      <w:start w:val="1"/>
    </w:lvl>
  </w:abstractNum>
  <w:abstractNum w:abstractNumId="59">
    <w:nsid w:val="5024DE5B"/>
    <w:multiLevelType w:val="hybridMultilevel"/>
    <w:lvl w:ilvl="0">
      <w:lvlJc w:val="left"/>
      <w:lvlText w:val="•"/>
      <w:numFmt w:val="bullet"/>
      <w:start w:val="1"/>
    </w:lvl>
  </w:abstractNum>
  <w:abstractNum w:abstractNumId="60">
    <w:nsid w:val="168EFE17"/>
    <w:multiLevelType w:val="hybridMultilevel"/>
    <w:lvl w:ilvl="0">
      <w:lvlJc w:val="left"/>
      <w:lvlText w:val="•"/>
      <w:numFmt w:val="bullet"/>
      <w:start w:val="1"/>
    </w:lvl>
  </w:abstractNum>
  <w:abstractNum w:abstractNumId="61">
    <w:nsid w:val="1036B29F"/>
    <w:multiLevelType w:val="hybridMultilevel"/>
    <w:lvl w:ilvl="0">
      <w:lvlJc w:val="left"/>
      <w:lvlText w:val="•"/>
      <w:numFmt w:val="bullet"/>
      <w:start w:val="1"/>
    </w:lvl>
  </w:abstractNum>
  <w:abstractNum w:abstractNumId="62">
    <w:nsid w:val="1D206B8E"/>
    <w:multiLevelType w:val="hybridMultilevel"/>
    <w:lvl w:ilvl="0">
      <w:lvlJc w:val="left"/>
      <w:lvlText w:val="•"/>
      <w:numFmt w:val="bullet"/>
      <w:start w:val="1"/>
    </w:lvl>
  </w:abstractNum>
  <w:abstractNum w:abstractNumId="63">
    <w:nsid w:val="7934D3D4"/>
    <w:multiLevelType w:val="hybridMultilevel"/>
    <w:lvl w:ilvl="0">
      <w:lvlJc w:val="left"/>
      <w:lvlText w:val="(%1)"/>
      <w:numFmt w:val="decimal"/>
      <w:start w:val="1"/>
    </w:lvl>
  </w:abstractNum>
  <w:abstractNum w:abstractNumId="64">
    <w:nsid w:val="1C65E98"/>
    <w:multiLevelType w:val="hybridMultilevel"/>
    <w:lvl w:ilvl="0">
      <w:lvlJc w:val="left"/>
      <w:lvlText w:val="(%1)"/>
      <w:numFmt w:val="lowerLetter"/>
      <w:start w:val="3"/>
    </w:lvl>
  </w:abstractNum>
  <w:abstractNum w:abstractNumId="65">
    <w:nsid w:val="1495E50A"/>
    <w:multiLevelType w:val="hybridMultilevel"/>
    <w:lvl w:ilvl="0">
      <w:lvlJc w:val="left"/>
      <w:lvlText w:val="(%1)"/>
      <w:numFmt w:val="decimal"/>
      <w:start w:val="1"/>
    </w:lvl>
  </w:abstractNum>
  <w:abstractNum w:abstractNumId="66">
    <w:nsid w:val="F5BCF61"/>
    <w:multiLevelType w:val="hybridMultilevel"/>
    <w:lvl w:ilvl="0">
      <w:lvlJc w:val="left"/>
      <w:lvlText w:val="(%1)"/>
      <w:numFmt w:val="decimal"/>
      <w:start w:val="1"/>
    </w:lvl>
  </w:abstractNum>
  <w:abstractNum w:abstractNumId="67">
    <w:nsid w:val="3B1DD403"/>
    <w:multiLevelType w:val="hybridMultilevel"/>
    <w:lvl w:ilvl="0">
      <w:lvlJc w:val="left"/>
      <w:lvlText w:val="(%1)"/>
      <w:numFmt w:val="decimal"/>
      <w:start w:val="1"/>
    </w:lvl>
  </w:abstractNum>
  <w:abstractNum w:abstractNumId="68">
    <w:nsid w:val="530386D1"/>
    <w:multiLevelType w:val="hybridMultilevel"/>
    <w:lvl w:ilvl="0">
      <w:lvlJc w:val="left"/>
      <w:lvlText w:val="•"/>
      <w:numFmt w:val="bullet"/>
      <w:start w:val="1"/>
    </w:lvl>
  </w:abstractNum>
  <w:abstractNum w:abstractNumId="69">
    <w:nsid w:val="7525F2BC"/>
    <w:multiLevelType w:val="hybridMultilevel"/>
    <w:lvl w:ilvl="0">
      <w:lvlJc w:val="left"/>
      <w:lvlText w:val="•"/>
      <w:numFmt w:val="bullet"/>
      <w:start w:val="1"/>
    </w:lvl>
  </w:abstractNum>
  <w:abstractNum w:abstractNumId="70">
    <w:nsid w:val="CE8E1A7"/>
    <w:multiLevelType w:val="hybridMultilevel"/>
    <w:lvl w:ilvl="0">
      <w:lvlJc w:val="left"/>
      <w:lvlText w:val="•"/>
      <w:numFmt w:val="bullet"/>
      <w:start w:val="1"/>
    </w:lvl>
  </w:abstractNum>
  <w:abstractNum w:abstractNumId="71">
    <w:nsid w:val="4E9EFB0D"/>
    <w:multiLevelType w:val="hybridMultilevel"/>
    <w:lvl w:ilvl="0">
      <w:lvlJc w:val="left"/>
      <w:lvlText w:val="•"/>
      <w:numFmt w:val="bullet"/>
      <w:start w:val="1"/>
    </w:lvl>
  </w:abstractNum>
  <w:abstractNum w:abstractNumId="72">
    <w:nsid w:val="90802BE"/>
    <w:multiLevelType w:val="hybridMultilevel"/>
    <w:lvl w:ilvl="0">
      <w:lvlJc w:val="left"/>
      <w:lvlText w:val="•"/>
      <w:numFmt w:val="bullet"/>
      <w:start w:val="1"/>
    </w:lvl>
  </w:abstractNum>
  <w:abstractNum w:abstractNumId="73">
    <w:nsid w:val="3266459B"/>
    <w:multiLevelType w:val="hybridMultilevel"/>
    <w:lvl w:ilvl="0">
      <w:lvlJc w:val="left"/>
      <w:lvlText w:val="•"/>
      <w:numFmt w:val="bullet"/>
      <w:start w:val="1"/>
    </w:lvl>
  </w:abstractNum>
  <w:abstractNum w:abstractNumId="74">
    <w:nsid w:val="3F8B0CBF"/>
    <w:multiLevelType w:val="hybridMultilevel"/>
    <w:lvl w:ilvl="0">
      <w:lvlJc w:val="left"/>
      <w:lvlText w:val="•"/>
      <w:numFmt w:val="bullet"/>
      <w:start w:val="1"/>
    </w:lvl>
  </w:abstractNum>
  <w:abstractNum w:abstractNumId="75">
    <w:nsid w:val="37E203AB"/>
    <w:multiLevelType w:val="hybridMultilevel"/>
    <w:lvl w:ilvl="0">
      <w:lvlJc w:val="left"/>
      <w:lvlText w:val="•"/>
      <w:numFmt w:val="bullet"/>
      <w:start w:val="1"/>
    </w:lvl>
  </w:abstractNum>
  <w:abstractNum w:abstractNumId="76">
    <w:nsid w:val="2586D60E"/>
    <w:multiLevelType w:val="hybridMultilevel"/>
    <w:lvl w:ilvl="0">
      <w:lvlJc w:val="left"/>
      <w:lvlText w:val="•"/>
      <w:numFmt w:val="bullet"/>
      <w:start w:val="1"/>
    </w:lvl>
  </w:abstractNum>
  <w:abstractNum w:abstractNumId="77">
    <w:nsid w:val="1F3DA4D5"/>
    <w:multiLevelType w:val="hybridMultilevel"/>
    <w:lvl w:ilvl="0">
      <w:lvlJc w:val="left"/>
      <w:lvlText w:val="•"/>
      <w:numFmt w:val="bullet"/>
      <w:start w:val="1"/>
    </w:lvl>
  </w:abstractNum>
  <w:abstractNum w:abstractNumId="78">
    <w:nsid w:val="74C93698"/>
    <w:multiLevelType w:val="hybridMultilevel"/>
    <w:lvl w:ilvl="0">
      <w:lvlJc w:val="left"/>
      <w:lvlText w:val="•"/>
      <w:numFmt w:val="bullet"/>
      <w:start w:val="1"/>
    </w:lvl>
  </w:abstractNum>
  <w:abstractNum w:abstractNumId="79">
    <w:nsid w:val="48781401"/>
    <w:multiLevelType w:val="hybridMultilevel"/>
    <w:lvl w:ilvl="0">
      <w:lvlJc w:val="left"/>
      <w:lvlText w:val="•"/>
      <w:numFmt w:val="bullet"/>
      <w:start w:val="1"/>
    </w:lvl>
  </w:abstractNum>
  <w:abstractNum w:abstractNumId="80">
    <w:nsid w:val="186928D6"/>
    <w:multiLevelType w:val="hybridMultilevel"/>
    <w:lvl w:ilvl="0">
      <w:lvlJc w:val="left"/>
      <w:lvlText w:val="•"/>
      <w:numFmt w:val="bullet"/>
      <w:start w:val="1"/>
    </w:lvl>
  </w:abstractNum>
  <w:abstractNum w:abstractNumId="81">
    <w:nsid w:val="47195E5"/>
    <w:multiLevelType w:val="hybridMultilevel"/>
    <w:lvl w:ilvl="0">
      <w:lvlJc w:val="left"/>
      <w:lvlText w:val="(%1)"/>
      <w:numFmt w:val="decimal"/>
      <w:start w:val="1"/>
    </w:lvl>
  </w:abstractNum>
  <w:abstractNum w:abstractNumId="82">
    <w:nsid w:val="3746A5F2"/>
    <w:multiLevelType w:val="hybridMultilevel"/>
    <w:lvl w:ilvl="0">
      <w:lvlJc w:val="left"/>
      <w:lvlText w:val="(%1)"/>
      <w:numFmt w:val="decimal"/>
      <w:start w:val="1"/>
    </w:lvl>
  </w:abstractNum>
  <w:abstractNum w:abstractNumId="83">
    <w:nsid w:val="682DFED6"/>
    <w:multiLevelType w:val="hybridMultilevel"/>
    <w:lvl w:ilvl="0">
      <w:lvlJc w:val="left"/>
      <w:lvlText w:val="(%1)"/>
      <w:numFmt w:val="decimal"/>
      <w:start w:val="5"/>
    </w:lvl>
  </w:abstractNum>
  <w:abstractNum w:abstractNumId="84">
    <w:nsid w:val="606ED7F6"/>
    <w:multiLevelType w:val="hybridMultilevel"/>
    <w:lvl w:ilvl="0">
      <w:lvlJc w:val="left"/>
      <w:lvlText w:val="(%1)"/>
      <w:numFmt w:val="decimal"/>
      <w:start w:val="1"/>
    </w:lvl>
  </w:abstractNum>
  <w:abstractNum w:abstractNumId="85">
    <w:nsid w:val="2D9DF57D"/>
    <w:multiLevelType w:val="hybridMultilevel"/>
    <w:lvl w:ilvl="0">
      <w:lvlJc w:val="left"/>
      <w:lvlText w:val="(%1)"/>
      <w:numFmt w:val="decimal"/>
      <w:start w:val="1"/>
    </w:lvl>
  </w:abstractNum>
  <w:abstractNum w:abstractNumId="86">
    <w:nsid w:val="7FBD7A3E"/>
    <w:multiLevelType w:val="hybridMultilevel"/>
    <w:lvl w:ilvl="0">
      <w:lvlJc w:val="left"/>
      <w:lvlText w:val="(%1)"/>
      <w:numFmt w:val="decimal"/>
      <w:start w:val="1"/>
    </w:lvl>
  </w:abstractNum>
  <w:abstractNum w:abstractNumId="87">
    <w:nsid w:val="490B7C5"/>
    <w:multiLevelType w:val="hybridMultilevel"/>
    <w:lvl w:ilvl="0">
      <w:lvlJc w:val="left"/>
      <w:lvlText w:val="%1."/>
      <w:numFmt w:val="upperLetter"/>
      <w:start w:val="2"/>
    </w:lvl>
  </w:abstractNum>
  <w:abstractNum w:abstractNumId="88">
    <w:nsid w:val="4303A216"/>
    <w:multiLevelType w:val="hybridMultilevel"/>
    <w:lvl w:ilvl="0">
      <w:lvlJc w:val="left"/>
      <w:lvlText w:val="(%1)"/>
      <w:numFmt w:val="lowerLetter"/>
      <w:start w:val="25"/>
    </w:lvl>
  </w:abstractNum>
  <w:abstractNum w:abstractNumId="89">
    <w:nsid w:val="19B8A08E"/>
    <w:multiLevelType w:val="hybridMultilevel"/>
    <w:lvl w:ilvl="0">
      <w:lvlJc w:val="left"/>
      <w:lvlText w:val="•"/>
      <w:numFmt w:val="bullet"/>
      <w:start w:val="1"/>
    </w:lvl>
  </w:abstractNum>
  <w:abstractNum w:abstractNumId="90">
    <w:nsid w:val="54B59621"/>
    <w:multiLevelType w:val="hybridMultilevel"/>
    <w:lvl w:ilvl="0">
      <w:lvlJc w:val="left"/>
      <w:lvlText w:val="(%1)"/>
      <w:numFmt w:val="decimal"/>
      <w:start w:val="1"/>
    </w:lvl>
  </w:abstractNum>
  <w:abstractNum w:abstractNumId="91">
    <w:nsid w:val="5992A02E"/>
    <w:multiLevelType w:val="hybridMultilevel"/>
    <w:lvl w:ilvl="0">
      <w:lvlJc w:val="left"/>
      <w:lvlText w:val="(%1)"/>
      <w:numFmt w:val="decimal"/>
      <w:start w:val="3"/>
    </w:lvl>
  </w:abstractNum>
  <w:abstractNum w:abstractNumId="92">
    <w:nsid w:val="29EF532D"/>
    <w:multiLevelType w:val="hybridMultilevel"/>
    <w:lvl w:ilvl="0">
      <w:lvlJc w:val="left"/>
      <w:lvlText w:val="*"/>
      <w:numFmt w:val="bullet"/>
      <w:start w:val="1"/>
    </w:lvl>
  </w:abstractNum>
  <w:abstractNum w:abstractNumId="93">
    <w:nsid w:val="71D601AF"/>
    <w:multiLevelType w:val="hybridMultilevel"/>
    <w:lvl w:ilvl="0">
      <w:lvlJc w:val="left"/>
      <w:lvlText w:val="(%1)"/>
      <w:numFmt w:val="decimal"/>
      <w:start w:val="1"/>
    </w:lvl>
    <w:lvl w:ilvl="1">
      <w:lvlJc w:val="left"/>
      <w:lvlText w:val="(%2)"/>
      <w:numFmt w:val="lowerLetter"/>
      <w:start w:val="1"/>
    </w:lvl>
  </w:abstractNum>
  <w:abstractNum w:abstractNumId="94">
    <w:nsid w:val="52C77402"/>
    <w:multiLevelType w:val="hybridMultilevel"/>
    <w:lvl w:ilvl="0">
      <w:lvlJc w:val="left"/>
      <w:lvlText w:val="(%1)"/>
      <w:numFmt w:val="decimal"/>
      <w:start w:val="5"/>
    </w:lvl>
  </w:abstractNum>
  <w:abstractNum w:abstractNumId="95">
    <w:nsid w:val="2BB5B1C6"/>
    <w:multiLevelType w:val="hybridMultilevel"/>
    <w:lvl w:ilvl="0">
      <w:lvlJc w:val="left"/>
      <w:lvlText w:val="(%1)"/>
      <w:numFmt w:val="decimal"/>
      <w:start w:val="1"/>
    </w:lvl>
    <w:lvl w:ilvl="1">
      <w:lvlJc w:val="left"/>
      <w:lvlText w:val="(%2)"/>
      <w:numFmt w:val="lowerLetter"/>
      <w:start w:val="1"/>
    </w:lvl>
  </w:abstractNum>
  <w:abstractNum w:abstractNumId="96">
    <w:nsid w:val="66BE6B9"/>
    <w:multiLevelType w:val="hybridMultilevel"/>
    <w:lvl w:ilvl="0">
      <w:lvlJc w:val="left"/>
      <w:lvlText w:val="(%1)"/>
      <w:numFmt w:val="decimal"/>
      <w:start w:val="4"/>
    </w:lvl>
  </w:abstractNum>
  <w:abstractNum w:abstractNumId="97">
    <w:nsid w:val="62234363"/>
    <w:multiLevelType w:val="hybridMultilevel"/>
    <w:lvl w:ilvl="0">
      <w:lvlJc w:val="left"/>
      <w:lvlText w:val="•"/>
      <w:numFmt w:val="bullet"/>
      <w:start w:val="1"/>
    </w:lvl>
  </w:abstractNum>
  <w:abstractNum w:abstractNumId="98">
    <w:nsid w:val="66D385C9"/>
    <w:multiLevelType w:val="hybridMultilevel"/>
    <w:lvl w:ilvl="0">
      <w:lvlJc w:val="left"/>
      <w:lvlText w:val="•"/>
      <w:numFmt w:val="bullet"/>
      <w:start w:val="1"/>
    </w:lvl>
  </w:abstractNum>
  <w:abstractNum w:abstractNumId="99">
    <w:nsid w:val="596F6D8A"/>
    <w:multiLevelType w:val="hybridMultilevel"/>
    <w:lvl w:ilvl="0">
      <w:lvlJc w:val="left"/>
      <w:lvlText w:val="•"/>
      <w:numFmt w:val="bullet"/>
      <w:start w:val="1"/>
    </w:lvl>
  </w:abstractNum>
  <w:abstractNum w:abstractNumId="100">
    <w:nsid w:val="5749361F"/>
    <w:multiLevelType w:val="hybridMultilevel"/>
    <w:lvl w:ilvl="0">
      <w:lvlJc w:val="left"/>
      <w:lvlText w:val="•"/>
      <w:numFmt w:val="bullet"/>
      <w:start w:val="1"/>
    </w:lvl>
  </w:abstractNum>
  <w:abstractNum w:abstractNumId="101">
    <w:nsid w:val="73BC6770"/>
    <w:multiLevelType w:val="hybridMultilevel"/>
    <w:lvl w:ilvl="0">
      <w:lvlJc w:val="left"/>
      <w:lvlText w:val="•"/>
      <w:numFmt w:val="bullet"/>
      <w:start w:val="1"/>
    </w:lvl>
  </w:abstractNum>
  <w:abstractNum w:abstractNumId="102">
    <w:nsid w:val="280E6897"/>
    <w:multiLevelType w:val="hybridMultilevel"/>
    <w:lvl w:ilvl="0">
      <w:lvlJc w:val="left"/>
      <w:lvlText w:val="•"/>
      <w:numFmt w:val="bullet"/>
      <w:start w:val="1"/>
    </w:lvl>
  </w:abstractNum>
  <w:abstractNum w:abstractNumId="103">
    <w:nsid w:val="605138DE"/>
    <w:multiLevelType w:val="hybridMultilevel"/>
    <w:lvl w:ilvl="0">
      <w:lvlJc w:val="left"/>
      <w:lvlText w:val="•"/>
      <w:numFmt w:val="bullet"/>
      <w:start w:val="1"/>
    </w:lvl>
  </w:abstractNum>
  <w:abstractNum w:abstractNumId="104">
    <w:nsid w:val="2622AD0C"/>
    <w:multiLevelType w:val="hybridMultilevel"/>
    <w:lvl w:ilvl="0">
      <w:lvlJc w:val="left"/>
      <w:lvlText w:val="•"/>
      <w:numFmt w:val="bullet"/>
      <w:start w:val="1"/>
    </w:lvl>
  </w:abstractNum>
  <w:abstractNum w:abstractNumId="105">
    <w:nsid w:val="67997556"/>
    <w:multiLevelType w:val="hybridMultilevel"/>
    <w:lvl w:ilvl="0">
      <w:lvlJc w:val="left"/>
      <w:lvlText w:val="•"/>
      <w:numFmt w:val="bullet"/>
      <w:start w:val="1"/>
    </w:lvl>
  </w:abstractNum>
  <w:abstractNum w:abstractNumId="106">
    <w:nsid w:val="18333C89"/>
    <w:multiLevelType w:val="hybridMultilevel"/>
    <w:lvl w:ilvl="0">
      <w:lvlJc w:val="left"/>
      <w:lvlText w:val="(%1)"/>
      <w:numFmt w:val="lowerLetter"/>
      <w:start w:val="25"/>
    </w:lvl>
  </w:abstractNum>
  <w:abstractNum w:abstractNumId="107">
    <w:nsid w:val="4BA9831A"/>
    <w:multiLevelType w:val="hybridMultilevel"/>
    <w:lvl w:ilvl="0">
      <w:lvlJc w:val="left"/>
      <w:lvlText w:val="•"/>
      <w:numFmt w:val="bullet"/>
      <w:start w:val="1"/>
    </w:lvl>
  </w:abstractNum>
  <w:abstractNum w:abstractNumId="108">
    <w:nsid w:val="6D71A2B"/>
    <w:multiLevelType w:val="hybridMultilevel"/>
    <w:lvl w:ilvl="0">
      <w:lvlJc w:val="left"/>
      <w:lvlText w:val="•"/>
      <w:numFmt w:val="bullet"/>
      <w:start w:val="1"/>
    </w:lvl>
  </w:abstractNum>
  <w:abstractNum w:abstractNumId="109">
    <w:nsid w:val="CFC7321"/>
    <w:multiLevelType w:val="hybridMultilevel"/>
    <w:lvl w:ilvl="0">
      <w:lvlJc w:val="left"/>
      <w:lvlText w:val="•"/>
      <w:numFmt w:val="bullet"/>
      <w:start w:val="1"/>
    </w:lvl>
  </w:abstractNum>
  <w:abstractNum w:abstractNumId="110">
    <w:nsid w:val="1421971B"/>
    <w:multiLevelType w:val="hybridMultilevel"/>
    <w:lvl w:ilvl="0">
      <w:lvlJc w:val="left"/>
      <w:lvlText w:val="%1"/>
      <w:numFmt w:val="upperLetter"/>
      <w:start w:val="1"/>
    </w:lvl>
    <w:lvl w:ilvl="1">
      <w:lvlJc w:val="left"/>
      <w:lvlText w:val="(%2)"/>
      <w:numFmt w:val="decimal"/>
      <w:start w:val="1"/>
    </w:lvl>
  </w:abstractNum>
  <w:abstractNum w:abstractNumId="111">
    <w:nsid w:val="1F404301"/>
    <w:multiLevelType w:val="hybridMultilevel"/>
    <w:lvl w:ilvl="0">
      <w:lvlJc w:val="left"/>
      <w:lvlText w:val="%1."/>
      <w:numFmt w:val="upperLetter"/>
      <w:start w:val="2"/>
    </w:lvl>
    <w:lvl w:ilvl="1">
      <w:lvlJc w:val="left"/>
      <w:lvlText w:val="%2"/>
      <w:numFmt w:val="decimal"/>
      <w:start w:val="1"/>
    </w:lvl>
  </w:abstractNum>
  <w:abstractNum w:abstractNumId="112">
    <w:nsid w:val="116E0907"/>
    <w:multiLevelType w:val="hybridMultilevel"/>
    <w:lvl w:ilvl="0">
      <w:lvlJc w:val="left"/>
      <w:lvlText w:val="(%1)"/>
      <w:numFmt w:val="lowerLetter"/>
      <w:start w:val="1"/>
    </w:lvl>
  </w:abstractNum>
  <w:abstractNum w:abstractNumId="113">
    <w:nsid w:val="4B683D0D"/>
    <w:multiLevelType w:val="hybridMultilevel"/>
    <w:lvl w:ilvl="0">
      <w:lvlJc w:val="left"/>
      <w:lvlText w:val="(%1)"/>
      <w:numFmt w:val="lowerLetter"/>
      <w:start w:val="2"/>
    </w:lvl>
  </w:abstractNum>
  <w:abstractNum w:abstractNumId="114">
    <w:nsid w:val="76E41D8"/>
    <w:multiLevelType w:val="hybridMultilevel"/>
    <w:lvl w:ilvl="0">
      <w:lvlJc w:val="left"/>
      <w:lvlText w:val="(%1)"/>
      <w:numFmt w:val="lowerLetter"/>
      <w:start w:val="14"/>
    </w:lvl>
  </w:abstractNum>
  <w:abstractNum w:abstractNumId="115">
    <w:nsid w:val="71DCE0FD"/>
    <w:multiLevelType w:val="hybridMultilevel"/>
    <w:lvl w:ilvl="0">
      <w:lvlJc w:val="left"/>
      <w:lvlText w:val="%1"/>
      <w:numFmt w:val="upperLetter"/>
      <w:start w:val="1"/>
    </w:lvl>
    <w:lvl w:ilvl="1">
      <w:lvlJc w:val="left"/>
      <w:lvlText w:val="(%2)"/>
      <w:numFmt w:val="lowerLetter"/>
      <w:start w:val="20"/>
    </w:lvl>
  </w:abstractNum>
  <w:abstractNum w:abstractNumId="116">
    <w:nsid w:val="7906328B"/>
    <w:multiLevelType w:val="hybridMultilevel"/>
    <w:lvl w:ilvl="0">
      <w:lvlJc w:val="left"/>
      <w:lvlText w:val="%1."/>
      <w:numFmt w:val="upperLetter"/>
      <w:start w:val="4"/>
    </w:lvl>
    <w:lvl w:ilvl="1">
      <w:lvlJc w:val="left"/>
      <w:lvlText w:val="%2"/>
      <w:numFmt w:val="lowerLetter"/>
      <w:start w:val="1"/>
    </w:lvl>
  </w:abstractNum>
  <w:abstractNum w:abstractNumId="117">
    <w:nsid w:val="72BBC16"/>
    <w:multiLevelType w:val="hybridMultilevel"/>
    <w:lvl w:ilvl="0">
      <w:lvlJc w:val="left"/>
      <w:lvlText w:val="•"/>
      <w:numFmt w:val="bullet"/>
      <w:start w:val="1"/>
    </w:lvl>
  </w:abstractNum>
  <w:abstractNum w:abstractNumId="118">
    <w:nsid w:val="766D98C2"/>
    <w:multiLevelType w:val="hybridMultilevel"/>
    <w:lvl w:ilvl="0">
      <w:lvlJc w:val="left"/>
      <w:lvlText w:val="•"/>
      <w:numFmt w:val="bullet"/>
      <w:start w:val="1"/>
    </w:lvl>
  </w:abstractNum>
  <w:abstractNum w:abstractNumId="119">
    <w:nsid w:val="3C09D4A1"/>
    <w:multiLevelType w:val="hybridMultilevel"/>
    <w:lvl w:ilvl="0">
      <w:lvlJc w:val="left"/>
      <w:lvlText w:val="•"/>
      <w:numFmt w:val="bullet"/>
      <w:start w:val="1"/>
    </w:lvl>
  </w:abstractNum>
  <w:abstractNum w:abstractNumId="120">
    <w:nsid w:val="20E45CA4"/>
    <w:multiLevelType w:val="hybridMultilevel"/>
    <w:lvl w:ilvl="0">
      <w:lvlJc w:val="left"/>
      <w:lvlText w:val="•"/>
      <w:numFmt w:val="bullet"/>
      <w:start w:val="1"/>
    </w:lvl>
  </w:abstractNum>
  <w:abstractNum w:abstractNumId="121">
    <w:nsid w:val="4B232EE3"/>
    <w:multiLevelType w:val="hybridMultilevel"/>
    <w:lvl w:ilvl="0">
      <w:lvlJc w:val="left"/>
      <w:lvlText w:val="•"/>
      <w:numFmt w:val="bullet"/>
      <w:start w:val="1"/>
    </w:lvl>
  </w:abstractNum>
  <w:abstractNum w:abstractNumId="122">
    <w:nsid w:val="159C74CF"/>
    <w:multiLevelType w:val="hybridMultilevel"/>
    <w:lvl w:ilvl="0">
      <w:lvlJc w:val="left"/>
      <w:lvlText w:val="(%1)"/>
      <w:numFmt w:val="decimal"/>
      <w:start w:val="1"/>
    </w:lvl>
  </w:abstractNum>
  <w:abstractNum w:abstractNumId="123">
    <w:nsid w:val="4AD3AFD2"/>
    <w:multiLevelType w:val="hybridMultilevel"/>
    <w:lvl w:ilvl="0">
      <w:lvlJc w:val="left"/>
      <w:lvlText w:val="(%1)"/>
      <w:numFmt w:val="lowerLetter"/>
      <w:start w:val="25"/>
    </w:lvl>
  </w:abstractNum>
  <w:abstractNum w:abstractNumId="124">
    <w:nsid w:val="3CF93092"/>
    <w:multiLevelType w:val="hybridMultilevel"/>
    <w:lvl w:ilvl="0">
      <w:lvlJc w:val="left"/>
      <w:lvlText w:val="(%1)"/>
      <w:numFmt w:val="decimal"/>
      <w:start w:val="1"/>
    </w:lvl>
  </w:abstractNum>
  <w:abstractNum w:abstractNumId="125">
    <w:nsid w:val="6863E8D2"/>
    <w:multiLevelType w:val="hybridMultilevel"/>
    <w:lvl w:ilvl="0">
      <w:lvlJc w:val="left"/>
      <w:lvlText w:val="(%1)"/>
      <w:numFmt w:val="decimal"/>
      <w:start w:val="2"/>
    </w:lvl>
  </w:abstractNum>
  <w:abstractNum w:abstractNumId="126">
    <w:nsid w:val="76896198"/>
    <w:multiLevelType w:val="hybridMultilevel"/>
    <w:lvl w:ilvl="0">
      <w:lvlJc w:val="left"/>
      <w:lvlText w:val="*"/>
      <w:numFmt w:val="bullet"/>
      <w:start w:val="1"/>
    </w:lvl>
  </w:abstractNum>
  <w:abstractNum w:abstractNumId="127">
    <w:nsid w:val="4365174B"/>
    <w:multiLevelType w:val="hybridMultilevel"/>
    <w:lvl w:ilvl="0">
      <w:lvlJc w:val="left"/>
      <w:lvlText w:val="(%1)"/>
      <w:numFmt w:val="decimal"/>
      <w:start w:val="1"/>
    </w:lvl>
  </w:abstractNum>
  <w:abstractNum w:abstractNumId="128">
    <w:nsid w:val="4A872C35"/>
    <w:multiLevelType w:val="hybridMultilevel"/>
    <w:lvl w:ilvl="0">
      <w:lvlJc w:val="left"/>
      <w:lvlText w:val="(%1)"/>
      <w:numFmt w:val="decimal"/>
      <w:start w:val="1"/>
    </w:lvl>
  </w:abstractNum>
  <w:abstractNum w:abstractNumId="129">
    <w:nsid w:val="5D5CE761"/>
    <w:multiLevelType w:val="hybridMultilevel"/>
    <w:lvl w:ilvl="0">
      <w:lvlJc w:val="left"/>
      <w:lvlText w:val="(%1)"/>
      <w:numFmt w:val="decimal"/>
      <w:start w:val="1"/>
    </w:lvl>
  </w:abstractNum>
  <w:abstractNum w:abstractNumId="130">
    <w:nsid w:val="1CD484D5"/>
    <w:multiLevelType w:val="hybridMultilevel"/>
    <w:lvl w:ilvl="0">
      <w:lvlJc w:val="left"/>
      <w:lvlText w:val="(%1)"/>
      <w:numFmt w:val="decimal"/>
      <w:start w:val="1"/>
    </w:lvl>
  </w:abstractNum>
  <w:abstractNum w:abstractNumId="131">
    <w:nsid w:val="21D06255"/>
    <w:multiLevelType w:val="hybridMultilevel"/>
    <w:lvl w:ilvl="0">
      <w:lvlJc w:val="left"/>
      <w:lvlText w:val="(%1)"/>
      <w:numFmt w:val="decimal"/>
      <w:start w:val="1"/>
    </w:lvl>
  </w:abstractNum>
  <w:abstractNum w:abstractNumId="132">
    <w:nsid w:val="51194ED1"/>
    <w:multiLevelType w:val="hybridMultilevel"/>
    <w:lvl w:ilvl="0">
      <w:lvlJc w:val="left"/>
      <w:lvlText w:val="•"/>
      <w:numFmt w:val="bullet"/>
      <w:start w:val="1"/>
    </w:lvl>
  </w:abstractNum>
  <w:abstractNum w:abstractNumId="133">
    <w:nsid w:val="44E2ED6C"/>
    <w:multiLevelType w:val="hybridMultilevel"/>
    <w:lvl w:ilvl="0">
      <w:lvlJc w:val="left"/>
      <w:lvlText w:val="•"/>
      <w:numFmt w:val="bullet"/>
      <w:start w:val="1"/>
    </w:lvl>
  </w:abstractNum>
  <w:abstractNum w:abstractNumId="134">
    <w:nsid w:val="2219B33"/>
    <w:multiLevelType w:val="hybridMultilevel"/>
    <w:lvl w:ilvl="0">
      <w:lvlJc w:val="left"/>
      <w:lvlText w:val="•"/>
      <w:numFmt w:val="bullet"/>
      <w:start w:val="1"/>
    </w:lvl>
  </w:abstractNum>
  <w:abstractNum w:abstractNumId="135">
    <w:nsid w:val="773BFBDD"/>
    <w:multiLevelType w:val="hybridMultilevel"/>
    <w:lvl w:ilvl="0">
      <w:lvlJc w:val="left"/>
      <w:lvlText w:val="•"/>
      <w:numFmt w:val="bullet"/>
      <w:start w:val="1"/>
    </w:lvl>
  </w:abstractNum>
  <w:abstractNum w:abstractNumId="136">
    <w:nsid w:val="2C7C62C2"/>
    <w:multiLevelType w:val="hybridMultilevel"/>
    <w:lvl w:ilvl="0">
      <w:lvlJc w:val="left"/>
      <w:lvlText w:val="•"/>
      <w:numFmt w:val="bullet"/>
      <w:start w:val="1"/>
    </w:lvl>
  </w:abstractNum>
  <w:abstractNum w:abstractNumId="137">
    <w:nsid w:val="1A54D7BC"/>
    <w:multiLevelType w:val="hybridMultilevel"/>
    <w:lvl w:ilvl="0">
      <w:lvlJc w:val="left"/>
      <w:lvlText w:val="(%1)"/>
      <w:numFmt w:val="lowerLetter"/>
      <w:start w:val="1"/>
    </w:lvl>
  </w:abstractNum>
  <w:abstractNum w:abstractNumId="138">
    <w:nsid w:val="42E57EF7"/>
    <w:multiLevelType w:val="hybridMultilevel"/>
    <w:lvl w:ilvl="0">
      <w:lvlJc w:val="left"/>
      <w:lvlText w:val="(%1)"/>
      <w:numFmt w:val="lowerLetter"/>
      <w:start w:val="2"/>
    </w:lvl>
  </w:abstractNum>
  <w:abstractNum w:abstractNumId="139">
    <w:nsid w:val="33537CED"/>
    <w:multiLevelType w:val="hybridMultilevel"/>
    <w:lvl w:ilvl="0">
      <w:lvlJc w:val="left"/>
      <w:lvlText w:val="%1."/>
      <w:numFmt w:val="decimal"/>
      <w:start w:val="5"/>
    </w:lvl>
  </w:abstractNum>
  <w:abstractNum w:abstractNumId="140">
    <w:nsid w:val="27514ADE"/>
    <w:multiLevelType w:val="hybridMultilevel"/>
    <w:lvl w:ilvl="0">
      <w:lvlJc w:val="left"/>
      <w:lvlText w:val="%1."/>
      <w:numFmt w:val="decimal"/>
      <w:start w:val="5"/>
    </w:lvl>
  </w:abstractNum>
  <w:abstractNum w:abstractNumId="141">
    <w:nsid w:val="57071613"/>
    <w:multiLevelType w:val="hybridMultilevel"/>
    <w:lvl w:ilvl="0">
      <w:lvlJc w:val="left"/>
      <w:lvlText w:val="(%1)"/>
      <w:numFmt w:val="lowerLetter"/>
      <w:start w:val="2"/>
    </w:lvl>
  </w:abstractNum>
  <w:abstractNum w:abstractNumId="142">
    <w:nsid w:val="5293BFEF"/>
    <w:multiLevelType w:val="hybridMultilevel"/>
    <w:lvl w:ilvl="0">
      <w:lvlJc w:val="left"/>
      <w:lvlText w:val="(%1)"/>
      <w:numFmt w:val="lowerLetter"/>
      <w:start w:val="3"/>
    </w:lvl>
  </w:abstractNum>
  <w:abstractNum w:abstractNumId="143">
    <w:nsid w:val="38BF53E5"/>
    <w:multiLevelType w:val="hybridMultilevel"/>
    <w:lvl w:ilvl="0">
      <w:lvlJc w:val="left"/>
      <w:lvlText w:val="(%1)"/>
      <w:numFmt w:val="lowerLetter"/>
      <w:start w:val="4"/>
    </w:lvl>
  </w:abstractNum>
  <w:abstractNum w:abstractNumId="144">
    <w:nsid w:val="226F5320"/>
    <w:multiLevelType w:val="hybridMultilevel"/>
    <w:lvl w:ilvl="0">
      <w:lvlJc w:val="left"/>
      <w:lvlText w:val="(%1)"/>
      <w:numFmt w:val="lowerLetter"/>
      <w:start w:val="1"/>
    </w:lvl>
  </w:abstractNum>
  <w:abstractNum w:abstractNumId="145">
    <w:nsid w:val="5A0201C7"/>
    <w:multiLevelType w:val="hybridMultilevel"/>
    <w:lvl w:ilvl="0">
      <w:lvlJc w:val="left"/>
      <w:lvlText w:val="(%1)"/>
      <w:numFmt w:val="lowerLetter"/>
      <w:start w:val="2"/>
    </w:lvl>
  </w:abstractNum>
  <w:abstractNum w:abstractNumId="146">
    <w:nsid w:val="2A9C34E2"/>
    <w:multiLevelType w:val="hybridMultilevel"/>
    <w:lvl w:ilvl="0">
      <w:lvlJc w:val="left"/>
      <w:lvlText w:val="(%1)"/>
      <w:numFmt w:val="lowerLetter"/>
      <w:start w:val="3"/>
    </w:lvl>
  </w:abstractNum>
  <w:abstractNum w:abstractNumId="147">
    <w:nsid w:val="1B7585AB"/>
    <w:multiLevelType w:val="hybridMultilevel"/>
    <w:lvl w:ilvl="0">
      <w:lvlJc w:val="left"/>
      <w:lvlText w:val="(%1)"/>
      <w:numFmt w:val="lowerLetter"/>
      <w:start w:val="4"/>
    </w:lvl>
  </w:abstractNum>
  <w:abstractNum w:abstractNumId="148">
    <w:nsid w:val="612DBDDD"/>
    <w:multiLevelType w:val="hybridMultilevel"/>
    <w:lvl w:ilvl="0">
      <w:lvlJc w:val="left"/>
      <w:lvlText w:val="(%1)"/>
      <w:numFmt w:val="lowerRoman"/>
      <w:start w:val="1"/>
    </w:lvl>
  </w:abstractNum>
  <w:abstractNum w:abstractNumId="149">
    <w:nsid w:val="2109CDA4"/>
    <w:multiLevelType w:val="hybridMultilevel"/>
    <w:lvl w:ilvl="0">
      <w:lvlJc w:val="left"/>
      <w:lvlText w:val="(%1)"/>
      <w:numFmt w:val="lowerRoman"/>
      <w:start w:val="3"/>
    </w:lvl>
  </w:abstractNum>
  <w:abstractNum w:abstractNumId="150">
    <w:nsid w:val="577F5A4D"/>
    <w:multiLevelType w:val="hybridMultilevel"/>
    <w:lvl w:ilvl="0">
      <w:lvlJc w:val="left"/>
      <w:lvlText w:val="(%1)"/>
      <w:numFmt w:val="lowerRoman"/>
      <w:start w:val="1"/>
    </w:lvl>
  </w:abstractNum>
  <w:abstractNum w:abstractNumId="151">
    <w:nsid w:val="2121A81"/>
    <w:multiLevelType w:val="hybridMultilevel"/>
    <w:lvl w:ilvl="0">
      <w:lvlJc w:val="left"/>
      <w:lvlText w:val="%1."/>
      <w:numFmt w:val="decimal"/>
      <w:start w:val="6"/>
    </w:lvl>
    <w:lvl w:ilvl="1">
      <w:lvlJc w:val="left"/>
      <w:lvlText w:val="(%2)"/>
      <w:numFmt w:val="lowerRoman"/>
      <w:start w:val="3"/>
    </w:lvl>
  </w:abstractNum>
  <w:abstractNum w:abstractNumId="152">
    <w:nsid w:val="6C2CFC88"/>
    <w:multiLevelType w:val="hybridMultilevel"/>
    <w:lvl w:ilvl="0">
      <w:lvlJc w:val="left"/>
      <w:lvlText w:val="(%1)"/>
      <w:numFmt w:val="lowerRoman"/>
      <w:start w:val="1"/>
    </w:lvl>
  </w:abstractNum>
  <w:abstractNum w:abstractNumId="153">
    <w:nsid w:val="6D1BCF1C"/>
    <w:multiLevelType w:val="hybridMultilevel"/>
    <w:lvl w:ilvl="0">
      <w:lvlJc w:val="left"/>
      <w:lvlText w:val="(%1)"/>
      <w:numFmt w:val="lowerLetter"/>
      <w:start w:val="1"/>
    </w:lvl>
  </w:abstractNum>
  <w:abstractNum w:abstractNumId="154">
    <w:nsid w:val="4CE5CA53"/>
    <w:multiLevelType w:val="hybridMultilevel"/>
    <w:lvl w:ilvl="0">
      <w:lvlJc w:val="left"/>
      <w:lvlText w:val="(%1)"/>
      <w:numFmt w:val="lowerRoman"/>
      <w:start w:val="1"/>
    </w:lvl>
  </w:abstractNum>
  <w:abstractNum w:abstractNumId="155">
    <w:nsid w:val="29262D1A"/>
    <w:multiLevelType w:val="hybridMultilevel"/>
    <w:lvl w:ilvl="0">
      <w:lvlJc w:val="left"/>
      <w:lvlText w:val="(%1)"/>
      <w:numFmt w:val="lowerRoman"/>
      <w:start w:val="3"/>
    </w:lvl>
  </w:abstractNum>
  <w:abstractNum w:abstractNumId="156">
    <w:nsid w:val="557FB7EE"/>
    <w:multiLevelType w:val="hybridMultilevel"/>
    <w:lvl w:ilvl="0">
      <w:lvlJc w:val="left"/>
      <w:lvlText w:val="*"/>
      <w:numFmt w:val="bullet"/>
      <w:start w:val="1"/>
    </w:lvl>
  </w:abstractNum>
  <w:abstractNum w:abstractNumId="157">
    <w:nsid w:val="436F2BEB"/>
    <w:multiLevelType w:val="hybridMultilevel"/>
    <w:lvl w:ilvl="0">
      <w:lvlJc w:val="left"/>
      <w:lvlText w:val="**"/>
      <w:numFmt w:val="bullet"/>
      <w:start w:val="1"/>
    </w:lvl>
  </w:abstractNum>
  <w:abstractNum w:abstractNumId="158">
    <w:nsid w:val="6C8B4466"/>
    <w:multiLevelType w:val="hybridMultilevel"/>
    <w:lvl w:ilvl="0">
      <w:lvlJc w:val="left"/>
      <w:lvlText w:val="•"/>
      <w:numFmt w:val="bullet"/>
      <w:start w:val="1"/>
    </w:lvl>
  </w:abstractNum>
  <w:abstractNum w:abstractNumId="159">
    <w:nsid w:val="2006E424"/>
    <w:multiLevelType w:val="hybridMultilevel"/>
    <w:lvl w:ilvl="0">
      <w:lvlJc w:val="left"/>
      <w:lvlText w:val="*"/>
      <w:numFmt w:val="bullet"/>
      <w:start w:val="1"/>
    </w:lvl>
  </w:abstractNum>
  <w:abstractNum w:abstractNumId="160">
    <w:nsid w:val="20CC134C"/>
    <w:multiLevelType w:val="hybridMultilevel"/>
    <w:lvl w:ilvl="0">
      <w:lvlJc w:val="left"/>
      <w:lvlText w:val="%1"/>
      <w:numFmt w:val="decimal"/>
      <w:start w:val="1"/>
    </w:lvl>
    <w:lvl w:ilvl="1">
      <w:lvlJc w:val="left"/>
      <w:lvlText w:val="**"/>
      <w:numFmt w:val="bullet"/>
      <w:start w:val="1"/>
    </w:lvl>
  </w:abstractNum>
  <w:abstractNum w:abstractNumId="161">
    <w:nsid w:val="95FC93B"/>
    <w:multiLevelType w:val="hybridMultilevel"/>
    <w:lvl w:ilvl="0">
      <w:lvlJc w:val="left"/>
      <w:lvlText w:val="%1."/>
      <w:numFmt w:val="decimal"/>
      <w:start w:val="19"/>
    </w:lvl>
    <w:lvl w:ilvl="1">
      <w:lvlJc w:val="left"/>
      <w:lvlText w:val="***"/>
      <w:numFmt w:val="bullet"/>
      <w:start w:val="1"/>
    </w:lvl>
  </w:abstractNum>
  <w:abstractNum w:abstractNumId="162">
    <w:nsid w:val="41D74679"/>
    <w:multiLevelType w:val="hybridMultilevel"/>
    <w:lvl w:ilvl="0">
      <w:lvlJc w:val="left"/>
      <w:lvlText w:val="(%1)"/>
      <w:numFmt w:val="decimal"/>
      <w:start w:val="1"/>
    </w:lvl>
  </w:abstractNum>
  <w:abstractNum w:abstractNumId="163">
    <w:nsid w:val="71E5621E"/>
    <w:multiLevelType w:val="hybridMultilevel"/>
    <w:lvl w:ilvl="0">
      <w:lvlJc w:val="left"/>
      <w:lvlText w:val="1"/>
      <w:numFmt w:val="bullet"/>
      <w:start w:val="1"/>
    </w:lvl>
    <w:lvl w:ilvl="1">
      <w:lvlJc w:val="left"/>
      <w:lvlText w:val="(%2)"/>
      <w:numFmt w:val="lowerLetter"/>
      <w:start w:val="1"/>
    </w:lvl>
  </w:abstractNum>
  <w:abstractNum w:abstractNumId="164">
    <w:nsid w:val="4E42B6A8"/>
    <w:multiLevelType w:val="hybridMultilevel"/>
    <w:lvl w:ilvl="0">
      <w:lvlJc w:val="left"/>
      <w:lvlText w:val="(%1)"/>
      <w:numFmt w:val="lowerLetter"/>
      <w:start w:val="1"/>
    </w:lvl>
  </w:abstractNum>
  <w:abstractNum w:abstractNumId="165">
    <w:nsid w:val="43F8E1AC"/>
    <w:multiLevelType w:val="hybridMultilevel"/>
    <w:lvl w:ilvl="0">
      <w:lvlJc w:val="left"/>
      <w:lvlText w:val="(%1)"/>
      <w:numFmt w:val="lowerLetter"/>
      <w:start w:val="1"/>
    </w:lvl>
  </w:abstractNum>
  <w:abstractNum w:abstractNumId="166">
    <w:nsid w:val="69215DFB"/>
    <w:multiLevelType w:val="hybridMultilevel"/>
    <w:lvl w:ilvl="0">
      <w:lvlJc w:val="left"/>
      <w:lvlText w:val="(%1)"/>
      <w:numFmt w:val="lowerLetter"/>
      <w:start w:val="1"/>
    </w:lvl>
  </w:abstractNum>
  <w:abstractNum w:abstractNumId="167">
    <w:nsid w:val="7ABF196A"/>
    <w:multiLevelType w:val="hybridMultilevel"/>
    <w:lvl w:ilvl="0">
      <w:lvlJc w:val="left"/>
      <w:lvlText w:val="(%1)"/>
      <w:numFmt w:val="lowerLetter"/>
      <w:start w:val="1"/>
    </w:lvl>
  </w:abstractNum>
  <w:abstractNum w:abstractNumId="168">
    <w:nsid w:val="5E4DB968"/>
    <w:multiLevelType w:val="hybridMultilevel"/>
    <w:lvl w:ilvl="0">
      <w:lvlJc w:val="left"/>
      <w:lvlText w:val="(%1)"/>
      <w:numFmt w:val="lowerLetter"/>
      <w:start w:val="2"/>
    </w:lvl>
  </w:abstractNum>
  <w:abstractNum w:abstractNumId="169">
    <w:nsid w:val="2C06DCF3"/>
    <w:multiLevelType w:val="hybridMultilevel"/>
    <w:lvl w:ilvl="0">
      <w:lvlJc w:val="left"/>
      <w:lvlText w:val="(%1)"/>
      <w:numFmt w:val="lowerLetter"/>
      <w:start w:val="1"/>
    </w:lvl>
  </w:abstractNum>
  <w:abstractNum w:abstractNumId="170">
    <w:nsid w:val="2E129658"/>
    <w:multiLevelType w:val="hybridMultilevel"/>
    <w:lvl w:ilvl="0">
      <w:lvlJc w:val="left"/>
      <w:lvlText w:val="(%1)"/>
      <w:numFmt w:val="lowerLetter"/>
      <w:start w:val="3"/>
    </w:lvl>
  </w:abstractNum>
  <w:abstractNum w:abstractNumId="171">
    <w:nsid w:val="59F0446"/>
    <w:multiLevelType w:val="hybridMultilevel"/>
    <w:lvl w:ilvl="0">
      <w:lvlJc w:val="left"/>
      <w:lvlText w:val="(%1)"/>
      <w:numFmt w:val="lowerLetter"/>
      <w:start w:val="1"/>
    </w:lvl>
  </w:abstractNum>
  <w:abstractNum w:abstractNumId="172">
    <w:nsid w:val="30DF306"/>
    <w:multiLevelType w:val="hybridMultilevel"/>
    <w:lvl w:ilvl="0">
      <w:lvlJc w:val="left"/>
      <w:lvlText w:val="(%1)"/>
      <w:numFmt w:val="lowerLetter"/>
      <w:start w:val="2"/>
    </w:lvl>
  </w:abstractNum>
  <w:abstractNum w:abstractNumId="173">
    <w:nsid w:val="A65647"/>
    <w:multiLevelType w:val="hybridMultilevel"/>
    <w:lvl w:ilvl="0">
      <w:lvlJc w:val="left"/>
      <w:lvlText w:val="(%1)"/>
      <w:numFmt w:val="lowerLetter"/>
      <w:start w:val="1"/>
    </w:lvl>
  </w:abstractNum>
  <w:abstractNum w:abstractNumId="174">
    <w:nsid w:val="3E5E582B"/>
    <w:multiLevelType w:val="hybridMultilevel"/>
    <w:lvl w:ilvl="0">
      <w:lvlJc w:val="left"/>
      <w:lvlText w:val="(%1)"/>
      <w:numFmt w:val="lowerRoman"/>
      <w:start w:val="1"/>
    </w:lvl>
  </w:abstractNum>
  <w:abstractNum w:abstractNumId="175">
    <w:nsid w:val="257D4626"/>
    <w:multiLevelType w:val="hybridMultilevel"/>
    <w:lvl w:ilvl="0">
      <w:lvlJc w:val="left"/>
      <w:lvlText w:val="(%1)"/>
      <w:numFmt w:val="lowerLetter"/>
      <w:start w:val="1"/>
    </w:lvl>
  </w:abstractNum>
  <w:abstractNum w:abstractNumId="176">
    <w:nsid w:val="5AA8580E"/>
    <w:multiLevelType w:val="hybridMultilevel"/>
    <w:lvl w:ilvl="0">
      <w:lvlJc w:val="left"/>
      <w:lvlText w:val="(%1)"/>
      <w:numFmt w:val="lowerLetter"/>
      <w:start w:val="1"/>
    </w:lvl>
  </w:abstractNum>
  <w:abstractNum w:abstractNumId="177">
    <w:nsid w:val="68FA8D0D"/>
    <w:multiLevelType w:val="hybridMultilevel"/>
    <w:lvl w:ilvl="0">
      <w:lvlJc w:val="left"/>
      <w:lvlText w:val="(%1)"/>
      <w:numFmt w:val="lowerRoman"/>
      <w:start w:val="1"/>
    </w:lvl>
    <w:lvl w:ilvl="1">
      <w:lvlJc w:val="left"/>
      <w:lvlText w:val="(%2)"/>
      <w:numFmt w:val="upperLetter"/>
      <w:start w:val="1"/>
    </w:lvl>
  </w:abstractNum>
  <w:abstractNum w:abstractNumId="178">
    <w:nsid w:val="40F2CBD2"/>
    <w:multiLevelType w:val="hybridMultilevel"/>
    <w:lvl w:ilvl="0">
      <w:lvlJc w:val="left"/>
      <w:lvlText w:val="(%1)"/>
      <w:numFmt w:val="lowerRoman"/>
      <w:start w:val="2"/>
    </w:lvl>
  </w:abstractNum>
  <w:abstractNum w:abstractNumId="179">
    <w:nsid w:val="3BD615EB"/>
    <w:multiLevelType w:val="hybridMultilevel"/>
    <w:lvl w:ilvl="0">
      <w:lvlJc w:val="left"/>
      <w:lvlText w:val="(%1)"/>
      <w:numFmt w:val="lowerLetter"/>
      <w:start w:val="1"/>
    </w:lvl>
  </w:abstractNum>
  <w:abstractNum w:abstractNumId="180">
    <w:nsid w:val="A045AB2"/>
    <w:multiLevelType w:val="hybridMultilevel"/>
    <w:lvl w:ilvl="0">
      <w:lvlJc w:val="left"/>
      <w:lvlText w:val="(%1)"/>
      <w:numFmt w:val="lowerLetter"/>
      <w:start w:val="1"/>
    </w:lvl>
  </w:abstractNum>
  <w:abstractNum w:abstractNumId="181">
    <w:nsid w:val="1872261F"/>
    <w:multiLevelType w:val="hybridMultilevel"/>
    <w:lvl w:ilvl="0">
      <w:lvlJc w:val="left"/>
      <w:lvlText w:val="(%1)"/>
      <w:numFmt w:val="lowerLetter"/>
      <w:start w:val="2"/>
    </w:lvl>
  </w:abstractNum>
  <w:abstractNum w:abstractNumId="182">
    <w:nsid w:val="3DE8306C"/>
    <w:multiLevelType w:val="hybridMultilevel"/>
    <w:lvl w:ilvl="0">
      <w:lvlJc w:val="left"/>
      <w:lvlText w:val="(%1)"/>
      <w:numFmt w:val="lowerLetter"/>
      <w:start w:val="1"/>
    </w:lvl>
  </w:abstractNum>
  <w:abstractNum w:abstractNumId="183">
    <w:nsid w:val="7631573A"/>
    <w:multiLevelType w:val="hybridMultilevel"/>
    <w:lvl w:ilvl="0">
      <w:lvlJc w:val="left"/>
      <w:lvlText w:val="(%1)"/>
      <w:numFmt w:val="lowerLetter"/>
      <w:start w:val="1"/>
    </w:lvl>
  </w:abstractNum>
  <w:abstractNum w:abstractNumId="184">
    <w:nsid w:val="58DF53B"/>
    <w:multiLevelType w:val="hybridMultilevel"/>
    <w:lvl w:ilvl="0">
      <w:lvlJc w:val="left"/>
      <w:lvlText w:val="(%1)"/>
      <w:numFmt w:val="lowerLetter"/>
      <w:start w:val="1"/>
    </w:lvl>
  </w:abstractNum>
  <w:abstractNum w:abstractNumId="185">
    <w:nsid w:val="ACDFAC0"/>
    <w:multiLevelType w:val="hybridMultilevel"/>
    <w:lvl w:ilvl="0">
      <w:lvlJc w:val="left"/>
      <w:lvlText w:val="(%1)"/>
      <w:numFmt w:val="lowerLetter"/>
      <w:start w:val="1"/>
    </w:lvl>
  </w:abstractNum>
  <w:abstractNum w:abstractNumId="186">
    <w:nsid w:val="1F578454"/>
    <w:multiLevelType w:val="hybridMultilevel"/>
    <w:lvl w:ilvl="0">
      <w:lvlJc w:val="left"/>
      <w:lvlText w:val="(%1)"/>
      <w:numFmt w:val="lowerLetter"/>
      <w:start w:val="1"/>
    </w:lvl>
  </w:abstractNum>
  <w:abstractNum w:abstractNumId="187">
    <w:nsid w:val="5B0DAD2A"/>
    <w:multiLevelType w:val="hybridMultilevel"/>
    <w:lvl w:ilvl="0">
      <w:lvlJc w:val="left"/>
      <w:lvlText w:val="(%1)"/>
      <w:numFmt w:val="lowerLetter"/>
      <w:start w:val="7"/>
    </w:lvl>
  </w:abstractNum>
  <w:abstractNum w:abstractNumId="188">
    <w:nsid w:val="4E3D26AB"/>
    <w:multiLevelType w:val="hybridMultilevel"/>
    <w:lvl w:ilvl="0">
      <w:lvlJc w:val="left"/>
      <w:lvlText w:val="(%1)"/>
      <w:numFmt w:val="lowerLetter"/>
      <w:start w:val="1"/>
    </w:lvl>
  </w:abstractNum>
  <w:abstractNum w:abstractNumId="189">
    <w:nsid w:val="BE2C8BA"/>
    <w:multiLevelType w:val="hybridMultilevel"/>
    <w:lvl w:ilvl="0">
      <w:lvlJc w:val="left"/>
      <w:lvlText w:val="(%1)"/>
      <w:numFmt w:val="lowerRoman"/>
      <w:start w:val="1"/>
    </w:lvl>
    <w:lvl w:ilvl="1">
      <w:lvlJc w:val="left"/>
      <w:lvlText w:val="(%2)"/>
      <w:numFmt w:val="upperLetter"/>
      <w:start w:val="1"/>
    </w:lvl>
  </w:abstractNum>
  <w:abstractNum w:abstractNumId="190">
    <w:nsid w:val="7B14914E"/>
    <w:multiLevelType w:val="hybridMultilevel"/>
    <w:lvl w:ilvl="0">
      <w:lvlJc w:val="left"/>
      <w:lvlText w:val="(%1)"/>
      <w:numFmt w:val="lowerRoman"/>
      <w:start w:val="2"/>
    </w:lvl>
  </w:abstractNum>
  <w:abstractNum w:abstractNumId="191">
    <w:nsid w:val="6F0939F8"/>
    <w:multiLevelType w:val="hybridMultilevel"/>
    <w:lvl w:ilvl="0">
      <w:lvlJc w:val="left"/>
      <w:lvlText w:val="(%1)"/>
      <w:numFmt w:val="lowerLetter"/>
      <w:start w:val="1"/>
    </w:lvl>
  </w:abstractNum>
  <w:abstractNum w:abstractNumId="192">
    <w:nsid w:val="154291F6"/>
    <w:multiLevelType w:val="hybridMultilevel"/>
    <w:lvl w:ilvl="0">
      <w:lvlJc w:val="left"/>
      <w:lvlText w:val="(%1)"/>
      <w:numFmt w:val="lowerLetter"/>
      <w:start w:val="1"/>
    </w:lvl>
  </w:abstractNum>
  <w:abstractNum w:abstractNumId="193">
    <w:nsid w:val="3CEBD7C7"/>
    <w:multiLevelType w:val="hybridMultilevel"/>
    <w:lvl w:ilvl="0">
      <w:lvlJc w:val="left"/>
      <w:lvlText w:val="%1"/>
      <w:numFmt w:val="lowerLetter"/>
      <w:start w:val="1"/>
    </w:lvl>
    <w:lvl w:ilvl="1">
      <w:lvlJc w:val="left"/>
      <w:lvlText w:val="(%2)"/>
      <w:numFmt w:val="lowerRoman"/>
      <w:start w:val="1"/>
    </w:lvl>
  </w:abstractNum>
  <w:abstractNum w:abstractNumId="194">
    <w:nsid w:val="60EE9C16"/>
    <w:multiLevelType w:val="hybridMultilevel"/>
    <w:lvl w:ilvl="0">
      <w:lvlJc w:val="left"/>
      <w:lvlText w:val="(%1)"/>
      <w:numFmt w:val="lowerLetter"/>
      <w:start w:val="6"/>
    </w:lvl>
    <w:lvl w:ilvl="1">
      <w:lvlJc w:val="left"/>
      <w:lvlText w:val="%2"/>
      <w:numFmt w:val="lowerRoman"/>
      <w:start w:val="1"/>
    </w:lvl>
  </w:abstractNum>
  <w:abstractNum w:abstractNumId="195">
    <w:nsid w:val="6385489E"/>
    <w:multiLevelType w:val="hybridMultilevel"/>
    <w:lvl w:ilvl="0">
      <w:lvlJc w:val="left"/>
      <w:lvlText w:val="(%1)"/>
      <w:numFmt w:val="lowerLetter"/>
      <w:start w:val="1"/>
    </w:lvl>
  </w:abstractNum>
  <w:abstractNum w:abstractNumId="196">
    <w:nsid w:val="E4B973"/>
    <w:multiLevelType w:val="hybridMultilevel"/>
    <w:lvl w:ilvl="0">
      <w:lvlJc w:val="left"/>
      <w:lvlText w:val="(%1)"/>
      <w:numFmt w:val="lowerLetter"/>
      <w:start w:val="1"/>
    </w:lvl>
  </w:abstractNum>
  <w:abstractNum w:abstractNumId="197">
    <w:nsid w:val="4A0FFA11"/>
    <w:multiLevelType w:val="hybridMultilevel"/>
    <w:lvl w:ilvl="0">
      <w:lvlJc w:val="left"/>
      <w:lvlText w:val="(%1)"/>
      <w:numFmt w:val="lowerLetter"/>
      <w:start w:val="1"/>
    </w:lvl>
  </w:abstractNum>
  <w:abstractNum w:abstractNumId="198">
    <w:nsid w:val="5E446208"/>
    <w:multiLevelType w:val="hybridMultilevel"/>
    <w:lvl w:ilvl="0">
      <w:lvlJc w:val="left"/>
      <w:lvlText w:val="(%1)"/>
      <w:numFmt w:val="lowerLetter"/>
      <w:start w:val="1"/>
    </w:lvl>
  </w:abstractNum>
  <w:abstractNum w:abstractNumId="199">
    <w:nsid w:val="5F3272DB"/>
    <w:multiLevelType w:val="hybridMultilevel"/>
    <w:lvl w:ilvl="0">
      <w:lvlJc w:val="left"/>
      <w:lvlText w:val="(%1)"/>
      <w:numFmt w:val="lowerLetter"/>
      <w:start w:val="1"/>
    </w:lvl>
  </w:abstractNum>
  <w:abstractNum w:abstractNumId="200">
    <w:nsid w:val="7616D704"/>
    <w:multiLevelType w:val="hybridMultilevel"/>
    <w:lvl w:ilvl="0">
      <w:lvlJc w:val="left"/>
      <w:lvlText w:val="(%1)"/>
      <w:numFmt w:val="lowerLetter"/>
      <w:start w:val="1"/>
    </w:lvl>
  </w:abstractNum>
  <w:abstractNum w:abstractNumId="201">
    <w:nsid w:val="C56F860"/>
    <w:multiLevelType w:val="hybridMultilevel"/>
    <w:lvl w:ilvl="0">
      <w:lvlJc w:val="left"/>
      <w:lvlText w:val="(%1)"/>
      <w:numFmt w:val="lowerLetter"/>
      <w:start w:val="1"/>
    </w:lvl>
  </w:abstractNum>
  <w:abstractNum w:abstractNumId="202">
    <w:nsid w:val="64D17722"/>
    <w:multiLevelType w:val="hybridMultilevel"/>
    <w:lvl w:ilvl="0">
      <w:lvlJc w:val="left"/>
      <w:lvlText w:val="(%1)"/>
      <w:numFmt w:val="lowerLetter"/>
      <w:start w:val="1"/>
    </w:lvl>
  </w:abstractNum>
  <w:abstractNum w:abstractNumId="203">
    <w:nsid w:val="7924CA0A"/>
    <w:multiLevelType w:val="hybridMultilevel"/>
    <w:lvl w:ilvl="0">
      <w:lvlJc w:val="left"/>
      <w:lvlText w:val="(%1)"/>
      <w:numFmt w:val="lowerLetter"/>
      <w:start w:val="1"/>
    </w:lvl>
  </w:abstractNum>
  <w:abstractNum w:abstractNumId="204">
    <w:nsid w:val="CFD4EA7"/>
    <w:multiLevelType w:val="hybridMultilevel"/>
    <w:lvl w:ilvl="0">
      <w:lvlJc w:val="left"/>
      <w:lvlText w:val="(%1)"/>
      <w:numFmt w:val="lowerLetter"/>
      <w:start w:val="1"/>
    </w:lvl>
  </w:abstractNum>
  <w:abstractNum w:abstractNumId="205">
    <w:nsid w:val="232FCF4D"/>
    <w:multiLevelType w:val="hybridMultilevel"/>
    <w:lvl w:ilvl="0">
      <w:lvlJc w:val="left"/>
      <w:lvlText w:val="(%1)"/>
      <w:numFmt w:val="lowerLetter"/>
      <w:start w:val="1"/>
    </w:lvl>
    <w:lvl w:ilvl="1">
      <w:lvlJc w:val="left"/>
      <w:lvlText w:val="(%2)"/>
      <w:numFmt w:val="lowerRoman"/>
      <w:start w:val="1"/>
    </w:lvl>
  </w:abstractNum>
  <w:abstractNum w:abstractNumId="206">
    <w:nsid w:val="1EA21031"/>
    <w:multiLevelType w:val="hybridMultilevel"/>
    <w:lvl w:ilvl="0">
      <w:lvlJc w:val="left"/>
      <w:lvlText w:val="(%1)"/>
      <w:numFmt w:val="lowerLetter"/>
      <w:start w:val="1"/>
    </w:lvl>
  </w:abstractNum>
  <w:abstractNum w:abstractNumId="207">
    <w:nsid w:val="67A5A6B5"/>
    <w:multiLevelType w:val="hybridMultilevel"/>
    <w:lvl w:ilvl="0">
      <w:lvlJc w:val="left"/>
      <w:lvlText w:val="(%1)"/>
      <w:numFmt w:val="lowerLetter"/>
      <w:start w:val="1"/>
    </w:lvl>
  </w:abstractNum>
  <w:abstractNum w:abstractNumId="208">
    <w:nsid w:val="C2A5C5B"/>
    <w:multiLevelType w:val="hybridMultilevel"/>
    <w:lvl w:ilvl="0">
      <w:lvlJc w:val="left"/>
      <w:lvlText w:val="(%1)"/>
      <w:numFmt w:val="lowerLetter"/>
      <w:start w:val="5"/>
    </w:lvl>
  </w:abstractNum>
  <w:abstractNum w:abstractNumId="209">
    <w:nsid w:val="5F94DC03"/>
    <w:multiLevelType w:val="hybridMultilevel"/>
    <w:lvl w:ilvl="0">
      <w:lvlJc w:val="left"/>
      <w:lvlText w:val="(%1)"/>
      <w:numFmt w:val="lowerLetter"/>
      <w:start w:val="1"/>
    </w:lvl>
  </w:abstractNum>
  <w:abstractNum w:abstractNumId="210">
    <w:nsid w:val="237BBCA0"/>
    <w:multiLevelType w:val="hybridMultilevel"/>
    <w:lvl w:ilvl="0">
      <w:lvlJc w:val="left"/>
      <w:lvlText w:val="(%1)"/>
      <w:numFmt w:val="lowerLetter"/>
      <w:start w:val="1"/>
    </w:lvl>
  </w:abstractNum>
  <w:abstractNum w:abstractNumId="211">
    <w:nsid w:val="162EB70D"/>
    <w:multiLevelType w:val="hybridMultilevel"/>
    <w:lvl w:ilvl="0">
      <w:lvlJc w:val="left"/>
      <w:lvlText w:val="(%1)"/>
      <w:numFmt w:val="lowerLetter"/>
      <w:start w:val="1"/>
    </w:lvl>
  </w:abstractNum>
  <w:abstractNum w:abstractNumId="212">
    <w:nsid w:val="78070222"/>
    <w:multiLevelType w:val="hybridMultilevel"/>
    <w:lvl w:ilvl="0">
      <w:lvlJc w:val="left"/>
      <w:lvlText w:val="(%1)"/>
      <w:numFmt w:val="lowerLetter"/>
      <w:start w:val="1"/>
    </w:lvl>
  </w:abstractNum>
  <w:abstractNum w:abstractNumId="213">
    <w:nsid w:val="6163ED0D"/>
    <w:multiLevelType w:val="hybridMultilevel"/>
    <w:lvl w:ilvl="0">
      <w:lvlJc w:val="left"/>
      <w:lvlText w:val="(%1)"/>
      <w:numFmt w:val="lowerLetter"/>
      <w:start w:val="1"/>
    </w:lvl>
  </w:abstractNum>
  <w:abstractNum w:abstractNumId="214">
    <w:nsid w:val="C600E47"/>
    <w:multiLevelType w:val="hybridMultilevel"/>
    <w:lvl w:ilvl="0">
      <w:lvlJc w:val="left"/>
      <w:lvlText w:val="(%1)"/>
      <w:numFmt w:val="lowerLetter"/>
      <w:start w:val="1"/>
    </w:lvl>
  </w:abstractNum>
  <w:abstractNum w:abstractNumId="215">
    <w:nsid w:val="7D94F75D"/>
    <w:multiLevelType w:val="hybridMultilevel"/>
    <w:lvl w:ilvl="0">
      <w:lvlJc w:val="left"/>
      <w:lvlText w:val="(%1)"/>
      <w:numFmt w:val="lowerLetter"/>
      <w:start w:val="1"/>
    </w:lvl>
  </w:abstractNum>
  <w:abstractNum w:abstractNumId="216">
    <w:nsid w:val="6C31E7CD"/>
    <w:multiLevelType w:val="hybridMultilevel"/>
    <w:lvl w:ilvl="0">
      <w:lvlJc w:val="left"/>
      <w:lvlText w:val="(%1)"/>
      <w:numFmt w:val="lowerLetter"/>
      <w:start w:val="1"/>
    </w:lvl>
  </w:abstractNum>
  <w:abstractNum w:abstractNumId="217">
    <w:nsid w:val="2BB7929B"/>
    <w:multiLevelType w:val="hybridMultilevel"/>
    <w:lvl w:ilvl="0">
      <w:lvlJc w:val="left"/>
      <w:lvlText w:val="(%1)"/>
      <w:numFmt w:val="lowerLetter"/>
      <w:start w:val="1"/>
    </w:lvl>
  </w:abstractNum>
  <w:abstractNum w:abstractNumId="218">
    <w:nsid w:val="58A2A487"/>
    <w:multiLevelType w:val="hybridMultilevel"/>
    <w:lvl w:ilvl="0">
      <w:lvlJc w:val="left"/>
      <w:lvlText w:val="(%1)"/>
      <w:numFmt w:val="lowerLetter"/>
      <w:start w:val="1"/>
    </w:lvl>
    <w:lvl w:ilvl="1">
      <w:lvlJc w:val="left"/>
      <w:lvlText w:val="(%2)"/>
      <w:numFmt w:val="lowerRoman"/>
      <w:start w:val="1"/>
    </w:lvl>
  </w:abstractNum>
  <w:abstractNum w:abstractNumId="219">
    <w:nsid w:val="3A6F0E78"/>
    <w:multiLevelType w:val="hybridMultilevel"/>
    <w:lvl w:ilvl="0">
      <w:lvlJc w:val="left"/>
      <w:lvlText w:val="(%1)"/>
      <w:numFmt w:val="lowerLetter"/>
      <w:start w:val="1"/>
    </w:lvl>
  </w:abstractNum>
  <w:abstractNum w:abstractNumId="220">
    <w:nsid w:val="379A5B56"/>
    <w:multiLevelType w:val="hybridMultilevel"/>
    <w:lvl w:ilvl="0">
      <w:lvlJc w:val="left"/>
      <w:lvlText w:val="(%1)"/>
      <w:numFmt w:val="lowerLetter"/>
      <w:start w:val="1"/>
    </w:lvl>
  </w:abstractNum>
  <w:abstractNum w:abstractNumId="221">
    <w:nsid w:val="53B735D5"/>
    <w:multiLevelType w:val="hybridMultilevel"/>
    <w:lvl w:ilvl="0">
      <w:lvlJc w:val="left"/>
      <w:lvlText w:val="(%1)"/>
      <w:numFmt w:val="lowerLetter"/>
      <w:start w:val="1"/>
    </w:lvl>
  </w:abstractNum>
  <w:abstractNum w:abstractNumId="222">
    <w:nsid w:val="29784870"/>
    <w:multiLevelType w:val="hybridMultilevel"/>
    <w:lvl w:ilvl="0">
      <w:lvlJc w:val="left"/>
      <w:lvlText w:val="(%1)"/>
      <w:numFmt w:val="lowerLetter"/>
      <w:start w:val="2"/>
    </w:lvl>
  </w:abstractNum>
  <w:abstractNum w:abstractNumId="223">
    <w:nsid w:val="4CDCED4C"/>
    <w:multiLevelType w:val="hybridMultilevel"/>
    <w:lvl w:ilvl="0">
      <w:lvlJc w:val="left"/>
      <w:lvlText w:val="(%1)"/>
      <w:numFmt w:val="lowerLetter"/>
      <w:start w:val="1"/>
    </w:lvl>
  </w:abstractNum>
  <w:abstractNum w:abstractNumId="224">
    <w:nsid w:val="10A30D9C"/>
    <w:multiLevelType w:val="hybridMultilevel"/>
    <w:lvl w:ilvl="0">
      <w:lvlJc w:val="left"/>
      <w:lvlText w:val="(%1)"/>
      <w:numFmt w:val="lowerLetter"/>
      <w:start w:val="1"/>
    </w:lvl>
  </w:abstractNum>
  <w:abstractNum w:abstractNumId="225">
    <w:nsid w:val="A66E486"/>
    <w:multiLevelType w:val="hybridMultilevel"/>
    <w:lvl w:ilvl="0">
      <w:lvlJc w:val="left"/>
      <w:lvlText w:val="(%1)"/>
      <w:numFmt w:val="lowerLetter"/>
      <w:start w:val="1"/>
    </w:lvl>
    <w:lvl w:ilvl="1">
      <w:lvlJc w:val="left"/>
      <w:lvlText w:val="(%2)"/>
      <w:numFmt w:val="lowerRoman"/>
      <w:start w:val="1"/>
    </w:lvl>
  </w:abstractNum>
  <w:abstractNum w:abstractNumId="226">
    <w:nsid w:val="306235EA"/>
    <w:multiLevelType w:val="hybridMultilevel"/>
    <w:lvl w:ilvl="0">
      <w:lvlJc w:val="left"/>
      <w:lvlText w:val="(%1)"/>
      <w:numFmt w:val="lowerRoman"/>
      <w:start w:val="6"/>
    </w:lvl>
    <w:lvl w:ilvl="1">
      <w:lvlJc w:val="left"/>
      <w:lvlText w:val="(%2)"/>
      <w:numFmt w:val="upperLetter"/>
      <w:start w:val="1"/>
    </w:lvl>
    <w:lvl w:ilvl="2">
      <w:lvlJc w:val="left"/>
      <w:lvlText w:val="(%3)"/>
      <w:numFmt w:val="decimal"/>
      <w:start w:val="1"/>
    </w:lvl>
  </w:abstractNum>
  <w:abstractNum w:abstractNumId="227">
    <w:nsid w:val="1187C70F"/>
    <w:multiLevelType w:val="hybridMultilevel"/>
    <w:lvl w:ilvl="0">
      <w:lvlJc w:val="left"/>
      <w:lvlText w:val="(%1)"/>
      <w:numFmt w:val="upperLetter"/>
      <w:start w:val="2"/>
    </w:lvl>
  </w:abstractNum>
  <w:abstractNum w:abstractNumId="228">
    <w:nsid w:val="5476DE98"/>
    <w:multiLevelType w:val="hybridMultilevel"/>
    <w:lvl w:ilvl="0">
      <w:lvlJc w:val="left"/>
      <w:lvlText w:val="(%1)"/>
      <w:numFmt w:val="lowerRoman"/>
      <w:start w:val="14"/>
    </w:lvl>
    <w:lvl w:ilvl="1">
      <w:lvlJc w:val="left"/>
      <w:lvlText w:val="(%2)"/>
      <w:numFmt w:val="upperLetter"/>
      <w:start w:val="1"/>
    </w:lvl>
  </w:abstractNum>
  <w:abstractNum w:abstractNumId="229">
    <w:nsid w:val="EA697F2"/>
    <w:multiLevelType w:val="hybridMultilevel"/>
    <w:lvl w:ilvl="0">
      <w:lvlJc w:val="left"/>
      <w:lvlText w:val="(%1)"/>
      <w:numFmt w:val="lowerRoman"/>
      <w:start w:val="22"/>
    </w:lvl>
  </w:abstractNum>
  <w:abstractNum w:abstractNumId="230">
    <w:nsid w:val="70BA39EB"/>
    <w:multiLevelType w:val="hybridMultilevel"/>
    <w:lvl w:ilvl="0">
      <w:lvlJc w:val="left"/>
      <w:lvlText w:val="%1"/>
      <w:numFmt w:val="lowerLetter"/>
      <w:start w:val="1"/>
    </w:lvl>
    <w:lvl w:ilvl="1">
      <w:lvlJc w:val="left"/>
      <w:lvlText w:val="(%2)"/>
      <w:numFmt w:val="lowerRoman"/>
      <w:start w:val="23"/>
    </w:lvl>
  </w:abstractNum>
  <w:abstractNum w:abstractNumId="231">
    <w:nsid w:val="4A8DB59C"/>
    <w:multiLevelType w:val="hybridMultilevel"/>
    <w:lvl w:ilvl="0">
      <w:lvlJc w:val="left"/>
      <w:lvlText w:val="(%1)"/>
      <w:numFmt w:val="lowerLetter"/>
      <w:start w:val="2"/>
    </w:lvl>
    <w:lvl w:ilvl="1">
      <w:lvlJc w:val="left"/>
      <w:lvlText w:val="%2"/>
      <w:numFmt w:val="lowerRoman"/>
      <w:start w:val="1"/>
    </w:lvl>
  </w:abstractNum>
  <w:abstractNum w:abstractNumId="232">
    <w:nsid w:val="1AFD9053"/>
    <w:multiLevelType w:val="hybridMultilevel"/>
    <w:lvl w:ilvl="0">
      <w:lvlJc w:val="left"/>
      <w:lvlText w:val="(%1)"/>
      <w:numFmt w:val="lowerLetter"/>
      <w:start w:val="6"/>
    </w:lvl>
  </w:abstractNum>
  <w:abstractNum w:abstractNumId="233">
    <w:nsid w:val="558BB10D"/>
    <w:multiLevelType w:val="hybridMultilevel"/>
    <w:lvl w:ilvl="0">
      <w:lvlJc w:val="left"/>
      <w:lvlText w:val="(%1)"/>
      <w:numFmt w:val="lowerLetter"/>
      <w:start w:val="1"/>
    </w:lvl>
  </w:abstractNum>
  <w:abstractNum w:abstractNumId="234">
    <w:nsid w:val="43B27FA7"/>
    <w:multiLevelType w:val="hybridMultilevel"/>
    <w:lvl w:ilvl="0">
      <w:lvlJc w:val="left"/>
      <w:lvlText w:val="2"/>
      <w:numFmt w:val="bullet"/>
      <w:start w:val="1"/>
    </w:lvl>
  </w:abstractNum>
  <w:abstractNum w:abstractNumId="235">
    <w:nsid w:val="27FADEFA"/>
    <w:multiLevelType w:val="hybridMultilevel"/>
    <w:lvl w:ilvl="0">
      <w:lvlJc w:val="left"/>
      <w:lvlText w:val="(%1)"/>
      <w:numFmt w:val="lowerLetter"/>
      <w:start w:val="1"/>
    </w:lvl>
  </w:abstractNum>
  <w:abstractNum w:abstractNumId="236">
    <w:nsid w:val="78BB805A"/>
    <w:multiLevelType w:val="hybridMultilevel"/>
    <w:lvl w:ilvl="0">
      <w:lvlJc w:val="left"/>
      <w:lvlText w:val="(%1)"/>
      <w:numFmt w:val="lowerLetter"/>
      <w:start w:val="3"/>
    </w:lvl>
  </w:abstractNum>
  <w:abstractNum w:abstractNumId="237">
    <w:nsid w:val="62548FD8"/>
    <w:multiLevelType w:val="hybridMultilevel"/>
    <w:lvl w:ilvl="0">
      <w:lvlJc w:val="left"/>
      <w:lvlText w:val="(%1)"/>
      <w:numFmt w:val="lowerLetter"/>
      <w:start w:val="1"/>
    </w:lvl>
    <w:lvl w:ilvl="1">
      <w:lvlJc w:val="left"/>
      <w:lvlText w:val="(%2)"/>
      <w:numFmt w:val="lowerRoman"/>
      <w:start w:val="1"/>
    </w:lvl>
  </w:abstractNum>
  <w:abstractNum w:abstractNumId="238">
    <w:nsid w:val="FA085B0"/>
    <w:multiLevelType w:val="hybridMultilevel"/>
    <w:lvl w:ilvl="0">
      <w:lvlJc w:val="left"/>
      <w:lvlText w:val="%1"/>
      <w:numFmt w:val="lowerLetter"/>
      <w:start w:val="1"/>
    </w:lvl>
    <w:lvl w:ilvl="1">
      <w:lvlJc w:val="left"/>
      <w:lvlText w:val="(%2)"/>
      <w:numFmt w:val="lowerRoman"/>
      <w:start w:val="4"/>
    </w:lvl>
  </w:abstractNum>
  <w:abstractNum w:abstractNumId="239">
    <w:nsid w:val="4E5DCB5"/>
    <w:multiLevelType w:val="hybridMultilevel"/>
    <w:lvl w:ilvl="0">
      <w:lvlJc w:val="left"/>
      <w:lvlText w:val="(%1)"/>
      <w:numFmt w:val="lowerLetter"/>
      <w:start w:val="6"/>
    </w:lvl>
    <w:lvl w:ilvl="1">
      <w:lvlJc w:val="left"/>
      <w:lvlText w:val="(%2)"/>
      <w:numFmt w:val="lowerRoman"/>
      <w:start w:val="1"/>
    </w:lvl>
  </w:abstractNum>
  <w:abstractNum w:abstractNumId="240">
    <w:nsid w:val="41E96BDB"/>
    <w:multiLevelType w:val="hybridMultilevel"/>
    <w:lvl w:ilvl="0">
      <w:lvlJc w:val="left"/>
      <w:lvlText w:val="3"/>
      <w:numFmt w:val="bullet"/>
      <w:start w:val="1"/>
    </w:lvl>
  </w:abstractNum>
  <w:abstractNum w:abstractNumId="241">
    <w:nsid w:val="331C4250"/>
    <w:multiLevelType w:val="hybridMultilevel"/>
    <w:lvl w:ilvl="0">
      <w:lvlJc w:val="left"/>
      <w:lvlText w:val="(%1)"/>
      <w:numFmt w:val="lowerLetter"/>
      <w:start w:val="1"/>
    </w:lvl>
  </w:abstractNum>
  <w:abstractNum w:abstractNumId="242">
    <w:nsid w:val="1B1493C2"/>
    <w:multiLevelType w:val="hybridMultilevel"/>
    <w:lvl w:ilvl="0">
      <w:lvlJc w:val="left"/>
      <w:lvlText w:val="(%1)"/>
      <w:numFmt w:val="lowerLetter"/>
      <w:start w:val="1"/>
    </w:lvl>
  </w:abstractNum>
  <w:abstractNum w:abstractNumId="243">
    <w:nsid w:val="39F06DFD"/>
    <w:multiLevelType w:val="hybridMultilevel"/>
    <w:lvl w:ilvl="0">
      <w:lvlJc w:val="left"/>
      <w:lvlText w:val="(%1)"/>
      <w:numFmt w:val="lowerRoman"/>
      <w:start w:val="1"/>
    </w:lvl>
  </w:abstractNum>
  <w:abstractNum w:abstractNumId="244">
    <w:nsid w:val="14802F5D"/>
    <w:multiLevelType w:val="hybridMultilevel"/>
    <w:lvl w:ilvl="0">
      <w:lvlJc w:val="left"/>
      <w:lvlText w:val="%1"/>
      <w:numFmt w:val="lowerLetter"/>
      <w:start w:val="1"/>
    </w:lvl>
    <w:lvl w:ilvl="1">
      <w:lvlJc w:val="left"/>
      <w:lvlText w:val="(%2)"/>
      <w:numFmt w:val="lowerRoman"/>
      <w:start w:val="2"/>
    </w:lvl>
  </w:abstractNum>
  <w:abstractNum w:abstractNumId="245">
    <w:nsid w:val="2774A209"/>
    <w:multiLevelType w:val="hybridMultilevel"/>
    <w:lvl w:ilvl="0">
      <w:lvlJc w:val="left"/>
      <w:lvlText w:val="(%1)"/>
      <w:numFmt w:val="lowerLetter"/>
      <w:start w:val="2"/>
    </w:lvl>
    <w:lvl w:ilvl="1">
      <w:lvlJc w:val="left"/>
      <w:lvlText w:val="(%2)"/>
      <w:numFmt w:val="lowerRoman"/>
      <w:start w:val="1"/>
    </w:lvl>
  </w:abstractNum>
  <w:abstractNum w:abstractNumId="246">
    <w:nsid w:val="3785655A"/>
    <w:multiLevelType w:val="hybridMultilevel"/>
    <w:lvl w:ilvl="0">
      <w:lvlJc w:val="left"/>
      <w:lvlText w:val="5"/>
      <w:numFmt w:val="bullet"/>
      <w:start w:val="1"/>
    </w:lvl>
  </w:abstractNum>
  <w:abstractNum w:abstractNumId="247">
    <w:nsid w:val="B2172A"/>
    <w:multiLevelType w:val="hybridMultilevel"/>
    <w:lvl w:ilvl="0">
      <w:lvlJc w:val="left"/>
      <w:lvlText w:val="(%1)"/>
      <w:numFmt w:val="lowerLetter"/>
      <w:start w:val="1"/>
    </w:lvl>
    <w:lvl w:ilvl="1">
      <w:lvlJc w:val="left"/>
      <w:lvlText w:val="(%2)"/>
      <w:numFmt w:val="lowerRoman"/>
      <w:start w:val="1"/>
    </w:lvl>
  </w:abstractNum>
  <w:abstractNum w:abstractNumId="248">
    <w:nsid w:val="532C34A5"/>
    <w:multiLevelType w:val="hybridMultilevel"/>
    <w:lvl w:ilvl="0">
      <w:lvlJc w:val="left"/>
      <w:lvlText w:val="(%1)"/>
      <w:numFmt w:val="lowerLetter"/>
      <w:start w:val="1"/>
    </w:lvl>
    <w:lvl w:ilvl="1">
      <w:lvlJc w:val="left"/>
      <w:lvlText w:val="(%2)"/>
      <w:numFmt w:val="lowerRoman"/>
      <w:start w:val="1"/>
    </w:lvl>
  </w:abstractNum>
  <w:abstractNum w:abstractNumId="249">
    <w:nsid w:val="102809E2"/>
    <w:multiLevelType w:val="hybridMultilevel"/>
    <w:lvl w:ilvl="0">
      <w:lvlJc w:val="left"/>
      <w:lvlText w:val="(%1)"/>
      <w:numFmt w:val="lowerLetter"/>
      <w:start w:val="5"/>
    </w:lvl>
    <w:lvl w:ilvl="1">
      <w:lvlJc w:val="left"/>
      <w:lvlText w:val="(%2)"/>
      <w:numFmt w:val="lowerRoman"/>
      <w:start w:val="1"/>
    </w:lvl>
  </w:abstractNum>
  <w:abstractNum w:abstractNumId="250">
    <w:nsid w:val="3B2125A3"/>
    <w:multiLevelType w:val="hybridMultilevel"/>
    <w:lvl w:ilvl="0">
      <w:lvlJc w:val="left"/>
      <w:lvlText w:val="(%1)"/>
      <w:numFmt w:val="lowerLetter"/>
      <w:start w:val="1"/>
    </w:lvl>
  </w:abstractNum>
  <w:abstractNum w:abstractNumId="251">
    <w:nsid w:val="AC68FFB"/>
    <w:multiLevelType w:val="hybridMultilevel"/>
    <w:lvl w:ilvl="0">
      <w:lvlJc w:val="left"/>
      <w:lvlText w:val="6"/>
      <w:numFmt w:val="bullet"/>
      <w:start w:val="1"/>
    </w:lvl>
  </w:abstractNum>
  <w:abstractNum w:abstractNumId="252">
    <w:nsid w:val="63DF3FB7"/>
    <w:multiLevelType w:val="hybridMultilevel"/>
    <w:lvl w:ilvl="0">
      <w:lvlJc w:val="left"/>
      <w:lvlText w:val="(%1)"/>
      <w:numFmt w:val="lowerLetter"/>
      <w:start w:val="1"/>
    </w:lvl>
  </w:abstractNum>
  <w:abstractNum w:abstractNumId="253">
    <w:nsid w:val="64996E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4">
    <w:nsid w:val="57A37D4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5">
    <w:nsid w:val="74824D54"/>
    <w:multiLevelType w:val="hybridMultilevel"/>
    <w:lvl w:ilvl="0">
      <w:lvlJc w:val="left"/>
      <w:lvlText w:val="(%1)"/>
      <w:numFmt w:val="lowerLetter"/>
      <w:start w:val="1"/>
    </w:lvl>
  </w:abstractNum>
  <w:abstractNum w:abstractNumId="256">
    <w:nsid w:val="6F00529A"/>
    <w:multiLevelType w:val="hybridMultilevel"/>
    <w:lvl w:ilvl="0">
      <w:lvlJc w:val="left"/>
      <w:lvlText w:val="7"/>
      <w:numFmt w:val="bullet"/>
      <w:start w:val="1"/>
    </w:lvl>
  </w:abstractNum>
  <w:abstractNum w:abstractNumId="257">
    <w:nsid w:val="805B331"/>
    <w:multiLevelType w:val="hybridMultilevel"/>
    <w:lvl w:ilvl="0">
      <w:lvlJc w:val="left"/>
      <w:lvlText w:val="(%1)"/>
      <w:numFmt w:val="lowerLetter"/>
      <w:start w:val="1"/>
    </w:lvl>
  </w:abstractNum>
  <w:abstractNum w:abstractNumId="258">
    <w:nsid w:val="60A1463"/>
    <w:multiLevelType w:val="hybridMultilevel"/>
    <w:lvl w:ilvl="0">
      <w:lvlJc w:val="left"/>
      <w:lvlText w:val="(%1)"/>
      <w:numFmt w:val="lowerLetter"/>
      <w:start w:val="1"/>
    </w:lvl>
    <w:lvl w:ilvl="1">
      <w:lvlJc w:val="left"/>
      <w:lvlText w:val="(%2)"/>
      <w:numFmt w:val="lowerRoman"/>
      <w:start w:val="1"/>
    </w:lvl>
  </w:abstractNum>
  <w:abstractNum w:abstractNumId="259">
    <w:nsid w:val="43773132"/>
    <w:multiLevelType w:val="hybridMultilevel"/>
    <w:lvl w:ilvl="0">
      <w:lvlJc w:val="left"/>
      <w:lvlText w:val="(%1)"/>
      <w:numFmt w:val="lowerLetter"/>
      <w:start w:val="1"/>
    </w:lvl>
    <w:lvl w:ilvl="1">
      <w:lvlJc w:val="left"/>
      <w:lvlText w:val="(%2)"/>
      <w:numFmt w:val="lowerRoman"/>
      <w:start w:val="1"/>
    </w:lvl>
  </w:abstractNum>
  <w:abstractNum w:abstractNumId="260">
    <w:nsid w:val="16AC4B23"/>
    <w:multiLevelType w:val="hybridMultilevel"/>
    <w:lvl w:ilvl="0">
      <w:lvlJc w:val="left"/>
      <w:lvlText w:val="(%1)"/>
      <w:numFmt w:val="lowerLetter"/>
      <w:start w:val="1"/>
    </w:lvl>
    <w:lvl w:ilvl="1">
      <w:lvlJc w:val="left"/>
      <w:lvlText w:val="(%2)"/>
      <w:numFmt w:val="lowerRoman"/>
      <w:start w:val="1"/>
    </w:lvl>
  </w:abstractNum>
  <w:abstractNum w:abstractNumId="261">
    <w:nsid w:val="76C44E4E"/>
    <w:multiLevelType w:val="hybridMultilevel"/>
    <w:lvl w:ilvl="0">
      <w:lvlJc w:val="left"/>
      <w:lvlText w:val="(%1)"/>
      <w:numFmt w:val="lowerLetter"/>
      <w:start w:val="3"/>
    </w:lvl>
    <w:lvl w:ilvl="1">
      <w:lvlJc w:val="left"/>
      <w:lvlText w:val="(%2)"/>
      <w:numFmt w:val="lowerRoman"/>
      <w:start w:val="1"/>
    </w:lvl>
  </w:abstractNum>
  <w:abstractNum w:abstractNumId="262">
    <w:nsid w:val="E04E6CE"/>
    <w:multiLevelType w:val="hybridMultilevel"/>
    <w:lvl w:ilvl="0">
      <w:lvlJc w:val="left"/>
      <w:lvlText w:val="(%1)"/>
      <w:numFmt w:val="lowerLetter"/>
      <w:start w:val="1"/>
    </w:lvl>
    <w:lvl w:ilvl="1">
      <w:lvlJc w:val="left"/>
      <w:lvlText w:val="(%2)"/>
      <w:numFmt w:val="lowerRoman"/>
      <w:start w:val="1"/>
    </w:lvl>
  </w:abstractNum>
  <w:abstractNum w:abstractNumId="263">
    <w:nsid w:val="31A9DB76"/>
    <w:multiLevelType w:val="hybridMultilevel"/>
    <w:lvl w:ilvl="0">
      <w:lvlJc w:val="left"/>
      <w:lvlText w:val="(%1)"/>
      <w:numFmt w:val="lowerLetter"/>
      <w:start w:val="1"/>
    </w:lvl>
  </w:abstractNum>
  <w:abstractNum w:abstractNumId="264">
    <w:nsid w:val="4C4FFF5B"/>
    <w:multiLevelType w:val="hybridMultilevel"/>
    <w:lvl w:ilvl="0">
      <w:lvlJc w:val="left"/>
      <w:lvlText w:val="(%1)"/>
      <w:numFmt w:val="lowerLetter"/>
      <w:start w:val="6"/>
    </w:lvl>
  </w:abstractNum>
  <w:abstractNum w:abstractNumId="265">
    <w:nsid w:val="51B76675"/>
    <w:multiLevelType w:val="hybridMultilevel"/>
    <w:lvl w:ilvl="0">
      <w:lvlJc w:val="left"/>
      <w:lvlText w:val="(%1)"/>
      <w:numFmt w:val="lowerLetter"/>
      <w:start w:val="1"/>
    </w:lvl>
  </w:abstractNum>
  <w:abstractNum w:abstractNumId="266">
    <w:nsid w:val="59A4BA71"/>
    <w:multiLevelType w:val="hybridMultilevel"/>
    <w:lvl w:ilvl="0">
      <w:lvlJc w:val="left"/>
      <w:lvlText w:val="8"/>
      <w:numFmt w:val="bullet"/>
      <w:start w:val="1"/>
    </w:lvl>
  </w:abstractNum>
  <w:abstractNum w:abstractNumId="267">
    <w:nsid w:val="450B7FB6"/>
    <w:multiLevelType w:val="hybridMultilevel"/>
    <w:lvl w:ilvl="0">
      <w:lvlJc w:val="left"/>
      <w:lvlText w:val="(%1)"/>
      <w:numFmt w:val="lowerLetter"/>
      <w:start w:val="1"/>
    </w:lvl>
  </w:abstractNum>
  <w:abstractNum w:abstractNumId="268">
    <w:nsid w:val="340BF64D"/>
    <w:multiLevelType w:val="hybridMultilevel"/>
    <w:lvl w:ilvl="0">
      <w:lvlJc w:val="left"/>
      <w:lvlText w:val="(%1)"/>
      <w:numFmt w:val="lowerLetter"/>
      <w:start w:val="1"/>
    </w:lvl>
    <w:lvl w:ilvl="1">
      <w:lvlJc w:val="left"/>
      <w:lvlText w:val="(%2)"/>
      <w:numFmt w:val="lowerRoman"/>
      <w:start w:val="1"/>
    </w:lvl>
  </w:abstractNum>
  <w:abstractNum w:abstractNumId="269">
    <w:nsid w:val="69454021"/>
    <w:multiLevelType w:val="hybridMultilevel"/>
    <w:lvl w:ilvl="0">
      <w:lvlJc w:val="left"/>
      <w:lvlText w:val="9"/>
      <w:numFmt w:val="bullet"/>
      <w:start w:val="1"/>
    </w:lvl>
    <w:lvl w:ilvl="1">
      <w:lvlJc w:val="left"/>
      <w:lvlText w:val="(%2)"/>
      <w:numFmt w:val="lowerLetter"/>
      <w:start w:val="1"/>
    </w:lvl>
  </w:abstractNum>
  <w:abstractNum w:abstractNumId="270">
    <w:nsid w:val="49F15C6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1">
    <w:nsid w:val="75F56228"/>
    <w:multiLevelType w:val="hybridMultilevel"/>
    <w:lvl w:ilvl="0">
      <w:lvlJc w:val="left"/>
      <w:lvlText w:val="(%1)"/>
      <w:numFmt w:val="lowerLetter"/>
      <w:start w:val="1"/>
    </w:lvl>
    <w:lvl w:ilvl="1">
      <w:lvlJc w:val="left"/>
      <w:lvlText w:val="(%2)"/>
      <w:numFmt w:val="lowerRoman"/>
      <w:start w:val="1"/>
    </w:lvl>
  </w:abstractNum>
  <w:abstractNum w:abstractNumId="272">
    <w:nsid w:val="1C618271"/>
    <w:multiLevelType w:val="hybridMultilevel"/>
    <w:lvl w:ilvl="0">
      <w:lvlJc w:val="left"/>
      <w:lvlText w:val="(%1)"/>
      <w:numFmt w:val="lowerLetter"/>
      <w:start w:val="4"/>
    </w:lvl>
    <w:lvl w:ilvl="1">
      <w:lvlJc w:val="left"/>
      <w:lvlText w:val="(%2)"/>
      <w:numFmt w:val="lowerRoman"/>
      <w:start w:val="1"/>
    </w:lvl>
  </w:abstractNum>
  <w:abstractNum w:abstractNumId="273">
    <w:nsid w:val="6505F02E"/>
    <w:multiLevelType w:val="hybridMultilevel"/>
    <w:lvl w:ilvl="0">
      <w:lvlJc w:val="left"/>
      <w:lvlText w:val="(%1)"/>
      <w:numFmt w:val="lowerLetter"/>
      <w:start w:val="1"/>
    </w:lvl>
  </w:abstractNum>
  <w:abstractNum w:abstractNumId="274">
    <w:nsid w:val="2FE5D025"/>
    <w:multiLevelType w:val="hybridMultilevel"/>
    <w:lvl w:ilvl="0">
      <w:lvlJc w:val="left"/>
      <w:lvlText w:val="(%1)"/>
      <w:numFmt w:val="lowerLetter"/>
      <w:start w:val="1"/>
    </w:lvl>
  </w:abstractNum>
  <w:abstractNum w:abstractNumId="275">
    <w:nsid w:val="30E1B1CF"/>
    <w:multiLevelType w:val="hybridMultilevel"/>
    <w:lvl w:ilvl="0">
      <w:lvlJc w:val="left"/>
      <w:lvlText w:val="%1"/>
      <w:numFmt w:val="decimal"/>
      <w:start w:val="12"/>
    </w:lvl>
    <w:lvl w:ilvl="1">
      <w:lvlJc w:val="left"/>
      <w:lvlText w:val="(%2)"/>
      <w:numFmt w:val="lowerLetter"/>
      <w:start w:val="1"/>
    </w:lvl>
  </w:abstractNum>
  <w:abstractNum w:abstractNumId="276">
    <w:nsid w:val="C7A9237"/>
    <w:multiLevelType w:val="hybridMultilevel"/>
    <w:lvl w:ilvl="0">
      <w:lvlJc w:val="left"/>
      <w:lvlText w:val="(%1)"/>
      <w:numFmt w:val="lowerLetter"/>
      <w:start w:val="2"/>
    </w:lvl>
  </w:abstractNum>
  <w:abstractNum w:abstractNumId="277">
    <w:nsid w:val="676B3580"/>
    <w:multiLevelType w:val="hybridMultilevel"/>
    <w:lvl w:ilvl="0">
      <w:lvlJc w:val="left"/>
      <w:lvlText w:val="(%1)"/>
      <w:numFmt w:val="lowerLetter"/>
      <w:start w:val="1"/>
    </w:lvl>
  </w:abstractNum>
  <w:abstractNum w:abstractNumId="278">
    <w:nsid w:val="3193C8F9"/>
    <w:multiLevelType w:val="hybridMultilevel"/>
    <w:lvl w:ilvl="0">
      <w:lvlJc w:val="left"/>
      <w:lvlText w:val="(%1)"/>
      <w:numFmt w:val="lowerLetter"/>
      <w:start w:val="1"/>
    </w:lvl>
  </w:abstractNum>
  <w:abstractNum w:abstractNumId="279">
    <w:nsid w:val="5FA6C6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0">
    <w:nsid w:val="77933F62"/>
    <w:multiLevelType w:val="hybridMultilevel"/>
    <w:lvl w:ilvl="0">
      <w:lvlJc w:val="left"/>
      <w:lvlText w:val="(%1)"/>
      <w:numFmt w:val="lowerLetter"/>
      <w:start w:val="1"/>
    </w:lvl>
  </w:abstractNum>
  <w:abstractNum w:abstractNumId="281">
    <w:nsid w:val="6CB4EE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2">
    <w:nsid w:val="6A6D56D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3">
    <w:nsid w:val="5B727F1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84">
    <w:nsid w:val="514E5CB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5">
    <w:nsid w:val="4210D41E"/>
    <w:multiLevelType w:val="hybridMultilevel"/>
    <w:lvl w:ilvl="0">
      <w:lvlJc w:val="left"/>
      <w:lvlText w:val="(%1)"/>
      <w:numFmt w:val="lowerLetter"/>
      <w:start w:val="8"/>
    </w:lvl>
  </w:abstractNum>
  <w:abstractNum w:abstractNumId="286">
    <w:nsid w:val="4FF4CC6D"/>
    <w:multiLevelType w:val="hybridMultilevel"/>
    <w:lvl w:ilvl="0">
      <w:lvlJc w:val="left"/>
      <w:lvlText w:val="(%1)"/>
      <w:numFmt w:val="lowerLetter"/>
      <w:start w:val="1"/>
    </w:lvl>
  </w:abstractNum>
  <w:abstractNum w:abstractNumId="287">
    <w:nsid w:val="404EAF4A"/>
    <w:multiLevelType w:val="hybridMultilevel"/>
    <w:lvl w:ilvl="0">
      <w:lvlJc w:val="left"/>
      <w:lvlText w:val="(%1)"/>
      <w:numFmt w:val="lowerLetter"/>
      <w:start w:val="1"/>
    </w:lvl>
  </w:abstractNum>
  <w:abstractNum w:abstractNumId="288">
    <w:nsid w:val="4A16874F"/>
    <w:multiLevelType w:val="hybridMultilevel"/>
    <w:lvl w:ilvl="0">
      <w:lvlJc w:val="left"/>
      <w:lvlText w:val="%1"/>
      <w:numFmt w:val="lowerLetter"/>
      <w:start w:val="1"/>
    </w:lvl>
    <w:lvl w:ilvl="1">
      <w:lvlJc w:val="left"/>
      <w:lvlText w:val="(%2)"/>
      <w:numFmt w:val="lowerRoman"/>
      <w:start w:val="1"/>
    </w:lvl>
  </w:abstractNum>
  <w:abstractNum w:abstractNumId="289">
    <w:nsid w:val="55FEE0D1"/>
    <w:multiLevelType w:val="hybridMultilevel"/>
    <w:lvl w:ilvl="0">
      <w:lvlJc w:val="left"/>
      <w:lvlText w:val="(%1)"/>
      <w:numFmt w:val="lowerLetter"/>
      <w:start w:val="3"/>
    </w:lvl>
    <w:lvl w:ilvl="1">
      <w:lvlJc w:val="left"/>
      <w:lvlText w:val="%2"/>
      <w:numFmt w:val="lowerRoman"/>
      <w:start w:val="1"/>
    </w:lvl>
  </w:abstractNum>
  <w:abstractNum w:abstractNumId="290">
    <w:nsid w:val="3C5E07C"/>
    <w:multiLevelType w:val="hybridMultilevel"/>
    <w:lvl w:ilvl="0">
      <w:lvlJc w:val="left"/>
      <w:lvlText w:val="(%1)"/>
      <w:numFmt w:val="lowerLetter"/>
      <w:start w:val="1"/>
    </w:lvl>
  </w:abstractNum>
  <w:abstractNum w:abstractNumId="291">
    <w:nsid w:val="60C2D273"/>
    <w:multiLevelType w:val="hybridMultilevel"/>
    <w:lvl w:ilvl="0">
      <w:lvlJc w:val="left"/>
      <w:lvlText w:val="(%1)"/>
      <w:numFmt w:val="lowerLetter"/>
      <w:start w:val="1"/>
    </w:lvl>
    <w:lvl w:ilvl="1">
      <w:lvlJc w:val="left"/>
      <w:lvlText w:val="(%2)"/>
      <w:numFmt w:val="lowerRoman"/>
      <w:start w:val="1"/>
    </w:lvl>
  </w:abstractNum>
  <w:abstractNum w:abstractNumId="292">
    <w:nsid w:val="4CC32F1F"/>
    <w:multiLevelType w:val="hybridMultilevel"/>
    <w:lvl w:ilvl="0">
      <w:lvlJc w:val="left"/>
      <w:lvlText w:val="(%1)"/>
      <w:numFmt w:val="lowerLetter"/>
      <w:start w:val="1"/>
    </w:lvl>
  </w:abstractNum>
  <w:abstractNum w:abstractNumId="293">
    <w:nsid w:val="11CAC74A"/>
    <w:multiLevelType w:val="hybridMultilevel"/>
    <w:lvl w:ilvl="0">
      <w:lvlJc w:val="left"/>
      <w:lvlText w:val="(%1)"/>
      <w:numFmt w:val="lowerLetter"/>
      <w:start w:val="1"/>
    </w:lvl>
    <w:lvl w:ilvl="1">
      <w:lvlJc w:val="left"/>
      <w:lvlText w:val="(%2)"/>
      <w:numFmt w:val="lowerRoman"/>
      <w:start w:val="1"/>
    </w:lvl>
  </w:abstractNum>
  <w:abstractNum w:abstractNumId="294">
    <w:nsid w:val="126CADE9"/>
    <w:multiLevelType w:val="hybridMultilevel"/>
    <w:lvl w:ilvl="0">
      <w:lvlJc w:val="left"/>
      <w:lvlText w:val="(%1)"/>
      <w:numFmt w:val="lowerLetter"/>
      <w:start w:val="1"/>
    </w:lvl>
    <w:lvl w:ilvl="1">
      <w:lvlJc w:val="left"/>
      <w:lvlText w:val="(%2)"/>
      <w:numFmt w:val="lowerRoman"/>
      <w:start w:val="1"/>
    </w:lvl>
  </w:abstractNum>
  <w:abstractNum w:abstractNumId="295">
    <w:nsid w:val="19132E7B"/>
    <w:multiLevelType w:val="hybridMultilevel"/>
    <w:lvl w:ilvl="0">
      <w:lvlJc w:val="left"/>
      <w:lvlText w:val="(%1)"/>
      <w:numFmt w:val="lowerLetter"/>
      <w:start w:val="1"/>
    </w:lvl>
    <w:lvl w:ilvl="1">
      <w:lvlJc w:val="left"/>
      <w:lvlText w:val="(%2)"/>
      <w:numFmt w:val="lowerRoman"/>
      <w:start w:val="1"/>
    </w:lvl>
  </w:abstractNum>
  <w:abstractNum w:abstractNumId="296">
    <w:nsid w:val="63822DC0"/>
    <w:multiLevelType w:val="hybridMultilevel"/>
    <w:lvl w:ilvl="0">
      <w:lvlJc w:val="left"/>
      <w:lvlText w:val="(%1)"/>
      <w:numFmt w:val="lowerLetter"/>
      <w:start w:val="1"/>
    </w:lvl>
    <w:lvl w:ilvl="1">
      <w:lvlJc w:val="left"/>
      <w:lvlText w:val="(%2)"/>
      <w:numFmt w:val="lowerRoman"/>
      <w:start w:val="1"/>
    </w:lvl>
  </w:abstractNum>
  <w:abstractNum w:abstractNumId="297">
    <w:nsid w:val="6C11685A"/>
    <w:multiLevelType w:val="hybridMultilevel"/>
    <w:lvl w:ilvl="0">
      <w:lvlJc w:val="left"/>
      <w:lvlText w:val="(%1)"/>
      <w:numFmt w:val="lowerLetter"/>
      <w:start w:val="1"/>
    </w:lvl>
    <w:lvl w:ilvl="1">
      <w:lvlJc w:val="left"/>
      <w:lvlText w:val="(%2)"/>
      <w:numFmt w:val="lowerRoman"/>
      <w:start w:val="1"/>
    </w:lvl>
  </w:abstractNum>
  <w:abstractNum w:abstractNumId="298">
    <w:nsid w:val="5E1EAE31"/>
    <w:multiLevelType w:val="hybridMultilevel"/>
    <w:lvl w:ilvl="0">
      <w:lvlJc w:val="left"/>
      <w:lvlText w:val="(%1)"/>
      <w:numFmt w:val="lowerRoman"/>
      <w:start w:val="5"/>
    </w:lvl>
  </w:abstractNum>
  <w:abstractNum w:abstractNumId="299">
    <w:nsid w:val="178E240D"/>
    <w:multiLevelType w:val="hybridMultilevel"/>
    <w:lvl w:ilvl="0">
      <w:lvlJc w:val="left"/>
      <w:lvlText w:val="(%1)"/>
      <w:numFmt w:val="lowerLetter"/>
      <w:start w:val="2"/>
    </w:lvl>
  </w:abstractNum>
  <w:abstractNum w:abstractNumId="300">
    <w:nsid w:val="5556A87B"/>
    <w:multiLevelType w:val="hybridMultilevel"/>
    <w:lvl w:ilvl="0">
      <w:lvlJc w:val="left"/>
      <w:lvlText w:val="%1"/>
      <w:numFmt w:val="decimal"/>
      <w:start w:val="15"/>
    </w:lvl>
    <w:lvl w:ilvl="1">
      <w:lvlJc w:val="left"/>
      <w:lvlText w:val="(%2)"/>
      <w:numFmt w:val="lowerLetter"/>
      <w:start w:val="1"/>
    </w:lvl>
  </w:abstractNum>
  <w:abstractNum w:abstractNumId="301">
    <w:nsid w:val="28100A9C"/>
    <w:multiLevelType w:val="hybridMultilevel"/>
    <w:lvl w:ilvl="0">
      <w:lvlJc w:val="left"/>
      <w:lvlText w:val="(%1)"/>
      <w:numFmt w:val="lowerLetter"/>
      <w:start w:val="1"/>
    </w:lvl>
  </w:abstractNum>
  <w:abstractNum w:abstractNumId="302">
    <w:nsid w:val="D838636"/>
    <w:multiLevelType w:val="hybridMultilevel"/>
    <w:lvl w:ilvl="0">
      <w:lvlJc w:val="left"/>
      <w:lvlText w:val="%1"/>
      <w:numFmt w:val="decimal"/>
      <w:start w:val="16"/>
    </w:lvl>
  </w:abstractNum>
  <w:abstractNum w:abstractNumId="303">
    <w:nsid w:val="71B82AED"/>
    <w:multiLevelType w:val="hybridMultilevel"/>
    <w:lvl w:ilvl="0">
      <w:lvlJc w:val="left"/>
      <w:lvlText w:val="(%1)"/>
      <w:numFmt w:val="lowerLetter"/>
      <w:start w:val="1"/>
    </w:lvl>
  </w:abstractNum>
  <w:abstractNum w:abstractNumId="304">
    <w:nsid w:val="D15FACA"/>
    <w:multiLevelType w:val="hybridMultilevel"/>
    <w:lvl w:ilvl="0">
      <w:lvlJc w:val="left"/>
      <w:lvlText w:val="(%1)"/>
      <w:numFmt w:val="lowerLetter"/>
      <w:start w:val="1"/>
    </w:lvl>
  </w:abstractNum>
  <w:abstractNum w:abstractNumId="305">
    <w:nsid w:val="3D69565B"/>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9"/>
    </w:lvl>
  </w:abstractNum>
  <w:abstractNum w:abstractNumId="306">
    <w:nsid w:val="2299DCBC"/>
    <w:multiLevelType w:val="hybridMultilevel"/>
    <w:lvl w:ilvl="0">
      <w:lvlJc w:val="left"/>
      <w:lvlText w:val="(%1)"/>
      <w:numFmt w:val="upperLetter"/>
      <w:start w:val="2"/>
    </w:lvl>
  </w:abstractNum>
  <w:abstractNum w:abstractNumId="307">
    <w:nsid w:val="19908D02"/>
    <w:multiLevelType w:val="hybridMultilevel"/>
    <w:lvl w:ilvl="0">
      <w:lvlJc w:val="left"/>
      <w:lvlText w:val="(%1)"/>
      <w:numFmt w:val="lowerRoman"/>
      <w:start w:val="2"/>
    </w:lvl>
    <w:lvl w:ilvl="1">
      <w:lvlJc w:val="left"/>
      <w:lvlText w:val="(%2)"/>
      <w:numFmt w:val="decimal"/>
      <w:start w:val="1"/>
    </w:lvl>
  </w:abstractNum>
  <w:abstractNum w:abstractNumId="308">
    <w:nsid w:val="24D48BDB"/>
    <w:multiLevelType w:val="hybridMultilevel"/>
    <w:lvl w:ilvl="0">
      <w:lvlJc w:val="left"/>
      <w:lvlText w:val="(%1)"/>
      <w:numFmt w:val="lowerLetter"/>
      <w:start w:val="1"/>
    </w:lvl>
  </w:abstractNum>
  <w:abstractNum w:abstractNumId="309">
    <w:nsid w:val="542DA5B5"/>
    <w:multiLevelType w:val="hybridMultilevel"/>
    <w:lvl w:ilvl="0">
      <w:lvlJc w:val="left"/>
      <w:lvlText w:val="(%1)"/>
      <w:numFmt w:val="lowerRoman"/>
      <w:start w:val="1"/>
    </w:lvl>
  </w:abstractNum>
  <w:abstractNum w:abstractNumId="310">
    <w:nsid w:val="793753DE"/>
    <w:multiLevelType w:val="hybridMultilevel"/>
    <w:lvl w:ilvl="0">
      <w:lvlJc w:val="left"/>
      <w:lvlText w:val="(%1)"/>
      <w:numFmt w:val="lowerLetter"/>
      <w:start w:val="1"/>
    </w:lvl>
  </w:abstractNum>
  <w:abstractNum w:abstractNumId="311">
    <w:nsid w:val="1C67CB3D"/>
    <w:multiLevelType w:val="hybridMultilevel"/>
    <w:lvl w:ilvl="0">
      <w:lvlJc w:val="left"/>
      <w:lvlText w:val="(%1)"/>
      <w:numFmt w:val="lowerLetter"/>
      <w:start w:val="1"/>
    </w:lvl>
  </w:abstractNum>
  <w:abstractNum w:abstractNumId="312">
    <w:nsid w:val="40E29452"/>
    <w:multiLevelType w:val="hybridMultilevel"/>
    <w:lvl w:ilvl="0">
      <w:lvlJc w:val="left"/>
      <w:lvlText w:val="(%1)"/>
      <w:numFmt w:val="lowerLetter"/>
      <w:start w:val="1"/>
    </w:lvl>
  </w:abstractNum>
  <w:abstractNum w:abstractNumId="313">
    <w:nsid w:val="63A4AAB6"/>
    <w:multiLevelType w:val="hybridMultilevel"/>
    <w:lvl w:ilvl="0">
      <w:lvlJc w:val="left"/>
      <w:lvlText w:val="(%1)"/>
      <w:numFmt w:val="lowerLetter"/>
      <w:start w:val="2"/>
    </w:lvl>
    <w:lvl w:ilvl="1">
      <w:lvlJc w:val="left"/>
      <w:lvlText w:val="(%2)"/>
      <w:numFmt w:val="lowerRoman"/>
      <w:start w:val="1"/>
    </w:lvl>
  </w:abstractNum>
  <w:abstractNum w:abstractNumId="314">
    <w:nsid w:val="77DA4A57"/>
    <w:multiLevelType w:val="hybridMultilevel"/>
    <w:lvl w:ilvl="0">
      <w:lvlJc w:val="left"/>
      <w:lvlText w:val="%1"/>
      <w:numFmt w:val="decimal"/>
      <w:start w:val="18"/>
    </w:lvl>
  </w:abstractNum>
  <w:abstractNum w:abstractNumId="315">
    <w:nsid w:val="1230F102"/>
    <w:multiLevelType w:val="hybridMultilevel"/>
    <w:lvl w:ilvl="0">
      <w:lvlJc w:val="left"/>
      <w:lvlText w:val="(%1)"/>
      <w:numFmt w:val="lowerLetter"/>
      <w:start w:val="1"/>
    </w:lvl>
  </w:abstractNum>
  <w:abstractNum w:abstractNumId="316">
    <w:nsid w:val="25B57ED4"/>
    <w:multiLevelType w:val="hybridMultilevel"/>
    <w:lvl w:ilvl="0">
      <w:lvlJc w:val="left"/>
      <w:lvlText w:val="(%1)"/>
      <w:numFmt w:val="lowerLetter"/>
      <w:start w:val="1"/>
    </w:lvl>
  </w:abstractNum>
  <w:abstractNum w:abstractNumId="317">
    <w:nsid w:val="47CF16C4"/>
    <w:multiLevelType w:val="hybridMultilevel"/>
    <w:lvl w:ilvl="0">
      <w:lvlJc w:val="left"/>
      <w:lvlText w:val="(%1)"/>
      <w:numFmt w:val="lowerLetter"/>
      <w:start w:val="2"/>
    </w:lvl>
  </w:abstractNum>
  <w:abstractNum w:abstractNumId="318">
    <w:nsid w:val="527FA04C"/>
    <w:multiLevelType w:val="hybridMultilevel"/>
    <w:lvl w:ilvl="0">
      <w:lvlJc w:val="left"/>
      <w:lvlText w:val="(%1)"/>
      <w:numFmt w:val="lowerLetter"/>
      <w:start w:val="1"/>
    </w:lvl>
  </w:abstractNum>
  <w:abstractNum w:abstractNumId="319">
    <w:nsid w:val="6FCC0624"/>
    <w:multiLevelType w:val="hybridMultilevel"/>
    <w:lvl w:ilvl="0">
      <w:lvlJc w:val="left"/>
      <w:lvlText w:val="(%1)"/>
      <w:numFmt w:val="lowerLetter"/>
      <w:start w:val="1"/>
    </w:lvl>
    <w:lvl w:ilvl="1">
      <w:lvlJc w:val="left"/>
      <w:lvlText w:val="(%2)"/>
      <w:numFmt w:val="lowerRoman"/>
      <w:start w:val="1"/>
    </w:lvl>
  </w:abstractNum>
  <w:abstractNum w:abstractNumId="320">
    <w:nsid w:val="1DCDF795"/>
    <w:multiLevelType w:val="hybridMultilevel"/>
    <w:lvl w:ilvl="0">
      <w:lvlJc w:val="left"/>
      <w:lvlText w:val="(%1)"/>
      <w:numFmt w:val="lowerLetter"/>
      <w:start w:val="2"/>
    </w:lvl>
  </w:abstractNum>
  <w:abstractNum w:abstractNumId="321">
    <w:nsid w:val="564580C8"/>
    <w:multiLevelType w:val="hybridMultilevel"/>
    <w:lvl w:ilvl="0">
      <w:lvlJc w:val="left"/>
      <w:lvlText w:val="(%1)"/>
      <w:numFmt w:val="lowerLetter"/>
      <w:start w:val="1"/>
    </w:lvl>
  </w:abstractNum>
  <w:abstractNum w:abstractNumId="322">
    <w:nsid w:val="508ED897"/>
    <w:multiLevelType w:val="hybridMultilevel"/>
    <w:lvl w:ilvl="0">
      <w:lvlJc w:val="left"/>
      <w:lvlText w:val="(%1)"/>
      <w:numFmt w:val="lowerLetter"/>
      <w:start w:val="2"/>
    </w:lvl>
  </w:abstractNum>
  <w:abstractNum w:abstractNumId="323">
    <w:nsid w:val="6A9126B5"/>
    <w:multiLevelType w:val="hybridMultilevel"/>
    <w:lvl w:ilvl="0">
      <w:lvlJc w:val="left"/>
      <w:lvlText w:val="(%1)"/>
      <w:numFmt w:val="lowerLetter"/>
      <w:start w:val="1"/>
    </w:lvl>
  </w:abstractNum>
  <w:abstractNum w:abstractNumId="324">
    <w:nsid w:val="68104812"/>
    <w:multiLevelType w:val="hybridMultilevel"/>
    <w:lvl w:ilvl="0">
      <w:lvlJc w:val="left"/>
      <w:lvlText w:val="(%1)"/>
      <w:numFmt w:val="lowerLetter"/>
      <w:start w:val="1"/>
    </w:lvl>
  </w:abstractNum>
  <w:abstractNum w:abstractNumId="325">
    <w:nsid w:val="62FB8680"/>
    <w:multiLevelType w:val="hybridMultilevel"/>
    <w:lvl w:ilvl="0">
      <w:lvlJc w:val="left"/>
      <w:lvlText w:val="(%1)"/>
      <w:numFmt w:val="lowerLetter"/>
      <w:start w:val="1"/>
    </w:lvl>
  </w:abstractNum>
  <w:abstractNum w:abstractNumId="326">
    <w:nsid w:val="3A45530"/>
    <w:multiLevelType w:val="hybridMultilevel"/>
    <w:lvl w:ilvl="0">
      <w:lvlJc w:val="left"/>
      <w:lvlText w:val="(%1)"/>
      <w:numFmt w:val="lowerLetter"/>
      <w:start w:val="1"/>
    </w:lvl>
  </w:abstractNum>
  <w:abstractNum w:abstractNumId="327">
    <w:nsid w:val="4B9275D2"/>
    <w:multiLevelType w:val="hybridMultilevel"/>
    <w:lvl w:ilvl="0">
      <w:lvlJc w:val="left"/>
      <w:lvlText w:val="(%1)"/>
      <w:numFmt w:val="lowerLetter"/>
      <w:start w:val="1"/>
    </w:lvl>
  </w:abstractNum>
  <w:abstractNum w:abstractNumId="328">
    <w:nsid w:val="4F0CEEDB"/>
    <w:multiLevelType w:val="hybridMultilevel"/>
    <w:lvl w:ilvl="0">
      <w:lvlJc w:val="left"/>
      <w:lvlText w:val="(%1)"/>
      <w:numFmt w:val="lowerLetter"/>
      <w:start w:val="1"/>
    </w:lvl>
  </w:abstractNum>
  <w:abstractNum w:abstractNumId="329">
    <w:nsid w:val="61C30361"/>
    <w:multiLevelType w:val="hybridMultilevel"/>
    <w:lvl w:ilvl="0">
      <w:lvlJc w:val="left"/>
      <w:lvlText w:val="(%1)"/>
      <w:numFmt w:val="lowerLetter"/>
      <w:start w:val="1"/>
    </w:lvl>
  </w:abstractNum>
  <w:abstractNum w:abstractNumId="330">
    <w:nsid w:val="632099E0"/>
    <w:multiLevelType w:val="hybridMultilevel"/>
    <w:lvl w:ilvl="0">
      <w:lvlJc w:val="left"/>
      <w:lvlText w:val="(%1)"/>
      <w:numFmt w:val="lowerLetter"/>
      <w:start w:val="1"/>
    </w:lvl>
    <w:lvl w:ilvl="1">
      <w:lvlJc w:val="left"/>
      <w:lvlText w:val="(%2)"/>
      <w:numFmt w:val="lowerRoman"/>
      <w:start w:val="1"/>
    </w:lvl>
  </w:abstractNum>
  <w:abstractNum w:abstractNumId="331">
    <w:nsid w:val="24639756"/>
    <w:multiLevelType w:val="hybridMultilevel"/>
    <w:lvl w:ilvl="0">
      <w:lvlJc w:val="left"/>
      <w:lvlText w:val="(%1)"/>
      <w:numFmt w:val="lowerLetter"/>
      <w:start w:val="2"/>
    </w:lvl>
  </w:abstractNum>
  <w:abstractNum w:abstractNumId="332">
    <w:nsid w:val="9D30DFD"/>
    <w:multiLevelType w:val="hybridMultilevel"/>
    <w:lvl w:ilvl="0">
      <w:lvlJc w:val="left"/>
      <w:lvlText w:val="(%1)"/>
      <w:numFmt w:val="lowerLetter"/>
      <w:start w:val="1"/>
    </w:lvl>
  </w:abstractNum>
  <w:abstractNum w:abstractNumId="333">
    <w:nsid w:val="70A42016"/>
    <w:multiLevelType w:val="hybridMultilevel"/>
    <w:lvl w:ilvl="0">
      <w:lvlJc w:val="left"/>
      <w:lvlText w:val="(%1)"/>
      <w:numFmt w:val="lowerLetter"/>
      <w:start w:val="1"/>
    </w:lvl>
    <w:lvl w:ilvl="1">
      <w:lvlJc w:val="left"/>
      <w:lvlText w:val="(%2)"/>
      <w:numFmt w:val="lowerRoman"/>
      <w:start w:val="1"/>
    </w:lvl>
  </w:abstractNum>
  <w:abstractNum w:abstractNumId="334">
    <w:nsid w:val="161BC243"/>
    <w:multiLevelType w:val="hybridMultilevel"/>
    <w:lvl w:ilvl="0">
      <w:lvlJc w:val="left"/>
      <w:lvlText w:val="(%1)"/>
      <w:numFmt w:val="lowerLetter"/>
      <w:start w:val="1"/>
    </w:lvl>
    <w:lvl w:ilvl="1">
      <w:lvlJc w:val="left"/>
      <w:lvlText w:val="(%2)"/>
      <w:numFmt w:val="lowerLetter"/>
      <w:start w:val="9"/>
    </w:lvl>
  </w:abstractNum>
  <w:abstractNum w:abstractNumId="335">
    <w:nsid w:val="16E908C8"/>
    <w:multiLevelType w:val="hybridMultilevel"/>
    <w:lvl w:ilvl="0">
      <w:lvlJc w:val="left"/>
      <w:lvlText w:val="%1"/>
      <w:numFmt w:val="lowerLetter"/>
      <w:start w:val="1"/>
    </w:lvl>
    <w:lvl w:ilvl="1">
      <w:lvlJc w:val="left"/>
      <w:lvlText w:val="(%2)"/>
      <w:numFmt w:val="lowerRoman"/>
      <w:start w:val="2"/>
    </w:lvl>
  </w:abstractNum>
  <w:abstractNum w:abstractNumId="336">
    <w:nsid w:val="2E0D7671"/>
    <w:multiLevelType w:val="hybridMultilevel"/>
    <w:lvl w:ilvl="0">
      <w:lvlJc w:val="left"/>
      <w:lvlText w:val="(%1)"/>
      <w:numFmt w:val="lowerLetter"/>
      <w:start w:val="3"/>
    </w:lvl>
    <w:lvl w:ilvl="1">
      <w:lvlJc w:val="left"/>
      <w:lvlText w:val="%2"/>
      <w:numFmt w:val="lowerRoman"/>
      <w:start w:val="1"/>
    </w:lvl>
  </w:abstractNum>
  <w:abstractNum w:abstractNumId="337">
    <w:nsid w:val="38B59EFF"/>
    <w:multiLevelType w:val="hybridMultilevel"/>
    <w:lvl w:ilvl="0">
      <w:lvlJc w:val="left"/>
      <w:lvlText w:val="(%1)"/>
      <w:numFmt w:val="lowerLetter"/>
      <w:start w:val="1"/>
    </w:lvl>
  </w:abstractNum>
  <w:abstractNum w:abstractNumId="338">
    <w:nsid w:val="307995CA"/>
    <w:multiLevelType w:val="hybridMultilevel"/>
    <w:lvl w:ilvl="0">
      <w:lvlJc w:val="left"/>
      <w:lvlText w:val="%1"/>
      <w:numFmt w:val="decimal"/>
      <w:start w:val="19"/>
    </w:lvl>
  </w:abstractNum>
  <w:abstractNum w:abstractNumId="339">
    <w:nsid w:val="52E2024D"/>
    <w:multiLevelType w:val="hybridMultilevel"/>
    <w:lvl w:ilvl="0">
      <w:lvlJc w:val="left"/>
      <w:lvlText w:val="(%1)"/>
      <w:numFmt w:val="lowerLetter"/>
      <w:start w:val="1"/>
    </w:lvl>
    <w:lvl w:ilvl="1">
      <w:lvlJc w:val="left"/>
      <w:lvlText w:val="(%2)"/>
      <w:numFmt w:val="lowerRoman"/>
      <w:start w:val="1"/>
    </w:lvl>
  </w:abstractNum>
  <w:abstractNum w:abstractNumId="340">
    <w:nsid w:val="CE344B5"/>
    <w:multiLevelType w:val="hybridMultilevel"/>
    <w:lvl w:ilvl="0">
      <w:lvlJc w:val="left"/>
      <w:lvlText w:val="(%1)"/>
      <w:numFmt w:val="lowerLetter"/>
      <w:start w:val="1"/>
    </w:lvl>
    <w:lvl w:ilvl="1">
      <w:lvlJc w:val="left"/>
      <w:lvlText w:val="(%2)"/>
      <w:numFmt w:val="lowerRoman"/>
      <w:start w:val="1"/>
    </w:lvl>
  </w:abstractNum>
  <w:abstractNum w:abstractNumId="341">
    <w:nsid w:val="29B0E9A8"/>
    <w:multiLevelType w:val="hybridMultilevel"/>
    <w:lvl w:ilvl="0">
      <w:lvlJc w:val="left"/>
      <w:lvlText w:val="(%1)"/>
      <w:numFmt w:val="lowerLetter"/>
      <w:start w:val="1"/>
    </w:lvl>
    <w:lvl w:ilvl="1">
      <w:lvlJc w:val="left"/>
      <w:lvlText w:val="(%2)"/>
      <w:numFmt w:val="lowerRoman"/>
      <w:start w:val="1"/>
    </w:lvl>
  </w:abstractNum>
  <w:abstractNum w:abstractNumId="342">
    <w:nsid w:val="6F49CD8A"/>
    <w:multiLevelType w:val="hybridMultilevel"/>
    <w:lvl w:ilvl="0">
      <w:lvlJc w:val="left"/>
      <w:lvlText w:val="%1"/>
      <w:numFmt w:val="lowerLetter"/>
      <w:start w:val="1"/>
    </w:lvl>
    <w:lvl w:ilvl="1">
      <w:lvlJc w:val="left"/>
      <w:lvlText w:val="(%2)"/>
      <w:numFmt w:val="lowerLetter"/>
      <w:start w:val="61"/>
    </w:lvl>
  </w:abstractNum>
  <w:abstractNum w:abstractNumId="343">
    <w:nsid w:val="4DC5D907"/>
    <w:multiLevelType w:val="hybridMultilevel"/>
    <w:lvl w:ilvl="0">
      <w:lvlJc w:val="left"/>
      <w:lvlText w:val="(%1)"/>
      <w:numFmt w:val="lowerLetter"/>
      <w:start w:val="3"/>
    </w:lvl>
    <w:lvl w:ilvl="1">
      <w:lvlJc w:val="left"/>
      <w:lvlText w:val="(%2)"/>
      <w:numFmt w:val="lowerLetter"/>
      <w:start w:val="9"/>
    </w:lvl>
  </w:abstractNum>
  <w:abstractNum w:abstractNumId="344">
    <w:nsid w:val="D55945E"/>
    <w:multiLevelType w:val="hybridMultilevel"/>
    <w:lvl w:ilvl="0">
      <w:lvlJc w:val="left"/>
      <w:lvlText w:val="(%1)"/>
      <w:numFmt w:val="lowerRoman"/>
      <w:start w:val="2"/>
    </w:lvl>
  </w:abstractNum>
  <w:abstractNum w:abstractNumId="345">
    <w:nsid w:val="672417E1"/>
    <w:multiLevelType w:val="hybridMultilevel"/>
    <w:lvl w:ilvl="0">
      <w:lvlJc w:val="left"/>
      <w:lvlText w:val="(%1)"/>
      <w:numFmt w:val="lowerLetter"/>
      <w:start w:val="1"/>
    </w:lvl>
  </w:abstractNum>
  <w:abstractNum w:abstractNumId="346">
    <w:nsid w:val="5FF6CA09"/>
    <w:multiLevelType w:val="hybridMultilevel"/>
    <w:lvl w:ilvl="0">
      <w:lvlJc w:val="left"/>
      <w:lvlText w:val="(%1)"/>
      <w:numFmt w:val="lowerLetter"/>
      <w:start w:val="1"/>
    </w:lvl>
  </w:abstractNum>
  <w:abstractNum w:abstractNumId="347">
    <w:nsid w:val="330B1333"/>
    <w:multiLevelType w:val="hybridMultilevel"/>
    <w:lvl w:ilvl="0">
      <w:lvlJc w:val="left"/>
      <w:lvlText w:val="(%1)"/>
      <w:numFmt w:val="lowerLetter"/>
      <w:start w:val="1"/>
    </w:lvl>
    <w:lvl w:ilvl="1">
      <w:lvlJc w:val="left"/>
      <w:lvlText w:val="(%2)"/>
      <w:numFmt w:val="lowerRoman"/>
      <w:start w:val="1"/>
    </w:lvl>
  </w:abstractNum>
  <w:abstractNum w:abstractNumId="348">
    <w:nsid w:val="2EF32EA6"/>
    <w:multiLevelType w:val="hybridMultilevel"/>
    <w:lvl w:ilvl="0">
      <w:lvlJc w:val="left"/>
      <w:lvlText w:val="(%1)"/>
      <w:numFmt w:val="lowerLetter"/>
      <w:start w:val="2"/>
    </w:lvl>
    <w:lvl w:ilvl="1">
      <w:lvlJc w:val="left"/>
      <w:lvlText w:val="(%2)"/>
      <w:numFmt w:val="lowerRoman"/>
      <w:start w:val="1"/>
    </w:lvl>
  </w:abstractNum>
  <w:abstractNum w:abstractNumId="349">
    <w:nsid w:val="32766A55"/>
    <w:multiLevelType w:val="hybridMultilevel"/>
    <w:lvl w:ilvl="0">
      <w:lvlJc w:val="left"/>
      <w:lvlText w:val="(%1)"/>
      <w:numFmt w:val="lowerLetter"/>
      <w:start w:val="4"/>
    </w:lvl>
  </w:abstractNum>
  <w:abstractNum w:abstractNumId="350">
    <w:nsid w:val="22D71957"/>
    <w:multiLevelType w:val="hybridMultilevel"/>
    <w:lvl w:ilvl="0">
      <w:lvlJc w:val="left"/>
      <w:lvlText w:val="(%1)"/>
      <w:numFmt w:val="lowerLetter"/>
      <w:start w:val="1"/>
    </w:lvl>
    <w:lvl w:ilvl="1">
      <w:lvlJc w:val="left"/>
      <w:lvlText w:val="(%2)"/>
      <w:numFmt w:val="lowerRoman"/>
      <w:start w:val="1"/>
    </w:lvl>
  </w:abstractNum>
  <w:abstractNum w:abstractNumId="351">
    <w:nsid w:val="4CC1263B"/>
    <w:multiLevelType w:val="hybridMultilevel"/>
    <w:lvl w:ilvl="0">
      <w:lvlJc w:val="left"/>
      <w:lvlText w:val="(%1)"/>
      <w:numFmt w:val="lowerLetter"/>
      <w:start w:val="2"/>
    </w:lvl>
  </w:abstractNum>
  <w:abstractNum w:abstractNumId="352">
    <w:nsid w:val="8BBEB1D"/>
    <w:multiLevelType w:val="hybridMultilevel"/>
    <w:lvl w:ilvl="0">
      <w:lvlJc w:val="left"/>
      <w:lvlText w:val="(%1)"/>
      <w:numFmt w:val="lowerLetter"/>
      <w:start w:val="1"/>
    </w:lvl>
  </w:abstractNum>
  <w:abstractNum w:abstractNumId="353">
    <w:nsid w:val="7365F1EE"/>
    <w:multiLevelType w:val="hybridMultilevel"/>
    <w:lvl w:ilvl="0">
      <w:lvlJc w:val="left"/>
      <w:lvlText w:val="%1"/>
      <w:numFmt w:val="decimal"/>
      <w:start w:val="20"/>
    </w:lvl>
  </w:abstractNum>
  <w:abstractNum w:abstractNumId="354">
    <w:nsid w:val="37524CF0"/>
    <w:multiLevelType w:val="hybridMultilevel"/>
    <w:lvl w:ilvl="0">
      <w:lvlJc w:val="left"/>
      <w:lvlText w:val="(%1)"/>
      <w:numFmt w:val="lowerLetter"/>
      <w:start w:val="1"/>
    </w:lvl>
  </w:abstractNum>
  <w:abstractNum w:abstractNumId="355">
    <w:nsid w:val="70CC332F"/>
    <w:multiLevelType w:val="hybridMultilevel"/>
    <w:lvl w:ilvl="0">
      <w:lvlJc w:val="left"/>
      <w:lvlText w:val="(%1)"/>
      <w:numFmt w:val="lowerLetter"/>
      <w:start w:val="1"/>
    </w:lvl>
  </w:abstractNum>
  <w:abstractNum w:abstractNumId="356">
    <w:nsid w:val="5661786E"/>
    <w:multiLevelType w:val="hybridMultilevel"/>
    <w:lvl w:ilvl="0">
      <w:lvlJc w:val="left"/>
      <w:lvlText w:val="(%1)"/>
      <w:numFmt w:val="lowerLetter"/>
      <w:start w:val="1"/>
    </w:lvl>
  </w:abstractNum>
  <w:abstractNum w:abstractNumId="357">
    <w:nsid w:val="3AF6A220"/>
    <w:multiLevelType w:val="hybridMultilevel"/>
    <w:lvl w:ilvl="0">
      <w:lvlJc w:val="left"/>
      <w:lvlText w:val="(%1)"/>
      <w:numFmt w:val="lowerRoman"/>
      <w:start w:val="1"/>
    </w:lvl>
  </w:abstractNum>
  <w:abstractNum w:abstractNumId="358">
    <w:nsid w:val="3C5EA902"/>
    <w:multiLevelType w:val="hybridMultilevel"/>
    <w:lvl w:ilvl="0">
      <w:lvlJc w:val="left"/>
      <w:lvlText w:val="(%1)"/>
      <w:numFmt w:val="lowerLetter"/>
      <w:start w:val="1"/>
    </w:lvl>
  </w:abstractNum>
  <w:abstractNum w:abstractNumId="359">
    <w:nsid w:val="256E6749"/>
    <w:multiLevelType w:val="hybridMultilevel"/>
    <w:lvl w:ilvl="0">
      <w:lvlJc w:val="left"/>
      <w:lvlText w:val="(%1)"/>
      <w:numFmt w:val="lowerRoman"/>
      <w:start w:val="1"/>
    </w:lvl>
  </w:abstractNum>
  <w:abstractNum w:abstractNumId="360">
    <w:nsid w:val="1CB9A581"/>
    <w:multiLevelType w:val="hybridMultilevel"/>
    <w:lvl w:ilvl="0">
      <w:lvlJc w:val="left"/>
      <w:lvlText w:val="(%1)"/>
      <w:numFmt w:val="lowerRoman"/>
      <w:start w:val="2"/>
    </w:lvl>
  </w:abstractNum>
  <w:abstractNum w:abstractNumId="361">
    <w:nsid w:val="1F7F42E2"/>
    <w:multiLevelType w:val="hybridMultilevel"/>
    <w:lvl w:ilvl="0">
      <w:lvlJc w:val="left"/>
      <w:lvlText w:val="(%1)"/>
      <w:numFmt w:val="lowerLetter"/>
      <w:start w:val="2"/>
    </w:lvl>
  </w:abstractNum>
  <w:abstractNum w:abstractNumId="362">
    <w:nsid w:val="49D1FEA0"/>
    <w:multiLevelType w:val="hybridMultilevel"/>
    <w:lvl w:ilvl="0">
      <w:lvlJc w:val="left"/>
      <w:lvlText w:val="(%1)"/>
      <w:numFmt w:val="lowerLetter"/>
      <w:start w:val="1"/>
    </w:lvl>
    <w:lvl w:ilvl="1">
      <w:lvlJc w:val="left"/>
      <w:lvlText w:val="(%2)"/>
      <w:numFmt w:val="lowerRoman"/>
      <w:start w:val="1"/>
    </w:lvl>
  </w:abstractNum>
  <w:abstractNum w:abstractNumId="363">
    <w:nsid w:val="268CB37F"/>
    <w:multiLevelType w:val="hybridMultilevel"/>
    <w:lvl w:ilvl="0">
      <w:lvlJc w:val="left"/>
      <w:lvlText w:val="(%1)"/>
      <w:numFmt w:val="lowerLetter"/>
      <w:start w:val="1"/>
    </w:lvl>
  </w:abstractNum>
  <w:abstractNum w:abstractNumId="364">
    <w:nsid w:val="102362F8"/>
    <w:multiLevelType w:val="hybridMultilevel"/>
    <w:lvl w:ilvl="0">
      <w:lvlJc w:val="left"/>
      <w:lvlText w:val="(%1)"/>
      <w:numFmt w:val="lowerLetter"/>
      <w:start w:val="1"/>
    </w:lvl>
  </w:abstractNum>
  <w:abstractNum w:abstractNumId="365">
    <w:nsid w:val="5FEDC0E3"/>
    <w:multiLevelType w:val="hybridMultilevel"/>
    <w:lvl w:ilvl="0">
      <w:lvlJc w:val="left"/>
      <w:lvlText w:val="(%1)"/>
      <w:numFmt w:val="lowerLetter"/>
      <w:start w:val="1"/>
    </w:lvl>
    <w:lvl w:ilvl="1">
      <w:lvlJc w:val="left"/>
      <w:lvlText w:val="(%2)"/>
      <w:numFmt w:val="lowerRoman"/>
      <w:start w:val="1"/>
    </w:lvl>
  </w:abstractNum>
  <w:abstractNum w:abstractNumId="366">
    <w:nsid w:val="3D75BC47"/>
    <w:multiLevelType w:val="hybridMultilevel"/>
    <w:lvl w:ilvl="0">
      <w:lvlJc w:val="left"/>
      <w:lvlText w:val="%1"/>
      <w:numFmt w:val="lowerLetter"/>
      <w:start w:val="1"/>
    </w:lvl>
    <w:lvl w:ilvl="1">
      <w:lvlJc w:val="left"/>
      <w:lvlText w:val="(%2)"/>
      <w:numFmt w:val="lowerRoman"/>
      <w:start w:val="4"/>
    </w:lvl>
  </w:abstractNum>
  <w:abstractNum w:abstractNumId="367">
    <w:nsid w:val="3E30D969"/>
    <w:multiLevelType w:val="hybridMultilevel"/>
    <w:lvl w:ilvl="0">
      <w:lvlJc w:val="left"/>
      <w:lvlText w:val="(%1)"/>
      <w:numFmt w:val="lowerLetter"/>
      <w:start w:val="3"/>
    </w:lvl>
    <w:lvl w:ilvl="1">
      <w:lvlJc w:val="left"/>
      <w:lvlText w:val="(%2)"/>
      <w:numFmt w:val="lowerRoman"/>
      <w:start w:val="1"/>
    </w:lvl>
  </w:abstractNum>
  <w:abstractNum w:abstractNumId="368">
    <w:nsid w:val="18A35FE3"/>
    <w:multiLevelType w:val="hybridMultilevel"/>
    <w:lvl w:ilvl="0">
      <w:lvlJc w:val="left"/>
      <w:lvlText w:val="(%1)"/>
      <w:numFmt w:val="lowerLetter"/>
      <w:start w:val="1"/>
    </w:lvl>
  </w:abstractNum>
  <w:abstractNum w:abstractNumId="369">
    <w:nsid w:val="6DEF5211"/>
    <w:multiLevelType w:val="hybridMultilevel"/>
    <w:lvl w:ilvl="0">
      <w:lvlJc w:val="left"/>
      <w:lvlText w:val="(%1)"/>
      <w:numFmt w:val="lowerLetter"/>
      <w:start w:val="4"/>
    </w:lvl>
  </w:abstractNum>
  <w:abstractNum w:abstractNumId="370">
    <w:nsid w:val="1112DBB6"/>
    <w:multiLevelType w:val="hybridMultilevel"/>
    <w:lvl w:ilvl="0">
      <w:lvlJc w:val="left"/>
      <w:lvlText w:val="(%1)"/>
      <w:numFmt w:val="lowerLetter"/>
      <w:start w:val="1"/>
    </w:lvl>
  </w:abstractNum>
  <w:abstractNum w:abstractNumId="371">
    <w:nsid w:val="2586A498"/>
    <w:multiLevelType w:val="hybridMultilevel"/>
    <w:lvl w:ilvl="0">
      <w:lvlJc w:val="left"/>
      <w:lvlText w:val="(%1)"/>
      <w:numFmt w:val="lowerLetter"/>
      <w:start w:val="1"/>
    </w:lvl>
    <w:lvl w:ilvl="1">
      <w:lvlJc w:val="left"/>
      <w:lvlText w:val="(%2)"/>
      <w:numFmt w:val="lowerRoman"/>
      <w:start w:val="1"/>
    </w:lvl>
  </w:abstractNum>
  <w:abstractNum w:abstractNumId="372">
    <w:nsid w:val="17A03BB9"/>
    <w:multiLevelType w:val="hybridMultilevel"/>
    <w:lvl w:ilvl="0">
      <w:lvlJc w:val="left"/>
      <w:lvlText w:val="(%1)"/>
      <w:numFmt w:val="lowerLetter"/>
      <w:start w:val="1"/>
    </w:lvl>
  </w:abstractNum>
  <w:abstractNum w:abstractNumId="373">
    <w:nsid w:val="5CA941"/>
    <w:multiLevelType w:val="hybridMultilevel"/>
    <w:lvl w:ilvl="0">
      <w:lvlJc w:val="left"/>
      <w:lvlText w:val="%1"/>
      <w:numFmt w:val="decimal"/>
      <w:start w:val="22"/>
    </w:lvl>
  </w:abstractNum>
  <w:abstractNum w:abstractNumId="374">
    <w:nsid w:val="734C7D9F"/>
    <w:multiLevelType w:val="hybridMultilevel"/>
    <w:lvl w:ilvl="0">
      <w:lvlJc w:val="left"/>
      <w:lvlText w:val="(%1)"/>
      <w:numFmt w:val="lowerLetter"/>
      <w:start w:val="1"/>
    </w:lvl>
  </w:abstractNum>
  <w:abstractNum w:abstractNumId="375">
    <w:nsid w:val="24F5D018"/>
    <w:multiLevelType w:val="hybridMultilevel"/>
    <w:lvl w:ilvl="0">
      <w:lvlJc w:val="left"/>
      <w:lvlText w:val="(%1)"/>
      <w:numFmt w:val="lowerLetter"/>
      <w:start w:val="1"/>
    </w:lvl>
  </w:abstractNum>
  <w:abstractNum w:abstractNumId="376">
    <w:nsid w:val="6780C122"/>
    <w:multiLevelType w:val="hybridMultilevel"/>
    <w:lvl w:ilvl="0">
      <w:lvlJc w:val="left"/>
      <w:lvlText w:val="(%1)"/>
      <w:numFmt w:val="lowerLetter"/>
      <w:start w:val="1"/>
    </w:lvl>
    <w:lvl w:ilvl="1">
      <w:lvlJc w:val="left"/>
      <w:lvlText w:val="(%2)"/>
      <w:numFmt w:val="lowerRoman"/>
      <w:start w:val="1"/>
    </w:lvl>
  </w:abstractNum>
  <w:abstractNum w:abstractNumId="377">
    <w:nsid w:val="534347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8">
    <w:nsid w:val="5800E34B"/>
    <w:multiLevelType w:val="hybridMultilevel"/>
    <w:lvl w:ilvl="0">
      <w:lvlJc w:val="left"/>
      <w:lvlText w:val="(%1)"/>
      <w:numFmt w:val="lowerLetter"/>
      <w:start w:val="1"/>
    </w:lvl>
  </w:abstractNum>
  <w:abstractNum w:abstractNumId="379">
    <w:nsid w:val="1673EFC8"/>
    <w:multiLevelType w:val="hybridMultilevel"/>
    <w:lvl w:ilvl="0">
      <w:lvlJc w:val="left"/>
      <w:lvlText w:val="(%1)"/>
      <w:numFmt w:val="lowerLetter"/>
      <w:start w:val="2"/>
    </w:lvl>
  </w:abstractNum>
  <w:abstractNum w:abstractNumId="380">
    <w:nsid w:val="5B9B1FD"/>
    <w:multiLevelType w:val="hybridMultilevel"/>
    <w:lvl w:ilvl="0">
      <w:lvlJc w:val="left"/>
      <w:lvlText w:val="%1"/>
      <w:numFmt w:val="decimal"/>
      <w:start w:val="23"/>
    </w:lvl>
  </w:abstractNum>
  <w:abstractNum w:abstractNumId="381">
    <w:nsid w:val="7AD7FCA2"/>
    <w:multiLevelType w:val="hybridMultilevel"/>
    <w:lvl w:ilvl="0">
      <w:lvlJc w:val="left"/>
      <w:lvlText w:val="(%1)"/>
      <w:numFmt w:val="lowerLetter"/>
      <w:start w:val="1"/>
    </w:lvl>
  </w:abstractNum>
  <w:abstractNum w:abstractNumId="382">
    <w:nsid w:val="63351604"/>
    <w:multiLevelType w:val="hybridMultilevel"/>
    <w:lvl w:ilvl="0">
      <w:lvlJc w:val="left"/>
      <w:lvlText w:val="(%1)"/>
      <w:numFmt w:val="lowerLetter"/>
      <w:start w:val="1"/>
    </w:lvl>
  </w:abstractNum>
  <w:abstractNum w:abstractNumId="383">
    <w:nsid w:val="E759D1A"/>
    <w:multiLevelType w:val="hybridMultilevel"/>
    <w:lvl w:ilvl="0">
      <w:lvlJc w:val="left"/>
      <w:lvlText w:val="(%1)"/>
      <w:numFmt w:val="lowerLetter"/>
      <w:start w:val="1"/>
    </w:lvl>
  </w:abstractNum>
  <w:abstractNum w:abstractNumId="384">
    <w:nsid w:val="6E3DEE90"/>
    <w:multiLevelType w:val="hybridMultilevel"/>
    <w:lvl w:ilvl="0">
      <w:lvlJc w:val="left"/>
      <w:lvlText w:val="%1"/>
      <w:numFmt w:val="decimal"/>
      <w:start w:val="24"/>
    </w:lvl>
  </w:abstractNum>
  <w:abstractNum w:abstractNumId="385">
    <w:nsid w:val="1A8762F4"/>
    <w:multiLevelType w:val="hybridMultilevel"/>
    <w:lvl w:ilvl="0">
      <w:lvlJc w:val="left"/>
      <w:lvlText w:val="(%1)"/>
      <w:numFmt w:val="lowerLetter"/>
      <w:start w:val="1"/>
    </w:lvl>
  </w:abstractNum>
  <w:abstractNum w:abstractNumId="386">
    <w:nsid w:val="7F41D049"/>
    <w:multiLevelType w:val="hybridMultilevel"/>
    <w:lvl w:ilvl="0">
      <w:lvlJc w:val="left"/>
      <w:lvlText w:val="(%1)"/>
      <w:numFmt w:val="lowerLetter"/>
      <w:start w:val="1"/>
    </w:lvl>
  </w:abstractNum>
  <w:abstractNum w:abstractNumId="387">
    <w:nsid w:val="449F66FE"/>
    <w:multiLevelType w:val="hybridMultilevel"/>
    <w:lvl w:ilvl="0">
      <w:lvlJc w:val="left"/>
      <w:lvlText w:val="(%1)"/>
      <w:numFmt w:val="lowerLetter"/>
      <w:start w:val="2"/>
    </w:lvl>
  </w:abstractNum>
  <w:abstractNum w:abstractNumId="388">
    <w:nsid w:val="557E0515"/>
    <w:multiLevelType w:val="hybridMultilevel"/>
    <w:lvl w:ilvl="0">
      <w:lvlJc w:val="left"/>
      <w:lvlText w:val="(%1)"/>
      <w:numFmt w:val="lowerLetter"/>
      <w:start w:val="1"/>
    </w:lvl>
  </w:abstractNum>
  <w:abstractNum w:abstractNumId="389">
    <w:nsid w:val="3BA0794B"/>
    <w:multiLevelType w:val="hybridMultilevel"/>
    <w:lvl w:ilvl="0">
      <w:lvlJc w:val="left"/>
      <w:lvlText w:val="(%1)"/>
      <w:numFmt w:val="lowerLetter"/>
      <w:start w:val="1"/>
    </w:lvl>
  </w:abstractNum>
  <w:abstractNum w:abstractNumId="390">
    <w:nsid w:val="6A0DCE48"/>
    <w:multiLevelType w:val="hybridMultilevel"/>
    <w:lvl w:ilvl="0">
      <w:lvlJc w:val="left"/>
      <w:lvlText w:val="%1"/>
      <w:numFmt w:val="decimal"/>
      <w:start w:val="25"/>
    </w:lvl>
  </w:abstractNum>
  <w:abstractNum w:abstractNumId="391">
    <w:nsid w:val="7237AA96"/>
    <w:multiLevelType w:val="hybridMultilevel"/>
    <w:lvl w:ilvl="0">
      <w:lvlJc w:val="left"/>
      <w:lvlText w:val="(%1)"/>
      <w:numFmt w:val="lowerLetter"/>
      <w:start w:val="1"/>
    </w:lvl>
    <w:lvl w:ilvl="1">
      <w:lvlJc w:val="left"/>
      <w:lvlText w:val="(%2)"/>
      <w:numFmt w:val="lowerRoman"/>
      <w:start w:val="1"/>
    </w:lvl>
  </w:abstractNum>
  <w:abstractNum w:abstractNumId="392">
    <w:nsid w:val="5B1FBC2D"/>
    <w:multiLevelType w:val="hybridMultilevel"/>
    <w:lvl w:ilvl="0">
      <w:lvlJc w:val="left"/>
      <w:lvlText w:val="(%1)"/>
      <w:numFmt w:val="lowerLetter"/>
      <w:start w:val="1"/>
    </w:lvl>
  </w:abstractNum>
  <w:abstractNum w:abstractNumId="393">
    <w:nsid w:val="33DFCCE8"/>
    <w:multiLevelType w:val="hybridMultilevel"/>
    <w:lvl w:ilvl="0">
      <w:lvlJc w:val="left"/>
      <w:lvlText w:val="(%1)"/>
      <w:numFmt w:val="lowerLetter"/>
      <w:start w:val="1"/>
    </w:lvl>
  </w:abstractNum>
  <w:abstractNum w:abstractNumId="394">
    <w:nsid w:val="18C45E15"/>
    <w:multiLevelType w:val="hybridMultilevel"/>
    <w:lvl w:ilvl="0">
      <w:lvlJc w:val="left"/>
      <w:lvlText w:val="(%1)"/>
      <w:numFmt w:val="lowerLetter"/>
      <w:start w:val="1"/>
    </w:lvl>
  </w:abstractNum>
  <w:abstractNum w:abstractNumId="395">
    <w:nsid w:val="6B431F25"/>
    <w:multiLevelType w:val="hybridMultilevel"/>
    <w:lvl w:ilvl="0">
      <w:lvlJc w:val="left"/>
      <w:lvlText w:val="(%1)"/>
      <w:numFmt w:val="lowerLetter"/>
      <w:start w:val="1"/>
    </w:lvl>
  </w:abstractNum>
  <w:abstractNum w:abstractNumId="396">
    <w:nsid w:val="13CD8DCB"/>
    <w:multiLevelType w:val="hybridMultilevel"/>
    <w:lvl w:ilvl="0">
      <w:lvlJc w:val="left"/>
      <w:lvlText w:val="(%1)"/>
      <w:numFmt w:val="lowerLetter"/>
      <w:start w:val="1"/>
    </w:lvl>
    <w:lvl w:ilvl="1">
      <w:lvlJc w:val="left"/>
      <w:lvlText w:val="(%2)"/>
      <w:numFmt w:val="lowerRoman"/>
      <w:start w:val="1"/>
    </w:lvl>
  </w:abstractNum>
  <w:abstractNum w:abstractNumId="397">
    <w:nsid w:val="563A1A5C"/>
    <w:multiLevelType w:val="hybridMultilevel"/>
    <w:lvl w:ilvl="0">
      <w:lvlJc w:val="left"/>
      <w:lvlText w:val="(%1)"/>
      <w:numFmt w:val="lowerLetter"/>
      <w:start w:val="1"/>
    </w:lvl>
  </w:abstractNum>
  <w:abstractNum w:abstractNumId="398">
    <w:nsid w:val="2973F88F"/>
    <w:multiLevelType w:val="hybridMultilevel"/>
    <w:lvl w:ilvl="0">
      <w:lvlJc w:val="left"/>
      <w:lvlText w:val="%1"/>
      <w:numFmt w:val="decimal"/>
      <w:start w:val="26"/>
    </w:lvl>
  </w:abstractNum>
  <w:abstractNum w:abstractNumId="399">
    <w:nsid w:val="2C70EDAE"/>
    <w:multiLevelType w:val="hybridMultilevel"/>
    <w:lvl w:ilvl="0">
      <w:lvlJc w:val="left"/>
      <w:lvlText w:val="%1"/>
      <w:numFmt w:val="decimal"/>
      <w:start w:val="27"/>
    </w:lvl>
  </w:abstractNum>
  <w:abstractNum w:abstractNumId="400">
    <w:nsid w:val="44296C6D"/>
    <w:multiLevelType w:val="hybridMultilevel"/>
    <w:lvl w:ilvl="0">
      <w:lvlJc w:val="left"/>
      <w:lvlText w:val="(%1)"/>
      <w:numFmt w:val="lowerLetter"/>
      <w:start w:val="1"/>
    </w:lvl>
  </w:abstractNum>
  <w:abstractNum w:abstractNumId="401">
    <w:nsid w:val="3A86D445"/>
    <w:multiLevelType w:val="hybridMultilevel"/>
    <w:lvl w:ilvl="0">
      <w:lvlJc w:val="left"/>
      <w:lvlText w:val="(%1)"/>
      <w:numFmt w:val="lowerLetter"/>
      <w:start w:val="5"/>
    </w:lvl>
  </w:abstractNum>
  <w:abstractNum w:abstractNumId="402">
    <w:nsid w:val="51F79246"/>
    <w:multiLevelType w:val="hybridMultilevel"/>
    <w:lvl w:ilvl="0">
      <w:lvlJc w:val="left"/>
      <w:lvlText w:val="(%1)"/>
      <w:numFmt w:val="lowerLetter"/>
      <w:start w:val="1"/>
    </w:lvl>
  </w:abstractNum>
  <w:abstractNum w:abstractNumId="403">
    <w:nsid w:val="5BC9A827"/>
    <w:multiLevelType w:val="hybridMultilevel"/>
    <w:lvl w:ilvl="0">
      <w:lvlJc w:val="left"/>
      <w:lvlText w:val="(%1)"/>
      <w:numFmt w:val="lowerLetter"/>
      <w:start w:val="1"/>
    </w:lvl>
    <w:lvl w:ilvl="1">
      <w:lvlJc w:val="left"/>
      <w:lvlText w:val="(%2)"/>
      <w:numFmt w:val="lowerRoman"/>
      <w:start w:val="1"/>
    </w:lvl>
  </w:abstractNum>
  <w:abstractNum w:abstractNumId="404">
    <w:nsid w:val="3AE37D86"/>
    <w:multiLevelType w:val="hybridMultilevel"/>
    <w:lvl w:ilvl="0">
      <w:lvlJc w:val="left"/>
      <w:lvlText w:val="(%1)"/>
      <w:numFmt w:val="lowerLetter"/>
      <w:start w:val="5"/>
    </w:lvl>
  </w:abstractNum>
  <w:abstractNum w:abstractNumId="405">
    <w:nsid w:val="45440FE5"/>
    <w:multiLevelType w:val="hybridMultilevel"/>
    <w:lvl w:ilvl="0">
      <w:lvlJc w:val="left"/>
      <w:lvlText w:val="%1"/>
      <w:numFmt w:val="decimal"/>
      <w:start w:val="28"/>
    </w:lvl>
  </w:abstractNum>
  <w:abstractNum w:abstractNumId="406">
    <w:nsid w:val="BF783F"/>
    <w:multiLevelType w:val="hybridMultilevel"/>
    <w:lvl w:ilvl="0">
      <w:lvlJc w:val="left"/>
      <w:lvlText w:val="(%1)"/>
      <w:numFmt w:val="lowerLetter"/>
      <w:start w:val="1"/>
    </w:lvl>
    <w:lvl w:ilvl="1">
      <w:lvlJc w:val="left"/>
      <w:lvlText w:val="(%2)"/>
      <w:numFmt w:val="lowerRoman"/>
      <w:start w:val="1"/>
    </w:lvl>
  </w:abstractNum>
  <w:abstractNum w:abstractNumId="407">
    <w:nsid w:val="22643EA9"/>
    <w:multiLevelType w:val="hybridMultilevel"/>
    <w:lvl w:ilvl="0">
      <w:lvlJc w:val="left"/>
      <w:lvlText w:val="(%1)"/>
      <w:numFmt w:val="lowerLetter"/>
      <w:start w:val="4"/>
    </w:lvl>
    <w:lvl w:ilvl="1">
      <w:lvlJc w:val="left"/>
      <w:lvlText w:val="(%2)"/>
      <w:numFmt w:val="lowerRoman"/>
      <w:start w:val="1"/>
    </w:lvl>
  </w:abstractNum>
  <w:abstractNum w:abstractNumId="408">
    <w:nsid w:val="1887578D"/>
    <w:multiLevelType w:val="hybridMultilevel"/>
    <w:lvl w:ilvl="0">
      <w:lvlJc w:val="left"/>
      <w:lvlText w:val="(%1)"/>
      <w:numFmt w:val="lowerLetter"/>
      <w:start w:val="1"/>
    </w:lvl>
  </w:abstractNum>
  <w:abstractNum w:abstractNumId="409">
    <w:nsid w:val="58C05B8A"/>
    <w:multiLevelType w:val="hybridMultilevel"/>
    <w:lvl w:ilvl="0">
      <w:lvlJc w:val="left"/>
      <w:lvlText w:val="(%1)"/>
      <w:numFmt w:val="lowerLetter"/>
      <w:start w:val="1"/>
    </w:lvl>
  </w:abstractNum>
  <w:abstractNum w:abstractNumId="410">
    <w:nsid w:val="38D82E71"/>
    <w:multiLevelType w:val="hybridMultilevel"/>
    <w:lvl w:ilvl="0">
      <w:lvlJc w:val="left"/>
      <w:lvlText w:val="(%1)"/>
      <w:numFmt w:val="lowerLetter"/>
      <w:start w:val="1"/>
    </w:lvl>
  </w:abstractNum>
  <w:abstractNum w:abstractNumId="411">
    <w:nsid w:val="1E41098A"/>
    <w:multiLevelType w:val="hybridMultilevel"/>
    <w:lvl w:ilvl="0">
      <w:lvlJc w:val="left"/>
      <w:lvlText w:val="(%1)"/>
      <w:numFmt w:val="lowerLetter"/>
      <w:start w:val="1"/>
    </w:lvl>
  </w:abstractNum>
  <w:abstractNum w:abstractNumId="412">
    <w:nsid w:val="5398582C"/>
    <w:multiLevelType w:val="hybridMultilevel"/>
    <w:lvl w:ilvl="0">
      <w:lvlJc w:val="left"/>
      <w:lvlText w:val="(%1)"/>
      <w:numFmt w:val="lowerLetter"/>
      <w:start w:val="4"/>
    </w:lvl>
  </w:abstractNum>
  <w:abstractNum w:abstractNumId="413">
    <w:nsid w:val="1C0D4475"/>
    <w:multiLevelType w:val="hybridMultilevel"/>
    <w:lvl w:ilvl="0">
      <w:lvlJc w:val="left"/>
      <w:lvlText w:val="(%1)"/>
      <w:numFmt w:val="lowerLetter"/>
      <w:start w:val="1"/>
    </w:lvl>
  </w:abstractNum>
  <w:abstractNum w:abstractNumId="414">
    <w:nsid w:val="2CB6A6A4"/>
    <w:multiLevelType w:val="hybridMultilevel"/>
    <w:lvl w:ilvl="0">
      <w:lvlJc w:val="left"/>
      <w:lvlText w:val="(%1)"/>
      <w:numFmt w:val="lowerLetter"/>
      <w:start w:val="1"/>
    </w:lvl>
  </w:abstractNum>
  <w:abstractNum w:abstractNumId="415">
    <w:nsid w:val="41D646BC"/>
    <w:multiLevelType w:val="hybridMultilevel"/>
    <w:lvl w:ilvl="0">
      <w:lvlJc w:val="left"/>
      <w:lvlText w:val="(%1)"/>
      <w:numFmt w:val="lowerLetter"/>
      <w:start w:val="1"/>
    </w:lvl>
  </w:abstractNum>
  <w:abstractNum w:abstractNumId="416">
    <w:nsid w:val="3694A76A"/>
    <w:multiLevelType w:val="hybridMultilevel"/>
    <w:lvl w:ilvl="0">
      <w:lvlJc w:val="left"/>
      <w:lvlText w:val="%1"/>
      <w:numFmt w:val="decimal"/>
      <w:start w:val="29"/>
    </w:lvl>
  </w:abstractNum>
  <w:abstractNum w:abstractNumId="417">
    <w:nsid w:val="2BF876EE"/>
    <w:multiLevelType w:val="hybridMultilevel"/>
    <w:lvl w:ilvl="0">
      <w:lvlJc w:val="left"/>
      <w:lvlText w:val="(%1)"/>
      <w:numFmt w:val="lowerLetter"/>
      <w:start w:val="1"/>
    </w:lvl>
  </w:abstractNum>
  <w:abstractNum w:abstractNumId="418">
    <w:nsid w:val="675ADBA"/>
    <w:multiLevelType w:val="hybridMultilevel"/>
    <w:lvl w:ilvl="0">
      <w:lvlJc w:val="left"/>
      <w:lvlText w:val="(%1)"/>
      <w:numFmt w:val="lowerLetter"/>
      <w:start w:val="1"/>
    </w:lvl>
    <w:lvl w:ilvl="1">
      <w:lvlJc w:val="left"/>
      <w:lvlText w:val="(%2)"/>
      <w:numFmt w:val="lowerRoman"/>
      <w:start w:val="1"/>
    </w:lvl>
  </w:abstractNum>
  <w:abstractNum w:abstractNumId="419">
    <w:nsid w:val="C12AC7F"/>
    <w:multiLevelType w:val="hybridMultilevel"/>
    <w:lvl w:ilvl="0">
      <w:lvlJc w:val="left"/>
      <w:lvlText w:val="(%1)"/>
      <w:numFmt w:val="lowerLetter"/>
      <w:start w:val="1"/>
    </w:lvl>
  </w:abstractNum>
  <w:abstractNum w:abstractNumId="420">
    <w:nsid w:val="6798F039"/>
    <w:multiLevelType w:val="hybridMultilevel"/>
    <w:lvl w:ilvl="0">
      <w:lvlJc w:val="left"/>
      <w:lvlText w:val="(%1)"/>
      <w:numFmt w:val="lowerRoman"/>
      <w:start w:val="1"/>
    </w:lvl>
  </w:abstractNum>
  <w:abstractNum w:abstractNumId="421">
    <w:nsid w:val="70837C02"/>
    <w:multiLevelType w:val="hybridMultilevel"/>
    <w:lvl w:ilvl="0">
      <w:lvlJc w:val="left"/>
      <w:lvlText w:val="(%1)"/>
      <w:numFmt w:val="lowerLetter"/>
      <w:start w:val="2"/>
    </w:lvl>
  </w:abstractNum>
  <w:abstractNum w:abstractNumId="422">
    <w:nsid w:val="7E4A5715"/>
    <w:multiLevelType w:val="hybridMultilevel"/>
    <w:lvl w:ilvl="0">
      <w:lvlJc w:val="left"/>
      <w:lvlText w:val="(%1)"/>
      <w:numFmt w:val="lowerLetter"/>
      <w:start w:val="1"/>
    </w:lvl>
    <w:lvl w:ilvl="1">
      <w:lvlJc w:val="left"/>
      <w:lvlText w:val="(%2)"/>
      <w:numFmt w:val="lowerRoman"/>
      <w:start w:val="1"/>
    </w:lvl>
  </w:abstractNum>
  <w:abstractNum w:abstractNumId="423">
    <w:nsid w:val="42B8AC67"/>
    <w:multiLevelType w:val="hybridMultilevel"/>
    <w:lvl w:ilvl="0">
      <w:lvlJc w:val="left"/>
      <w:lvlText w:val="(%1)"/>
      <w:numFmt w:val="lowerLetter"/>
      <w:start w:val="1"/>
    </w:lvl>
  </w:abstractNum>
  <w:abstractNum w:abstractNumId="424">
    <w:nsid w:val="246348EA"/>
    <w:multiLevelType w:val="hybridMultilevel"/>
    <w:lvl w:ilvl="0">
      <w:lvlJc w:val="left"/>
      <w:lvlText w:val="(%1)"/>
      <w:numFmt w:val="lowerLetter"/>
      <w:start w:val="2"/>
    </w:lvl>
  </w:abstractNum>
  <w:abstractNum w:abstractNumId="425">
    <w:nsid w:val="170EB52B"/>
    <w:multiLevelType w:val="hybridMultilevel"/>
    <w:lvl w:ilvl="0">
      <w:lvlJc w:val="left"/>
      <w:lvlText w:val="(%1)"/>
      <w:numFmt w:val="lowerLetter"/>
      <w:start w:val="1"/>
    </w:lvl>
    <w:lvl w:ilvl="1">
      <w:lvlJc w:val="left"/>
      <w:lvlText w:val="(%2)"/>
      <w:numFmt w:val="lowerRoman"/>
      <w:start w:val="1"/>
    </w:lvl>
  </w:abstractNum>
  <w:abstractNum w:abstractNumId="426">
    <w:nsid w:val="2DFBCB8C"/>
    <w:multiLevelType w:val="hybridMultilevel"/>
    <w:lvl w:ilvl="0">
      <w:lvlJc w:val="left"/>
      <w:lvlText w:val="(%1)"/>
      <w:numFmt w:val="lowerLetter"/>
      <w:start w:val="1"/>
    </w:lvl>
  </w:abstractNum>
  <w:abstractNum w:abstractNumId="427">
    <w:nsid w:val="3830D6B6"/>
    <w:multiLevelType w:val="hybridMultilevel"/>
    <w:lvl w:ilvl="0">
      <w:lvlJc w:val="left"/>
      <w:lvlText w:val="(%1)"/>
      <w:numFmt w:val="lowerLetter"/>
      <w:start w:val="1"/>
    </w:lvl>
  </w:abstractNum>
  <w:abstractNum w:abstractNumId="428">
    <w:nsid w:val="6D48CF87"/>
    <w:multiLevelType w:val="hybridMultilevel"/>
    <w:lvl w:ilvl="0">
      <w:lvlJc w:val="left"/>
      <w:lvlText w:val="(%1)"/>
      <w:numFmt w:val="lowerLetter"/>
      <w:start w:val="3"/>
    </w:lvl>
  </w:abstractNum>
  <w:abstractNum w:abstractNumId="429">
    <w:nsid w:val="576FC41B"/>
    <w:multiLevelType w:val="hybridMultilevel"/>
    <w:lvl w:ilvl="0">
      <w:lvlJc w:val="left"/>
      <w:lvlText w:val="(%1)"/>
      <w:numFmt w:val="lowerLetter"/>
      <w:start w:val="1"/>
    </w:lvl>
    <w:lvl w:ilvl="1">
      <w:lvlJc w:val="left"/>
      <w:lvlText w:val="(%2)"/>
      <w:numFmt w:val="lowerRoman"/>
      <w:start w:val="1"/>
    </w:lvl>
  </w:abstractNum>
  <w:abstractNum w:abstractNumId="430">
    <w:nsid w:val="64A1C464"/>
    <w:multiLevelType w:val="hybridMultilevel"/>
    <w:lvl w:ilvl="0">
      <w:lvlJc w:val="left"/>
      <w:lvlText w:val="(%1)"/>
      <w:numFmt w:val="upperLetter"/>
      <w:start w:val="1"/>
    </w:lvl>
  </w:abstractNum>
  <w:abstractNum w:abstractNumId="431">
    <w:nsid w:val="31723BF5"/>
    <w:multiLevelType w:val="hybridMultilevel"/>
    <w:lvl w:ilvl="0">
      <w:lvlJc w:val="left"/>
      <w:lvlText w:val="(%1)"/>
      <w:numFmt w:val="lowerLetter"/>
      <w:start w:val="1"/>
    </w:lvl>
  </w:abstractNum>
  <w:abstractNum w:abstractNumId="432">
    <w:nsid w:val="11F698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33">
    <w:nsid w:val="369956AB"/>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434">
    <w:nsid w:val="D3BE41C"/>
    <w:multiLevelType w:val="hybridMultilevel"/>
    <w:lvl w:ilvl="0">
      <w:lvlJc w:val="left"/>
      <w:lvlText w:val="%1"/>
      <w:numFmt w:val="lowerRoman"/>
      <w:start w:val="1"/>
    </w:lvl>
    <w:lvl w:ilvl="1">
      <w:lvlJc w:val="left"/>
      <w:lvlText w:val="(%2)"/>
      <w:numFmt w:val="upperLetter"/>
      <w:start w:val="1"/>
    </w:lvl>
  </w:abstractNum>
  <w:abstractNum w:abstractNumId="435">
    <w:nsid w:val="4CDA15E7"/>
    <w:multiLevelType w:val="hybridMultilevel"/>
    <w:lvl w:ilvl="0">
      <w:lvlJc w:val="left"/>
      <w:lvlText w:val="(%1)"/>
      <w:numFmt w:val="lowerRoman"/>
      <w:start w:val="2"/>
    </w:lvl>
    <w:lvl w:ilvl="1">
      <w:lvlJc w:val="left"/>
      <w:lvlText w:val="%2"/>
      <w:numFmt w:val="upperLetter"/>
      <w:start w:val="1"/>
    </w:lvl>
  </w:abstractNum>
  <w:abstractNum w:abstractNumId="436">
    <w:nsid w:val="7BDD6690"/>
    <w:multiLevelType w:val="hybridMultilevel"/>
    <w:lvl w:ilvl="0">
      <w:lvlJc w:val="left"/>
      <w:lvlText w:val="(%1)"/>
      <w:numFmt w:val="lowerLetter"/>
      <w:start w:val="1"/>
    </w:lvl>
  </w:abstractNum>
  <w:abstractNum w:abstractNumId="437">
    <w:nsid w:val="DFB5C5B"/>
    <w:multiLevelType w:val="hybridMultilevel"/>
    <w:lvl w:ilvl="0">
      <w:lvlJc w:val="left"/>
      <w:lvlText w:val="(%1)"/>
      <w:numFmt w:val="lowerLetter"/>
      <w:start w:val="1"/>
    </w:lvl>
    <w:lvl w:ilvl="1">
      <w:lvlJc w:val="left"/>
      <w:lvlText w:val="(%2)"/>
      <w:numFmt w:val="lowerRoman"/>
      <w:start w:val="1"/>
    </w:lvl>
  </w:abstractNum>
  <w:abstractNum w:abstractNumId="438">
    <w:nsid w:val="6F3E5490"/>
    <w:multiLevelType w:val="hybridMultilevel"/>
    <w:lvl w:ilvl="0">
      <w:lvlJc w:val="left"/>
      <w:lvlText w:val="(%1)"/>
      <w:numFmt w:val="lowerLetter"/>
      <w:start w:val="5"/>
    </w:lvl>
    <w:lvl w:ilvl="1">
      <w:lvlJc w:val="left"/>
      <w:lvlText w:val="(%2)"/>
      <w:numFmt w:val="lowerRoman"/>
      <w:start w:val="1"/>
    </w:lvl>
  </w:abstractNum>
  <w:abstractNum w:abstractNumId="439">
    <w:nsid w:val="1464BE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0">
    <w:nsid w:val="66BBB7E5"/>
    <w:multiLevelType w:val="hybridMultilevel"/>
    <w:lvl w:ilvl="0">
      <w:lvlJc w:val="left"/>
      <w:lvlText w:val="%1"/>
      <w:numFmt w:val="lowerLetter"/>
      <w:start w:val="1"/>
    </w:lvl>
    <w:lvl w:ilvl="1">
      <w:lvlJc w:val="left"/>
      <w:lvlText w:val="(%2)"/>
      <w:numFmt w:val="lowerRoman"/>
      <w:start w:val="2"/>
    </w:lvl>
  </w:abstractNum>
  <w:abstractNum w:abstractNumId="441">
    <w:nsid w:val="28168302"/>
    <w:multiLevelType w:val="hybridMultilevel"/>
    <w:lvl w:ilvl="0">
      <w:lvlJc w:val="left"/>
      <w:lvlText w:val="(%1)"/>
      <w:numFmt w:val="lowerLetter"/>
      <w:start w:val="3"/>
    </w:lvl>
    <w:lvl w:ilvl="1">
      <w:lvlJc w:val="left"/>
      <w:lvlText w:val="(%2)"/>
      <w:numFmt w:val="lowerRoman"/>
      <w:start w:val="1"/>
    </w:lvl>
  </w:abstractNum>
  <w:abstractNum w:abstractNumId="442">
    <w:nsid w:val="32A5C7A8"/>
    <w:multiLevelType w:val="hybridMultilevel"/>
    <w:lvl w:ilvl="0">
      <w:lvlJc w:val="left"/>
      <w:lvlText w:val="(%1)"/>
      <w:numFmt w:val="lowerLetter"/>
      <w:start w:val="1"/>
    </w:lvl>
    <w:lvl w:ilvl="1">
      <w:lvlJc w:val="left"/>
      <w:lvlText w:val="(%2)"/>
      <w:numFmt w:val="lowerRoman"/>
      <w:start w:val="1"/>
    </w:lvl>
  </w:abstractNum>
  <w:abstractNum w:abstractNumId="443">
    <w:nsid w:val="3A541011"/>
    <w:multiLevelType w:val="hybridMultilevel"/>
    <w:lvl w:ilvl="0">
      <w:lvlJc w:val="left"/>
      <w:lvlText w:val="(%1)"/>
      <w:numFmt w:val="lowerLetter"/>
      <w:start w:val="5"/>
    </w:lvl>
  </w:abstractNum>
  <w:abstractNum w:abstractNumId="444">
    <w:nsid w:val="4423C777"/>
    <w:multiLevelType w:val="hybridMultilevel"/>
    <w:lvl w:ilvl="0">
      <w:lvlJc w:val="left"/>
      <w:lvlText w:val="(%1)"/>
      <w:numFmt w:val="lowerLetter"/>
      <w:start w:val="1"/>
    </w:lvl>
    <w:lvl w:ilvl="1">
      <w:lvlJc w:val="left"/>
      <w:lvlText w:val="(%2)"/>
      <w:numFmt w:val="lowerRoman"/>
      <w:start w:val="1"/>
    </w:lvl>
  </w:abstractNum>
  <w:abstractNum w:abstractNumId="445">
    <w:nsid w:val="5F5C6E4D"/>
    <w:multiLevelType w:val="hybridMultilevel"/>
    <w:lvl w:ilvl="0">
      <w:lvlJc w:val="left"/>
      <w:lvlText w:val="(%1)"/>
      <w:numFmt w:val="lowerLetter"/>
      <w:start w:val="1"/>
    </w:lvl>
  </w:abstractNum>
  <w:abstractNum w:abstractNumId="446">
    <w:nsid w:val="7C2A56CD"/>
    <w:multiLevelType w:val="hybridMultilevel"/>
    <w:lvl w:ilvl="0">
      <w:lvlJc w:val="left"/>
      <w:lvlText w:val="(%1)"/>
      <w:numFmt w:val="lowerLetter"/>
      <w:start w:val="2"/>
    </w:lvl>
    <w:lvl w:ilvl="1">
      <w:lvlJc w:val="left"/>
      <w:lvlText w:val="(%2)"/>
      <w:numFmt w:val="lowerRoman"/>
      <w:start w:val="1"/>
    </w:lvl>
  </w:abstractNum>
  <w:abstractNum w:abstractNumId="447">
    <w:nsid w:val="7AB86EE1"/>
    <w:multiLevelType w:val="hybridMultilevel"/>
    <w:lvl w:ilvl="0">
      <w:lvlJc w:val="left"/>
      <w:lvlText w:val="(%1)"/>
      <w:numFmt w:val="lowerLetter"/>
      <w:start w:val="1"/>
    </w:lvl>
    <w:lvl w:ilvl="1">
      <w:lvlJc w:val="left"/>
      <w:lvlText w:val="(%2)"/>
      <w:numFmt w:val="lowerRoman"/>
      <w:start w:val="1"/>
    </w:lvl>
  </w:abstractNum>
  <w:abstractNum w:abstractNumId="448">
    <w:nsid w:val="B54E53B"/>
    <w:multiLevelType w:val="hybridMultilevel"/>
    <w:lvl w:ilvl="0">
      <w:lvlJc w:val="left"/>
      <w:lvlText w:val="(%1)"/>
      <w:numFmt w:val="lowerRoman"/>
      <w:start w:val="2"/>
    </w:lvl>
  </w:abstractNum>
  <w:abstractNum w:abstractNumId="449">
    <w:nsid w:val="2A00487"/>
    <w:multiLevelType w:val="hybridMultilevel"/>
    <w:lvl w:ilvl="0">
      <w:lvlJc w:val="left"/>
      <w:lvlText w:val="(%1)"/>
      <w:numFmt w:val="lowerLetter"/>
      <w:start w:val="5"/>
    </w:lvl>
    <w:lvl w:ilvl="1">
      <w:lvlJc w:val="left"/>
      <w:lvlText w:val="(%2)"/>
      <w:numFmt w:val="lowerRoman"/>
      <w:start w:val="1"/>
    </w:lvl>
  </w:abstractNum>
  <w:abstractNum w:abstractNumId="450">
    <w:nsid w:val="6CB1B60"/>
    <w:multiLevelType w:val="hybridMultilevel"/>
    <w:lvl w:ilvl="0">
      <w:lvlJc w:val="left"/>
      <w:lvlText w:val="(%1)"/>
      <w:numFmt w:val="lowerLetter"/>
      <w:start w:val="1"/>
    </w:lvl>
    <w:lvl w:ilvl="1">
      <w:lvlJc w:val="left"/>
      <w:lvlText w:val="(%2)"/>
      <w:numFmt w:val="lowerRoman"/>
      <w:start w:val="1"/>
    </w:lvl>
  </w:abstractNum>
  <w:abstractNum w:abstractNumId="451">
    <w:nsid w:val="72EDD574"/>
    <w:multiLevelType w:val="hybridMultilevel"/>
    <w:lvl w:ilvl="0">
      <w:lvlJc w:val="left"/>
      <w:lvlText w:val="(%1)"/>
      <w:numFmt w:val="lowerLetter"/>
      <w:start w:val="1"/>
    </w:lvl>
    <w:lvl w:ilvl="1">
      <w:lvlJc w:val="left"/>
      <w:lvlText w:val="(%2)"/>
      <w:numFmt w:val="lowerRoman"/>
      <w:start w:val="1"/>
    </w:lvl>
  </w:abstractNum>
  <w:abstractNum w:abstractNumId="452">
    <w:nsid w:val="7323808A"/>
    <w:multiLevelType w:val="hybridMultilevel"/>
    <w:lvl w:ilvl="0">
      <w:lvlJc w:val="left"/>
      <w:lvlText w:val="(%1)"/>
      <w:numFmt w:val="upperLetter"/>
      <w:start w:val="1"/>
    </w:lvl>
  </w:abstractNum>
  <w:abstractNum w:abstractNumId="453">
    <w:nsid w:val="515727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54">
    <w:nsid w:val="35A681D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55">
    <w:nsid w:val="1786C974"/>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456">
    <w:nsid w:val="1C2427A1"/>
    <w:multiLevelType w:val="hybridMultilevel"/>
    <w:lvl w:ilvl="0">
      <w:lvlJc w:val="left"/>
      <w:lvlText w:val="(%1)"/>
      <w:numFmt w:val="lowerLetter"/>
      <w:start w:val="1"/>
    </w:lvl>
  </w:abstractNum>
  <w:abstractNum w:abstractNumId="457">
    <w:nsid w:val="63A24D68"/>
    <w:multiLevelType w:val="hybridMultilevel"/>
    <w:lvl w:ilvl="0">
      <w:lvlJc w:val="left"/>
      <w:lvlText w:val="(%1)"/>
      <w:numFmt w:val="lowerLetter"/>
      <w:start w:val="7"/>
    </w:lvl>
  </w:abstractNum>
  <w:abstractNum w:abstractNumId="458">
    <w:nsid w:val="4FB7A02A"/>
    <w:multiLevelType w:val="hybridMultilevel"/>
    <w:lvl w:ilvl="0">
      <w:lvlJc w:val="left"/>
      <w:lvlText w:val="(%1)"/>
      <w:numFmt w:val="lowerLetter"/>
      <w:start w:val="1"/>
    </w:lvl>
  </w:abstractNum>
  <w:abstractNum w:abstractNumId="459">
    <w:nsid w:val="96CF7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0">
    <w:nsid w:val="3B12118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1">
    <w:nsid w:val="3459648F"/>
    <w:multiLevelType w:val="hybridMultilevel"/>
    <w:lvl w:ilvl="0">
      <w:lvlJc w:val="left"/>
      <w:lvlText w:val="(%1)"/>
      <w:numFmt w:val="lowerLetter"/>
      <w:start w:val="10"/>
    </w:lvl>
  </w:abstractNum>
  <w:abstractNum w:abstractNumId="462">
    <w:nsid w:val="3ADF331D"/>
    <w:multiLevelType w:val="hybridMultilevel"/>
    <w:lvl w:ilvl="0">
      <w:lvlJc w:val="left"/>
      <w:lvlText w:val="(%1)"/>
      <w:numFmt w:val="lowerLetter"/>
      <w:start w:val="1"/>
    </w:lvl>
  </w:abstractNum>
  <w:abstractNum w:abstractNumId="463">
    <w:nsid w:val="4D08A9E4"/>
    <w:multiLevelType w:val="hybridMultilevel"/>
    <w:lvl w:ilvl="0">
      <w:lvlJc w:val="left"/>
      <w:lvlText w:val="(%1)"/>
      <w:numFmt w:val="lowerLetter"/>
      <w:start w:val="11"/>
    </w:lvl>
  </w:abstractNum>
  <w:abstractNum w:abstractNumId="464">
    <w:nsid w:val="6AF2BB3A"/>
    <w:multiLevelType w:val="hybridMultilevel"/>
    <w:lvl w:ilvl="0">
      <w:lvlJc w:val="left"/>
      <w:lvlText w:val="(%1)"/>
      <w:numFmt w:val="lowerLetter"/>
      <w:start w:val="1"/>
    </w:lvl>
  </w:abstractNum>
  <w:abstractNum w:abstractNumId="465">
    <w:nsid w:val="481B1739"/>
    <w:multiLevelType w:val="hybridMultilevel"/>
    <w:lvl w:ilvl="0">
      <w:lvlJc w:val="left"/>
      <w:lvlText w:val="(%1)"/>
      <w:numFmt w:val="lowerLetter"/>
      <w:start w:val="1"/>
    </w:lvl>
    <w:lvl w:ilvl="1">
      <w:lvlJc w:val="left"/>
      <w:lvlText w:val="(%2)"/>
      <w:numFmt w:val="lowerRoman"/>
      <w:start w:val="1"/>
    </w:lvl>
  </w:abstractNum>
  <w:abstractNum w:abstractNumId="466">
    <w:nsid w:val="19E2BFC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67">
    <w:nsid w:val="66D021C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68">
    <w:nsid w:val="56167394"/>
    <w:multiLevelType w:val="hybridMultilevel"/>
    <w:lvl w:ilvl="0">
      <w:lvlJc w:val="left"/>
      <w:lvlText w:val="%1"/>
      <w:numFmt w:val="lowerLetter"/>
      <w:start w:val="1"/>
    </w:lvl>
    <w:lvl w:ilvl="1">
      <w:lvlJc w:val="left"/>
      <w:lvlText w:val="(%2)"/>
      <w:numFmt w:val="lowerLetter"/>
      <w:start w:val="35"/>
    </w:lvl>
  </w:abstractNum>
  <w:abstractNum w:abstractNumId="469">
    <w:nsid w:val="921145C"/>
    <w:multiLevelType w:val="hybridMultilevel"/>
    <w:lvl w:ilvl="0">
      <w:lvlJc w:val="left"/>
      <w:lvlText w:val="(%1)"/>
      <w:numFmt w:val="lowerLetter"/>
      <w:start w:val="5"/>
    </w:lvl>
    <w:lvl w:ilvl="1">
      <w:lvlJc w:val="left"/>
      <w:lvlText w:val="%2"/>
      <w:numFmt w:val="lowerLetter"/>
      <w:start w:val="1"/>
    </w:lvl>
  </w:abstractNum>
  <w:abstractNum w:abstractNumId="470">
    <w:nsid w:val="7B34DFE8"/>
    <w:multiLevelType w:val="hybridMultilevel"/>
    <w:lvl w:ilvl="0">
      <w:lvlJc w:val="left"/>
      <w:lvlText w:val="(%1)"/>
      <w:numFmt w:val="lowerLetter"/>
      <w:start w:val="1"/>
    </w:lvl>
    <w:lvl w:ilvl="1">
      <w:lvlJc w:val="left"/>
      <w:lvlText w:val="(%2)"/>
      <w:numFmt w:val="lowerRoman"/>
      <w:start w:val="1"/>
    </w:lvl>
  </w:abstractNum>
  <w:abstractNum w:abstractNumId="471">
    <w:nsid w:val="3CD22B79"/>
    <w:multiLevelType w:val="hybridMultilevel"/>
    <w:lvl w:ilvl="0">
      <w:lvlJc w:val="left"/>
      <w:lvlText w:val="(%1)"/>
      <w:numFmt w:val="lowerLetter"/>
      <w:start w:val="2"/>
    </w:lvl>
  </w:abstractNum>
  <w:abstractNum w:abstractNumId="472">
    <w:nsid w:val="3137975E"/>
    <w:multiLevelType w:val="hybridMultilevel"/>
    <w:lvl w:ilvl="0">
      <w:lvlJc w:val="left"/>
      <w:lvlText w:val="(%1)"/>
      <w:numFmt w:val="lowerLetter"/>
      <w:start w:val="1"/>
    </w:lvl>
  </w:abstractNum>
  <w:abstractNum w:abstractNumId="473">
    <w:nsid w:val="2DDAA791"/>
    <w:multiLevelType w:val="hybridMultilevel"/>
    <w:lvl w:ilvl="0">
      <w:lvlJc w:val="left"/>
      <w:lvlText w:val="(%1)"/>
      <w:numFmt w:val="lowerLetter"/>
      <w:start w:val="5"/>
    </w:lvl>
    <w:lvl w:ilvl="1">
      <w:lvlJc w:val="left"/>
      <w:lvlText w:val="(%2)"/>
      <w:numFmt w:val="lowerRoman"/>
      <w:start w:val="1"/>
    </w:lvl>
  </w:abstractNum>
  <w:abstractNum w:abstractNumId="474">
    <w:nsid w:val="77263B8A"/>
    <w:multiLevelType w:val="hybridMultilevel"/>
    <w:lvl w:ilvl="0">
      <w:lvlJc w:val="left"/>
      <w:lvlText w:val="(%1)"/>
      <w:numFmt w:val="lowerLetter"/>
      <w:start w:val="1"/>
    </w:lvl>
  </w:abstractNum>
  <w:abstractNum w:abstractNumId="475">
    <w:nsid w:val="755B5ED6"/>
    <w:multiLevelType w:val="hybridMultilevel"/>
    <w:lvl w:ilvl="0">
      <w:lvlJc w:val="left"/>
      <w:lvlText w:val="(%1)"/>
      <w:numFmt w:val="lowerLetter"/>
      <w:start w:val="4"/>
    </w:lvl>
  </w:abstractNum>
  <w:abstractNum w:abstractNumId="476">
    <w:nsid w:val="D3715DE"/>
    <w:multiLevelType w:val="hybridMultilevel"/>
    <w:lvl w:ilvl="0">
      <w:lvlJc w:val="left"/>
      <w:lvlText w:val="(%1)"/>
      <w:numFmt w:val="lowerLetter"/>
      <w:start w:val="1"/>
    </w:lvl>
  </w:abstractNum>
  <w:abstractNum w:abstractNumId="477">
    <w:nsid w:val="73509257"/>
    <w:multiLevelType w:val="hybridMultilevel"/>
    <w:lvl w:ilvl="0">
      <w:lvlJc w:val="left"/>
      <w:lvlText w:val="(%1)"/>
      <w:numFmt w:val="lowerLetter"/>
      <w:start w:val="1"/>
    </w:lvl>
    <w:lvl w:ilvl="1">
      <w:lvlJc w:val="left"/>
      <w:lvlText w:val="(%2)"/>
      <w:numFmt w:val="lowerRoman"/>
      <w:start w:val="1"/>
    </w:lvl>
  </w:abstractNum>
  <w:abstractNum w:abstractNumId="478">
    <w:nsid w:val="7013CDB7"/>
    <w:multiLevelType w:val="hybridMultilevel"/>
    <w:lvl w:ilvl="0">
      <w:lvlJc w:val="left"/>
      <w:lvlText w:val="(%1)"/>
      <w:numFmt w:val="lowerLetter"/>
      <w:start w:val="2"/>
    </w:lvl>
  </w:abstractNum>
  <w:abstractNum w:abstractNumId="479">
    <w:nsid w:val="188BFB19"/>
    <w:multiLevelType w:val="hybridMultilevel"/>
    <w:lvl w:ilvl="0">
      <w:lvlJc w:val="left"/>
      <w:lvlText w:val="(%1)"/>
      <w:numFmt w:val="lowerLetter"/>
      <w:start w:val="1"/>
    </w:lvl>
  </w:abstractNum>
  <w:abstractNum w:abstractNumId="480">
    <w:nsid w:val="75F096DF"/>
    <w:multiLevelType w:val="hybridMultilevel"/>
    <w:lvl w:ilvl="0">
      <w:lvlJc w:val="left"/>
      <w:lvlText w:val="(%1)"/>
      <w:numFmt w:val="lowerLetter"/>
      <w:start w:val="1"/>
    </w:lvl>
    <w:lvl w:ilvl="1">
      <w:lvlJc w:val="left"/>
      <w:lvlText w:val="(%2)"/>
      <w:numFmt w:val="lowerRoman"/>
      <w:start w:val="1"/>
    </w:lvl>
  </w:abstractNum>
  <w:abstractNum w:abstractNumId="481">
    <w:nsid w:val="76DEE918"/>
    <w:multiLevelType w:val="hybridMultilevel"/>
    <w:lvl w:ilvl="0">
      <w:lvlJc w:val="left"/>
      <w:lvlText w:val="(%1)"/>
      <w:numFmt w:val="lowerLetter"/>
      <w:start w:val="3"/>
    </w:lvl>
  </w:abstractNum>
  <w:abstractNum w:abstractNumId="482">
    <w:nsid w:val="B79D08D"/>
    <w:multiLevelType w:val="hybridMultilevel"/>
    <w:lvl w:ilvl="0">
      <w:lvlJc w:val="left"/>
      <w:lvlText w:val="(%1)"/>
      <w:numFmt w:val="lowerLetter"/>
      <w:start w:val="1"/>
    </w:lvl>
    <w:lvl w:ilvl="1">
      <w:lvlJc w:val="left"/>
      <w:lvlText w:val="(%2)"/>
      <w:numFmt w:val="lowerRoman"/>
      <w:start w:val="1"/>
    </w:lvl>
  </w:abstractNum>
  <w:abstractNum w:abstractNumId="483">
    <w:nsid w:val="69141769"/>
    <w:multiLevelType w:val="hybridMultilevel"/>
    <w:lvl w:ilvl="0">
      <w:lvlJc w:val="left"/>
      <w:lvlText w:val="(%1)"/>
      <w:numFmt w:val="lowerLetter"/>
      <w:start w:val="1"/>
    </w:lvl>
  </w:abstractNum>
  <w:abstractNum w:abstractNumId="484">
    <w:nsid w:val="7BF45B8E"/>
    <w:multiLevelType w:val="hybridMultilevel"/>
    <w:lvl w:ilvl="0">
      <w:lvlJc w:val="left"/>
      <w:lvlText w:val="(%1)"/>
      <w:numFmt w:val="lowerLetter"/>
      <w:start w:val="5"/>
    </w:lvl>
  </w:abstractNum>
  <w:abstractNum w:abstractNumId="485">
    <w:nsid w:val="41205269"/>
    <w:multiLevelType w:val="hybridMultilevel"/>
    <w:lvl w:ilvl="0">
      <w:lvlJc w:val="left"/>
      <w:lvlText w:val="(%1)"/>
      <w:numFmt w:val="lowerLetter"/>
      <w:start w:val="7"/>
    </w:lvl>
  </w:abstractNum>
  <w:abstractNum w:abstractNumId="486">
    <w:nsid w:val="9AE0DD"/>
    <w:multiLevelType w:val="hybridMultilevel"/>
    <w:lvl w:ilvl="0">
      <w:lvlJc w:val="left"/>
      <w:lvlText w:val="(%1)"/>
      <w:numFmt w:val="lowerLetter"/>
      <w:start w:val="1"/>
    </w:lvl>
    <w:lvl w:ilvl="1">
      <w:lvlJc w:val="left"/>
      <w:lvlText w:val="(%2)"/>
      <w:numFmt w:val="lowerRoman"/>
      <w:start w:val="1"/>
    </w:lvl>
  </w:abstractNum>
  <w:abstractNum w:abstractNumId="487">
    <w:nsid w:val="1818832F"/>
    <w:multiLevelType w:val="hybridMultilevel"/>
    <w:lvl w:ilvl="0">
      <w:lvlJc w:val="left"/>
      <w:lvlText w:val="(%1)"/>
      <w:numFmt w:val="lowerLetter"/>
      <w:start w:val="8"/>
    </w:lvl>
  </w:abstractNum>
  <w:abstractNum w:abstractNumId="488">
    <w:nsid w:val="24C29FD1"/>
    <w:multiLevelType w:val="hybridMultilevel"/>
    <w:lvl w:ilvl="0">
      <w:lvlJc w:val="left"/>
      <w:lvlText w:val="(%1)"/>
      <w:numFmt w:val="lowerLetter"/>
      <w:start w:val="1"/>
    </w:lvl>
    <w:lvl w:ilvl="1">
      <w:lvlJc w:val="left"/>
      <w:lvlText w:val="(%2)"/>
      <w:numFmt w:val="lowerRoman"/>
      <w:start w:val="1"/>
    </w:lvl>
  </w:abstractNum>
  <w:abstractNum w:abstractNumId="489">
    <w:nsid w:val="50528108"/>
    <w:multiLevelType w:val="hybridMultilevel"/>
    <w:lvl w:ilvl="0">
      <w:lvlJc w:val="left"/>
      <w:lvlText w:val="(%1)"/>
      <w:numFmt w:val="lowerLetter"/>
      <w:start w:val="3"/>
    </w:lvl>
  </w:abstractNum>
  <w:abstractNum w:abstractNumId="490">
    <w:nsid w:val="21857A57"/>
    <w:multiLevelType w:val="hybridMultilevel"/>
    <w:lvl w:ilvl="0">
      <w:lvlJc w:val="left"/>
      <w:lvlText w:val="(%1)"/>
      <w:numFmt w:val="lowerLetter"/>
      <w:start w:val="1"/>
    </w:lvl>
  </w:abstractNum>
  <w:abstractNum w:abstractNumId="491">
    <w:nsid w:val="5FD4B154"/>
    <w:multiLevelType w:val="hybridMultilevel"/>
    <w:lvl w:ilvl="0">
      <w:lvlJc w:val="left"/>
      <w:lvlText w:val="(%1)"/>
      <w:numFmt w:val="lowerLetter"/>
      <w:start w:val="5"/>
    </w:lvl>
  </w:abstractNum>
  <w:abstractNum w:abstractNumId="492">
    <w:nsid w:val="4ABE597"/>
    <w:multiLevelType w:val="hybridMultilevel"/>
    <w:lvl w:ilvl="0">
      <w:lvlJc w:val="left"/>
      <w:lvlText w:val="(%1)"/>
      <w:numFmt w:val="lowerLetter"/>
      <w:start w:val="1"/>
    </w:lvl>
  </w:abstractNum>
  <w:abstractNum w:abstractNumId="493">
    <w:nsid w:val="5C64AD75"/>
    <w:multiLevelType w:val="hybridMultilevel"/>
    <w:lvl w:ilvl="0">
      <w:lvlJc w:val="left"/>
      <w:lvlText w:val="(%1)"/>
      <w:numFmt w:val="lowerLetter"/>
      <w:start w:val="1"/>
    </w:lvl>
    <w:lvl w:ilvl="1">
      <w:lvlJc w:val="left"/>
      <w:lvlText w:val="(%2)"/>
      <w:numFmt w:val="lowerRoman"/>
      <w:start w:val="1"/>
    </w:lvl>
  </w:abstractNum>
  <w:abstractNum w:abstractNumId="494">
    <w:nsid w:val="2CDD5B39"/>
    <w:multiLevelType w:val="hybridMultilevel"/>
    <w:lvl w:ilvl="0">
      <w:lvlJc w:val="left"/>
      <w:lvlText w:val="(%1)"/>
      <w:numFmt w:val="lowerLetter"/>
      <w:start w:val="1"/>
    </w:lvl>
  </w:abstractNum>
  <w:abstractNum w:abstractNumId="495">
    <w:nsid w:val="6F9EA0D1"/>
    <w:multiLevelType w:val="hybridMultilevel"/>
    <w:lvl w:ilvl="0">
      <w:lvlJc w:val="left"/>
      <w:lvlText w:val="(%1)"/>
      <w:numFmt w:val="lowerLetter"/>
      <w:start w:val="1"/>
    </w:lvl>
  </w:abstractNum>
  <w:abstractNum w:abstractNumId="496">
    <w:nsid w:val="247FC4AE"/>
    <w:multiLevelType w:val="hybridMultilevel"/>
    <w:lvl w:ilvl="0">
      <w:lvlJc w:val="left"/>
      <w:lvlText w:val="(%1)"/>
      <w:numFmt w:val="lowerLetter"/>
      <w:start w:val="1"/>
    </w:lvl>
  </w:abstractNum>
  <w:abstractNum w:abstractNumId="497">
    <w:nsid w:val="46C01B05"/>
    <w:multiLevelType w:val="hybridMultilevel"/>
    <w:lvl w:ilvl="0">
      <w:lvlJc w:val="left"/>
      <w:lvlText w:val="(%1)"/>
      <w:numFmt w:val="lowerLetter"/>
      <w:start w:val="1"/>
    </w:lvl>
    <w:lvl w:ilvl="1">
      <w:lvlJc w:val="left"/>
      <w:lvlText w:val="(%2)"/>
      <w:numFmt w:val="lowerRoman"/>
      <w:start w:val="1"/>
    </w:lvl>
  </w:abstractNum>
  <w:abstractNum w:abstractNumId="498">
    <w:nsid w:val="566EC29B"/>
    <w:multiLevelType w:val="hybridMultilevel"/>
    <w:lvl w:ilvl="0">
      <w:lvlJc w:val="left"/>
      <w:lvlText w:val="%1"/>
      <w:numFmt w:val="decimal"/>
      <w:start w:val="33"/>
    </w:lvl>
    <w:lvl w:ilvl="1">
      <w:lvlJc w:val="left"/>
      <w:lvlText w:val="(%2)"/>
      <w:numFmt w:val="lowerLetter"/>
      <w:start w:val="1"/>
    </w:lvl>
  </w:abstractNum>
  <w:abstractNum w:abstractNumId="499">
    <w:nsid w:val="7A963843"/>
    <w:multiLevelType w:val="hybridMultilevel"/>
    <w:lvl w:ilvl="0">
      <w:lvlJc w:val="left"/>
      <w:lvlText w:val="(%1)"/>
      <w:numFmt w:val="lowerLetter"/>
      <w:start w:val="1"/>
    </w:lvl>
  </w:abstractNum>
  <w:abstractNum w:abstractNumId="500">
    <w:nsid w:val="4FE12F61"/>
    <w:multiLevelType w:val="hybridMultilevel"/>
    <w:lvl w:ilvl="0">
      <w:lvlJc w:val="left"/>
      <w:lvlText w:val="(%1)"/>
      <w:numFmt w:val="lowerLetter"/>
      <w:start w:val="1"/>
    </w:lvl>
  </w:abstractNum>
  <w:abstractNum w:abstractNumId="501">
    <w:nsid w:val="51A3A284"/>
    <w:multiLevelType w:val="hybridMultilevel"/>
    <w:lvl w:ilvl="0">
      <w:lvlJc w:val="left"/>
      <w:lvlText w:val="(%1)"/>
      <w:numFmt w:val="lowerLetter"/>
      <w:start w:val="1"/>
    </w:lvl>
  </w:abstractNum>
  <w:abstractNum w:abstractNumId="502">
    <w:nsid w:val="376863BC"/>
    <w:multiLevelType w:val="hybridMultilevel"/>
    <w:lvl w:ilvl="0">
      <w:lvlJc w:val="left"/>
      <w:lvlText w:val="(%1)"/>
      <w:numFmt w:val="lowerLetter"/>
      <w:start w:val="1"/>
    </w:lvl>
    <w:lvl w:ilvl="1">
      <w:lvlJc w:val="left"/>
      <w:lvlText w:val="(%2)"/>
      <w:numFmt w:val="lowerRoman"/>
      <w:start w:val="1"/>
    </w:lvl>
  </w:abstractNum>
  <w:abstractNum w:abstractNumId="503">
    <w:nsid w:val="118C6C0"/>
    <w:multiLevelType w:val="hybridMultilevel"/>
    <w:lvl w:ilvl="0">
      <w:lvlJc w:val="left"/>
      <w:lvlText w:val="%1"/>
      <w:numFmt w:val="decimal"/>
      <w:start w:val="35"/>
    </w:lvl>
    <w:lvl w:ilvl="1">
      <w:lvlJc w:val="left"/>
      <w:lvlText w:val="(%2)"/>
      <w:numFmt w:val="lowerLetter"/>
      <w:start w:val="1"/>
    </w:lvl>
  </w:abstractNum>
  <w:abstractNum w:abstractNumId="504">
    <w:nsid w:val="7F7E4A15"/>
    <w:multiLevelType w:val="hybridMultilevel"/>
    <w:lvl w:ilvl="0">
      <w:lvlJc w:val="left"/>
      <w:lvlText w:val="(%1)"/>
      <w:numFmt w:val="lowerLetter"/>
      <w:start w:val="1"/>
    </w:lvl>
  </w:abstractNum>
  <w:abstractNum w:abstractNumId="505">
    <w:nsid w:val="2E8E9F47"/>
    <w:multiLevelType w:val="hybridMultilevel"/>
    <w:lvl w:ilvl="0">
      <w:lvlJc w:val="left"/>
      <w:lvlText w:val="(%1)"/>
      <w:numFmt w:val="lowerLetter"/>
      <w:start w:val="2"/>
    </w:lvl>
    <w:lvl w:ilvl="1">
      <w:lvlJc w:val="left"/>
      <w:lvlText w:val="(%2)"/>
      <w:numFmt w:val="lowerRoman"/>
      <w:start w:val="1"/>
    </w:lvl>
  </w:abstractNum>
  <w:abstractNum w:abstractNumId="506">
    <w:nsid w:val="76742596"/>
    <w:multiLevelType w:val="hybridMultilevel"/>
    <w:lvl w:ilvl="0">
      <w:lvlJc w:val="left"/>
      <w:lvlText w:val="(%1)"/>
      <w:numFmt w:val="lowerLetter"/>
      <w:start w:val="1"/>
    </w:lvl>
    <w:lvl w:ilvl="1">
      <w:lvlJc w:val="left"/>
      <w:lvlText w:val="(%2)"/>
      <w:numFmt w:val="lowerRoman"/>
      <w:start w:val="1"/>
    </w:lvl>
  </w:abstractNum>
  <w:abstractNum w:abstractNumId="507">
    <w:nsid w:val="CB55FF3"/>
    <w:multiLevelType w:val="hybridMultilevel"/>
    <w:lvl w:ilvl="0">
      <w:lvlJc w:val="left"/>
      <w:lvlText w:val="(%1)"/>
      <w:numFmt w:val="lowerLetter"/>
      <w:start w:val="1"/>
    </w:lvl>
  </w:abstractNum>
  <w:abstractNum w:abstractNumId="508">
    <w:nsid w:val="21DF319E"/>
    <w:multiLevelType w:val="hybridMultilevel"/>
    <w:lvl w:ilvl="0">
      <w:lvlJc w:val="left"/>
      <w:lvlText w:val="(%1)"/>
      <w:numFmt w:val="lowerLetter"/>
      <w:start w:val="1"/>
    </w:lvl>
  </w:abstractNum>
  <w:abstractNum w:abstractNumId="509">
    <w:nsid w:val="6687F34D"/>
    <w:multiLevelType w:val="hybridMultilevel"/>
    <w:lvl w:ilvl="0">
      <w:lvlJc w:val="left"/>
      <w:lvlText w:val="(%1)"/>
      <w:numFmt w:val="lowerLetter"/>
      <w:start w:val="1"/>
    </w:lvl>
    <w:lvl w:ilvl="1">
      <w:lvlJc w:val="left"/>
      <w:lvlText w:val="(%2)"/>
      <w:numFmt w:val="lowerRoman"/>
      <w:start w:val="1"/>
    </w:lvl>
  </w:abstractNum>
  <w:abstractNum w:abstractNumId="510">
    <w:nsid w:val="25415B0C"/>
    <w:multiLevelType w:val="hybridMultilevel"/>
    <w:lvl w:ilvl="0">
      <w:lvlJc w:val="left"/>
      <w:lvlText w:val="(%1)"/>
      <w:numFmt w:val="lowerLetter"/>
      <w:start w:val="1"/>
    </w:lvl>
  </w:abstractNum>
  <w:abstractNum w:abstractNumId="511">
    <w:nsid w:val="17CFC87D"/>
    <w:multiLevelType w:val="hybridMultilevel"/>
    <w:lvl w:ilvl="0">
      <w:lvlJc w:val="left"/>
      <w:lvlText w:val="(%1)"/>
      <w:numFmt w:val="lowerLetter"/>
      <w:start w:val="1"/>
    </w:lvl>
  </w:abstractNum>
  <w:abstractNum w:abstractNumId="512">
    <w:nsid w:val="5D66DC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3">
    <w:nsid w:val="30BB2B99"/>
    <w:multiLevelType w:val="hybridMultilevel"/>
    <w:lvl w:ilvl="0">
      <w:lvlJc w:val="left"/>
      <w:lvlText w:val="(%1)"/>
      <w:numFmt w:val="lowerLetter"/>
      <w:start w:val="1"/>
    </w:lvl>
  </w:abstractNum>
  <w:abstractNum w:abstractNumId="514">
    <w:nsid w:val="E3DFE6"/>
    <w:multiLevelType w:val="hybridMultilevel"/>
    <w:lvl w:ilvl="0">
      <w:lvlJc w:val="left"/>
      <w:lvlText w:val="(%1)"/>
      <w:numFmt w:val="lowerLetter"/>
      <w:start w:val="1"/>
    </w:lvl>
  </w:abstractNum>
  <w:abstractNum w:abstractNumId="515">
    <w:nsid w:val="595B37F3"/>
    <w:multiLevelType w:val="hybridMultilevel"/>
    <w:lvl w:ilvl="0">
      <w:lvlJc w:val="left"/>
      <w:lvlText w:val="(%1)"/>
      <w:numFmt w:val="lowerLetter"/>
      <w:start w:val="2"/>
    </w:lvl>
    <w:lvl w:ilvl="1">
      <w:lvlJc w:val="left"/>
      <w:lvlText w:val="(%2)"/>
      <w:numFmt w:val="lowerRoman"/>
      <w:start w:val="1"/>
    </w:lvl>
  </w:abstractNum>
  <w:abstractNum w:abstractNumId="516">
    <w:nsid w:val="71DB7E02"/>
    <w:multiLevelType w:val="hybridMultilevel"/>
    <w:lvl w:ilvl="0">
      <w:lvlJc w:val="left"/>
      <w:lvlText w:val="%1"/>
      <w:numFmt w:val="decimal"/>
      <w:start w:val="36"/>
    </w:lvl>
  </w:abstractNum>
  <w:abstractNum w:abstractNumId="517">
    <w:nsid w:val="17EC0C4"/>
    <w:multiLevelType w:val="hybridMultilevel"/>
    <w:lvl w:ilvl="0">
      <w:lvlJc w:val="left"/>
      <w:lvlText w:val="(%1)"/>
      <w:numFmt w:val="lowerRoman"/>
      <w:start w:val="1"/>
    </w:lvl>
  </w:abstractNum>
  <w:abstractNum w:abstractNumId="518">
    <w:nsid w:val="7173BB22"/>
    <w:multiLevelType w:val="hybridMultilevel"/>
    <w:lvl w:ilvl="0">
      <w:lvlJc w:val="left"/>
      <w:lvlText w:val="(%1)"/>
      <w:numFmt w:val="lowerLetter"/>
      <w:start w:val="1"/>
    </w:lvl>
    <w:lvl w:ilvl="1">
      <w:lvlJc w:val="left"/>
      <w:lvlText w:val="(%2)"/>
      <w:numFmt w:val="lowerRoman"/>
      <w:start w:val="1"/>
    </w:lvl>
  </w:abstractNum>
  <w:abstractNum w:abstractNumId="519">
    <w:nsid w:val="169E1DD3"/>
    <w:multiLevelType w:val="hybridMultilevel"/>
    <w:lvl w:ilvl="0">
      <w:lvlJc w:val="left"/>
      <w:lvlText w:val="(%1)"/>
      <w:numFmt w:val="lowerLetter"/>
      <w:start w:val="2"/>
    </w:lvl>
  </w:abstractNum>
  <w:abstractNum w:abstractNumId="520">
    <w:nsid w:val="51D141CC"/>
    <w:multiLevelType w:val="hybridMultilevel"/>
    <w:lvl w:ilvl="0">
      <w:lvlJc w:val="left"/>
      <w:lvlText w:val="(%1)"/>
      <w:numFmt w:val="lowerLetter"/>
      <w:start w:val="1"/>
    </w:lvl>
    <w:lvl w:ilvl="1">
      <w:lvlJc w:val="left"/>
      <w:lvlText w:val="(%2)"/>
      <w:numFmt w:val="lowerRoman"/>
      <w:start w:val="1"/>
    </w:lvl>
  </w:abstractNum>
  <w:abstractNum w:abstractNumId="521">
    <w:nsid w:val="12F9357A"/>
    <w:multiLevelType w:val="hybridMultilevel"/>
    <w:lvl w:ilvl="0">
      <w:lvlJc w:val="left"/>
      <w:lvlText w:val="(%1)"/>
      <w:numFmt w:val="lowerLetter"/>
      <w:start w:val="4"/>
    </w:lvl>
    <w:lvl w:ilvl="1">
      <w:lvlJc w:val="left"/>
      <w:lvlText w:val="(%2)"/>
      <w:numFmt w:val="lowerRoman"/>
      <w:start w:val="1"/>
    </w:lvl>
  </w:abstractNum>
  <w:abstractNum w:abstractNumId="522">
    <w:nsid w:val="7672CF28"/>
    <w:multiLevelType w:val="hybridMultilevel"/>
    <w:lvl w:ilvl="0">
      <w:lvlJc w:val="left"/>
      <w:lvlText w:val="(%1)"/>
      <w:numFmt w:val="lowerLetter"/>
      <w:start w:val="1"/>
    </w:lvl>
    <w:lvl w:ilvl="1">
      <w:lvlJc w:val="left"/>
      <w:lvlText w:val="(%2)"/>
      <w:numFmt w:val="lowerRoman"/>
      <w:start w:val="1"/>
    </w:lvl>
  </w:abstractNum>
  <w:abstractNum w:abstractNumId="523">
    <w:nsid w:val="567D2763"/>
    <w:multiLevelType w:val="hybridMultilevel"/>
    <w:lvl w:ilvl="0">
      <w:lvlJc w:val="left"/>
      <w:lvlText w:val="%1"/>
      <w:numFmt w:val="decimal"/>
      <w:start w:val="38"/>
    </w:lvl>
  </w:abstractNum>
  <w:abstractNum w:abstractNumId="524">
    <w:nsid w:val="6F5DE2EF"/>
    <w:multiLevelType w:val="hybridMultilevel"/>
    <w:lvl w:ilvl="0">
      <w:lvlJc w:val="left"/>
      <w:lvlText w:val="%1"/>
      <w:numFmt w:val="decimal"/>
      <w:start w:val="39"/>
    </w:lvl>
  </w:abstractNum>
  <w:abstractNum w:abstractNumId="525">
    <w:nsid w:val="23502A61"/>
    <w:multiLevelType w:val="hybridMultilevel"/>
    <w:lvl w:ilvl="0">
      <w:lvlJc w:val="left"/>
      <w:lvlText w:val="(%1)"/>
      <w:numFmt w:val="lowerLetter"/>
      <w:start w:val="1"/>
    </w:lvl>
  </w:abstractNum>
  <w:abstractNum w:abstractNumId="526">
    <w:nsid w:val="461BC834"/>
    <w:multiLevelType w:val="hybridMultilevel"/>
    <w:lvl w:ilvl="0">
      <w:lvlJc w:val="left"/>
      <w:lvlText w:val="(%1)"/>
      <w:numFmt w:val="lowerLetter"/>
      <w:start w:val="4"/>
    </w:lvl>
  </w:abstractNum>
  <w:abstractNum w:abstractNumId="527">
    <w:nsid w:val="13DDA79D"/>
    <w:multiLevelType w:val="hybridMultilevel"/>
    <w:lvl w:ilvl="0">
      <w:lvlJc w:val="left"/>
      <w:lvlText w:val="(%1)"/>
      <w:numFmt w:val="lowerLetter"/>
      <w:start w:val="1"/>
    </w:lvl>
  </w:abstractNum>
  <w:abstractNum w:abstractNumId="528">
    <w:nsid w:val="6A104566"/>
    <w:multiLevelType w:val="hybridMultilevel"/>
    <w:lvl w:ilvl="0">
      <w:lvlJc w:val="left"/>
      <w:lvlText w:val="(%1)"/>
      <w:numFmt w:val="lowerLetter"/>
      <w:start w:val="1"/>
    </w:lvl>
  </w:abstractNum>
  <w:abstractNum w:abstractNumId="529">
    <w:nsid w:val="1C8A8ACF"/>
    <w:multiLevelType w:val="hybridMultilevel"/>
    <w:lvl w:ilvl="0">
      <w:lvlJc w:val="left"/>
      <w:lvlText w:val="(%1)"/>
      <w:numFmt w:val="lowerLetter"/>
      <w:start w:val="2"/>
    </w:lvl>
  </w:abstractNum>
  <w:abstractNum w:abstractNumId="530">
    <w:nsid w:val="E73DFE0"/>
    <w:multiLevelType w:val="hybridMultilevel"/>
    <w:lvl w:ilvl="0">
      <w:lvlJc w:val="left"/>
      <w:lvlText w:val="(%1)"/>
      <w:numFmt w:val="lowerLetter"/>
      <w:start w:val="1"/>
    </w:lvl>
    <w:lvl w:ilvl="1">
      <w:lvlJc w:val="left"/>
      <w:lvlText w:val="(%2)"/>
      <w:numFmt w:val="lowerRoman"/>
      <w:start w:val="1"/>
    </w:lvl>
  </w:abstractNum>
  <w:abstractNum w:abstractNumId="531">
    <w:nsid w:val="39F174C7"/>
    <w:multiLevelType w:val="hybridMultilevel"/>
    <w:lvl w:ilvl="0">
      <w:lvlJc w:val="left"/>
      <w:lvlText w:val="(%1)"/>
      <w:numFmt w:val="lowerLetter"/>
      <w:start w:val="1"/>
    </w:lvl>
  </w:abstractNum>
  <w:abstractNum w:abstractNumId="532">
    <w:nsid w:val="6E2E2D53"/>
    <w:multiLevelType w:val="hybridMultilevel"/>
    <w:lvl w:ilvl="0">
      <w:lvlJc w:val="left"/>
      <w:lvlText w:val="(%1)"/>
      <w:numFmt w:val="lowerLetter"/>
      <w:start w:val="2"/>
    </w:lvl>
    <w:lvl w:ilvl="1">
      <w:lvlJc w:val="left"/>
      <w:lvlText w:val="(%2)"/>
      <w:numFmt w:val="lowerRoman"/>
      <w:start w:val="1"/>
    </w:lvl>
  </w:abstractNum>
  <w:abstractNum w:abstractNumId="533">
    <w:nsid w:val="45DC439D"/>
    <w:multiLevelType w:val="hybridMultilevel"/>
    <w:lvl w:ilvl="0">
      <w:lvlJc w:val="left"/>
      <w:lvlText w:val="(%1)"/>
      <w:numFmt w:val="lowerLetter"/>
      <w:start w:val="1"/>
    </w:lvl>
    <w:lvl w:ilvl="1">
      <w:lvlJc w:val="left"/>
      <w:lvlText w:val="(%2)"/>
      <w:numFmt w:val="lowerRoman"/>
      <w:start w:val="1"/>
    </w:lvl>
  </w:abstractNum>
  <w:abstractNum w:abstractNumId="534">
    <w:nsid w:val="3B0A3B87"/>
    <w:multiLevelType w:val="hybridMultilevel"/>
    <w:lvl w:ilvl="0">
      <w:lvlJc w:val="left"/>
      <w:lvlText w:val="(%1)"/>
      <w:numFmt w:val="lowerRoman"/>
      <w:start w:val="1"/>
    </w:lvl>
  </w:abstractNum>
  <w:abstractNum w:abstractNumId="535">
    <w:nsid w:val="6DAC7768"/>
    <w:multiLevelType w:val="hybridMultilevel"/>
    <w:lvl w:ilvl="0">
      <w:lvlJc w:val="left"/>
      <w:lvlText w:val="(%1)"/>
      <w:numFmt w:val="lowerLetter"/>
      <w:start w:val="1"/>
    </w:lvl>
  </w:abstractNum>
  <w:abstractNum w:abstractNumId="536">
    <w:nsid w:val="746AE2E4"/>
    <w:multiLevelType w:val="hybridMultilevel"/>
    <w:lvl w:ilvl="0">
      <w:lvlJc w:val="left"/>
      <w:lvlText w:val="(%1)"/>
      <w:numFmt w:val="lowerLetter"/>
      <w:start w:val="1"/>
    </w:lvl>
    <w:lvl w:ilvl="1">
      <w:lvlJc w:val="left"/>
      <w:lvlText w:val="(%2)"/>
      <w:numFmt w:val="lowerRoman"/>
      <w:start w:val="1"/>
    </w:lvl>
  </w:abstractNum>
  <w:abstractNum w:abstractNumId="537">
    <w:nsid w:val="317E611D"/>
    <w:multiLevelType w:val="hybridMultilevel"/>
    <w:lvl w:ilvl="0">
      <w:lvlJc w:val="left"/>
      <w:lvlText w:val="(%1)"/>
      <w:numFmt w:val="lowerLetter"/>
      <w:start w:val="1"/>
    </w:lvl>
    <w:lvl w:ilvl="1">
      <w:lvlJc w:val="left"/>
      <w:lvlText w:val="(%2)"/>
      <w:numFmt w:val="lowerRoman"/>
      <w:start w:val="1"/>
    </w:lvl>
  </w:abstractNum>
  <w:abstractNum w:abstractNumId="538">
    <w:nsid w:val="7A61D75B"/>
    <w:multiLevelType w:val="hybridMultilevel"/>
    <w:lvl w:ilvl="0">
      <w:lvlJc w:val="left"/>
      <w:lvlText w:val="(%1)"/>
      <w:numFmt w:val="lowerLetter"/>
      <w:start w:val="2"/>
    </w:lvl>
  </w:abstractNum>
  <w:abstractNum w:abstractNumId="539">
    <w:nsid w:val="164A1482"/>
    <w:multiLevelType w:val="hybridMultilevel"/>
    <w:lvl w:ilvl="0">
      <w:lvlJc w:val="left"/>
      <w:lvlText w:val="(%1)"/>
      <w:numFmt w:val="lowerLetter"/>
      <w:start w:val="1"/>
    </w:lvl>
  </w:abstractNum>
  <w:abstractNum w:abstractNumId="540">
    <w:nsid w:val="1806546B"/>
    <w:multiLevelType w:val="hybridMultilevel"/>
    <w:lvl w:ilvl="0">
      <w:lvlJc w:val="left"/>
      <w:lvlText w:val="(%1)"/>
      <w:numFmt w:val="upperLetter"/>
      <w:start w:val="1"/>
    </w:lvl>
  </w:abstractNum>
  <w:abstractNum w:abstractNumId="541">
    <w:nsid w:val="1FA33267"/>
    <w:multiLevelType w:val="hybridMultilevel"/>
    <w:lvl w:ilvl="0">
      <w:lvlJc w:val="left"/>
      <w:lvlText w:val="%1"/>
      <w:numFmt w:val="lowerLetter"/>
      <w:start w:val="1"/>
    </w:lvl>
    <w:lvl w:ilvl="1">
      <w:lvlJc w:val="left"/>
      <w:lvlText w:val="(%2)"/>
      <w:numFmt w:val="lowerRoman"/>
      <w:start w:val="2"/>
    </w:lvl>
  </w:abstractNum>
  <w:abstractNum w:abstractNumId="542">
    <w:nsid w:val="2E19DD00"/>
    <w:multiLevelType w:val="hybridMultilevel"/>
    <w:lvl w:ilvl="0">
      <w:lvlJc w:val="left"/>
      <w:lvlText w:val="(%1)"/>
      <w:numFmt w:val="lowerLetter"/>
      <w:start w:val="3"/>
    </w:lvl>
    <w:lvl w:ilvl="1">
      <w:lvlJc w:val="left"/>
      <w:lvlText w:val="(%2)"/>
      <w:numFmt w:val="lowerRoman"/>
      <w:start w:val="1"/>
    </w:lvl>
  </w:abstractNum>
  <w:abstractNum w:abstractNumId="543">
    <w:nsid w:val="756D30D0"/>
    <w:multiLevelType w:val="hybridMultilevel"/>
    <w:lvl w:ilvl="0">
      <w:lvlJc w:val="left"/>
      <w:lvlText w:val="%1"/>
      <w:numFmt w:val="decimal"/>
      <w:start w:val="42"/>
    </w:lvl>
  </w:abstractNum>
  <w:abstractNum w:abstractNumId="544">
    <w:nsid w:val="505E5E01"/>
    <w:multiLevelType w:val="hybridMultilevel"/>
    <w:lvl w:ilvl="0">
      <w:lvlJc w:val="left"/>
      <w:lvlText w:val="(%1)"/>
      <w:numFmt w:val="lowerLetter"/>
      <w:start w:val="1"/>
    </w:lvl>
  </w:abstractNum>
  <w:abstractNum w:abstractNumId="545">
    <w:nsid w:val="2EFDBCE6"/>
    <w:multiLevelType w:val="hybridMultilevel"/>
    <w:lvl w:ilvl="0">
      <w:lvlJc w:val="left"/>
      <w:lvlText w:val="(%1)"/>
      <w:numFmt w:val="lowerLetter"/>
      <w:start w:val="1"/>
    </w:lvl>
    <w:lvl w:ilvl="1">
      <w:lvlJc w:val="left"/>
      <w:lvlText w:val="(%2)"/>
      <w:numFmt w:val="lowerRoman"/>
      <w:start w:val="1"/>
    </w:lvl>
  </w:abstractNum>
  <w:abstractNum w:abstractNumId="546">
    <w:nsid w:val="4EC868C4"/>
    <w:multiLevelType w:val="hybridMultilevel"/>
    <w:lvl w:ilvl="0">
      <w:lvlJc w:val="left"/>
      <w:lvlText w:val="(%1)"/>
      <w:numFmt w:val="lowerLetter"/>
      <w:start w:val="1"/>
    </w:lvl>
  </w:abstractNum>
  <w:abstractNum w:abstractNumId="547">
    <w:nsid w:val="4239DC03"/>
    <w:multiLevelType w:val="hybridMultilevel"/>
    <w:lvl w:ilvl="0">
      <w:lvlJc w:val="left"/>
      <w:lvlText w:val="(%1)"/>
      <w:numFmt w:val="lowerLetter"/>
      <w:start w:val="1"/>
    </w:lvl>
  </w:abstractNum>
  <w:abstractNum w:abstractNumId="548">
    <w:nsid w:val="307C7DAA"/>
    <w:multiLevelType w:val="hybridMultilevel"/>
    <w:lvl w:ilvl="0">
      <w:lvlJc w:val="left"/>
      <w:lvlText w:val="%1"/>
      <w:numFmt w:val="decimal"/>
      <w:start w:val="44"/>
    </w:lvl>
  </w:abstractNum>
  <w:abstractNum w:abstractNumId="549">
    <w:nsid w:val="403C23E6"/>
    <w:multiLevelType w:val="hybridMultilevel"/>
    <w:lvl w:ilvl="0">
      <w:lvlJc w:val="left"/>
      <w:lvlText w:val="(%1)"/>
      <w:numFmt w:val="lowerLetter"/>
      <w:start w:val="1"/>
    </w:lvl>
  </w:abstractNum>
  <w:abstractNum w:abstractNumId="550">
    <w:nsid w:val="58D7F9D7"/>
    <w:multiLevelType w:val="hybridMultilevel"/>
    <w:lvl w:ilvl="0">
      <w:lvlJc w:val="left"/>
      <w:lvlText w:val="(%1)"/>
      <w:numFmt w:val="lowerLetter"/>
      <w:start w:val="1"/>
    </w:lvl>
  </w:abstractNum>
  <w:abstractNum w:abstractNumId="551">
    <w:nsid w:val="24DBF76"/>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552">
    <w:nsid w:val="53355960"/>
    <w:multiLevelType w:val="hybridMultilevel"/>
    <w:lvl w:ilvl="0">
      <w:lvlJc w:val="left"/>
      <w:lvlText w:val="2"/>
      <w:numFmt w:val="bullet"/>
      <w:start w:val="1"/>
    </w:lvl>
  </w:abstractNum>
  <w:abstractNum w:abstractNumId="553">
    <w:nsid w:val="4F4AC8FF"/>
    <w:multiLevelType w:val="hybridMultilevel"/>
    <w:lvl w:ilvl="0">
      <w:lvlJc w:val="left"/>
      <w:lvlText w:val="(%1)"/>
      <w:numFmt w:val="lowerLetter"/>
      <w:start w:val="1"/>
    </w:lvl>
  </w:abstractNum>
  <w:abstractNum w:abstractNumId="554">
    <w:nsid w:val="58CAE6D9"/>
    <w:multiLevelType w:val="hybridMultilevel"/>
    <w:lvl w:ilvl="0">
      <w:lvlJc w:val="left"/>
      <w:lvlText w:val="(%1)"/>
      <w:numFmt w:val="lowerLetter"/>
      <w:start w:val="2"/>
    </w:lvl>
  </w:abstractNum>
  <w:abstractNum w:abstractNumId="555">
    <w:nsid w:val="42933C4F"/>
    <w:multiLevelType w:val="hybridMultilevel"/>
    <w:lvl w:ilvl="0">
      <w:lvlJc w:val="left"/>
      <w:lvlText w:val="3"/>
      <w:numFmt w:val="bullet"/>
      <w:start w:val="1"/>
    </w:lvl>
  </w:abstractNum>
  <w:abstractNum w:abstractNumId="556">
    <w:nsid w:val="729AF360"/>
    <w:multiLevelType w:val="hybridMultilevel"/>
    <w:lvl w:ilvl="0">
      <w:lvlJc w:val="left"/>
      <w:lvlText w:val="(%1)"/>
      <w:numFmt w:val="lowerLetter"/>
      <w:start w:val="1"/>
    </w:lvl>
  </w:abstractNum>
  <w:abstractNum w:abstractNumId="557">
    <w:nsid w:val="1EE6AF0D"/>
    <w:multiLevelType w:val="hybridMultilevel"/>
    <w:lvl w:ilvl="0">
      <w:lvlJc w:val="left"/>
      <w:lvlText w:val="4"/>
      <w:numFmt w:val="bullet"/>
      <w:start w:val="1"/>
    </w:lvl>
    <w:lvl w:ilvl="1">
      <w:lvlJc w:val="left"/>
      <w:lvlText w:val="(%2)"/>
      <w:numFmt w:val="lowerLetter"/>
      <w:start w:val="1"/>
    </w:lvl>
  </w:abstractNum>
  <w:abstractNum w:abstractNumId="558">
    <w:nsid w:val="5670E3ED"/>
    <w:multiLevelType w:val="hybridMultilevel"/>
    <w:lvl w:ilvl="0">
      <w:lvlJc w:val="left"/>
      <w:lvlText w:val="5"/>
      <w:numFmt w:val="bullet"/>
      <w:start w:val="1"/>
    </w:lvl>
  </w:abstractNum>
  <w:abstractNum w:abstractNumId="559">
    <w:nsid w:val="5CAB38C6"/>
    <w:multiLevelType w:val="hybridMultilevel"/>
    <w:lvl w:ilvl="0">
      <w:lvlJc w:val="left"/>
      <w:lvlText w:val="6"/>
      <w:numFmt w:val="bullet"/>
      <w:start w:val="1"/>
    </w:lvl>
  </w:abstractNum>
  <w:abstractNum w:abstractNumId="560">
    <w:nsid w:val="3B7139DD"/>
    <w:multiLevelType w:val="hybridMultilevel"/>
    <w:lvl w:ilvl="0">
      <w:lvlJc w:val="left"/>
      <w:lvlText w:val="7"/>
      <w:numFmt w:val="bullet"/>
      <w:start w:val="1"/>
    </w:lvl>
    <w:lvl w:ilvl="1">
      <w:lvlJc w:val="left"/>
      <w:lvlText w:val="(%2)"/>
      <w:numFmt w:val="lowerLetter"/>
      <w:start w:val="1"/>
    </w:lvl>
  </w:abstractNum>
  <w:abstractNum w:abstractNumId="561">
    <w:nsid w:val="64E4C3CD"/>
    <w:multiLevelType w:val="hybridMultilevel"/>
    <w:lvl w:ilvl="0">
      <w:lvlJc w:val="left"/>
      <w:lvlText w:val="8"/>
      <w:numFmt w:val="bullet"/>
      <w:start w:val="1"/>
    </w:lvl>
    <w:lvl w:ilvl="1">
      <w:lvlJc w:val="left"/>
      <w:lvlText w:val="(%2)"/>
      <w:numFmt w:val="lowerLetter"/>
      <w:start w:val="1"/>
    </w:lvl>
  </w:abstractNum>
  <w:abstractNum w:abstractNumId="562">
    <w:nsid w:val="169CAD8D"/>
    <w:multiLevelType w:val="hybridMultilevel"/>
    <w:lvl w:ilvl="0">
      <w:lvlJc w:val="left"/>
      <w:lvlText w:val="9"/>
      <w:numFmt w:val="bullet"/>
      <w:start w:val="1"/>
    </w:lvl>
    <w:lvl w:ilvl="1">
      <w:lvlJc w:val="left"/>
      <w:lvlText w:val="(%2)"/>
      <w:numFmt w:val="lowerLetter"/>
      <w:start w:val="1"/>
    </w:lvl>
  </w:abstractNum>
  <w:abstractNum w:abstractNumId="563">
    <w:nsid w:val="299F6730"/>
    <w:multiLevelType w:val="hybridMultilevel"/>
    <w:lvl w:ilvl="0">
      <w:lvlJc w:val="left"/>
      <w:lvlText w:val="%1"/>
      <w:numFmt w:val="decimal"/>
      <w:start w:val="11"/>
    </w:lvl>
    <w:lvl w:ilvl="1">
      <w:lvlJc w:val="left"/>
      <w:lvlText w:val="(%2)"/>
      <w:numFmt w:val="lowerLetter"/>
      <w:start w:val="1"/>
    </w:lvl>
  </w:abstractNum>
  <w:abstractNum w:abstractNumId="564">
    <w:nsid w:val="2AC1076A"/>
    <w:multiLevelType w:val="hybridMultilevel"/>
    <w:lvl w:ilvl="0">
      <w:lvlJc w:val="left"/>
      <w:lvlText w:val="%1"/>
      <w:numFmt w:val="decimal"/>
      <w:start w:val="14"/>
    </w:lvl>
  </w:abstractNum>
  <w:abstractNum w:abstractNumId="565">
    <w:nsid w:val="51A6E915"/>
    <w:multiLevelType w:val="hybridMultilevel"/>
    <w:lvl w:ilvl="0">
      <w:lvlJc w:val="left"/>
      <w:lvlText w:val="%1"/>
      <w:numFmt w:val="decimal"/>
      <w:start w:val="16"/>
    </w:lvl>
  </w:abstractNum>
  <w:abstractNum w:abstractNumId="566">
    <w:nsid w:val="174BDE99"/>
    <w:multiLevelType w:val="hybridMultilevel"/>
    <w:lvl w:ilvl="0">
      <w:lvlJc w:val="left"/>
      <w:lvlText w:val="1"/>
      <w:numFmt w:val="bullet"/>
      <w:start w:val="1"/>
    </w:lvl>
  </w:abstractNum>
  <w:abstractNum w:abstractNumId="567">
    <w:nsid w:val="1F2BEA4E"/>
    <w:multiLevelType w:val="hybridMultilevel"/>
    <w:lvl w:ilvl="0">
      <w:lvlJc w:val="left"/>
      <w:lvlText w:val="2"/>
      <w:numFmt w:val="bullet"/>
      <w:start w:val="1"/>
    </w:lvl>
  </w:abstractNum>
  <w:abstractNum w:abstractNumId="568">
    <w:nsid w:val="3254A32"/>
    <w:multiLevelType w:val="hybridMultilevel"/>
    <w:lvl w:ilvl="0">
      <w:lvlJc w:val="left"/>
      <w:lvlText w:val="1"/>
      <w:numFmt w:val="bullet"/>
      <w:start w:val="1"/>
    </w:lvl>
  </w:abstractNum>
  <w:abstractNum w:abstractNumId="569">
    <w:nsid w:val="11ADB5F4"/>
    <w:multiLevelType w:val="hybridMultilevel"/>
    <w:lvl w:ilvl="0">
      <w:lvlJc w:val="left"/>
      <w:lvlText w:val="2"/>
      <w:numFmt w:val="bullet"/>
      <w:start w:val="1"/>
    </w:lvl>
  </w:abstractNum>
  <w:abstractNum w:abstractNumId="570">
    <w:nsid w:val="3575FED1"/>
    <w:multiLevelType w:val="hybridMultilevel"/>
    <w:lvl w:ilvl="0">
      <w:lvlJc w:val="left"/>
      <w:lvlText w:val="3"/>
      <w:numFmt w:val="bullet"/>
      <w:start w:val="1"/>
    </w:lvl>
  </w:abstractNum>
  <w:abstractNum w:abstractNumId="571">
    <w:nsid w:val="1B2B9E9D"/>
    <w:multiLevelType w:val="hybridMultilevel"/>
    <w:lvl w:ilvl="0">
      <w:lvlJc w:val="left"/>
      <w:lvlText w:val="(%1)"/>
      <w:numFmt w:val="lowerLetter"/>
      <w:start w:val="3"/>
    </w:lvl>
  </w:abstractNum>
  <w:abstractNum w:abstractNumId="572">
    <w:nsid w:val="3150E85C"/>
    <w:multiLevelType w:val="hybridMultilevel"/>
    <w:lvl w:ilvl="0">
      <w:lvlJc w:val="left"/>
      <w:lvlText w:val="5"/>
      <w:numFmt w:val="bullet"/>
      <w:start w:val="1"/>
    </w:lvl>
  </w:abstractNum>
  <w:abstractNum w:abstractNumId="573">
    <w:nsid w:val="638FDBD1"/>
    <w:multiLevelType w:val="hybridMultilevel"/>
    <w:lvl w:ilvl="0">
      <w:lvlJc w:val="left"/>
      <w:lvlText w:val="6"/>
      <w:numFmt w:val="bullet"/>
      <w:start w:val="1"/>
    </w:lvl>
  </w:abstractNum>
  <w:abstractNum w:abstractNumId="574">
    <w:nsid w:val="1098CF6E"/>
    <w:multiLevelType w:val="hybridMultilevel"/>
    <w:lvl w:ilvl="0">
      <w:lvlJc w:val="left"/>
      <w:lvlText w:val="7"/>
      <w:numFmt w:val="bullet"/>
      <w:start w:val="1"/>
    </w:lvl>
  </w:abstractNum>
  <w:abstractNum w:abstractNumId="575">
    <w:nsid w:val="1AF465D"/>
    <w:multiLevelType w:val="hybridMultilevel"/>
    <w:lvl w:ilvl="0">
      <w:lvlJc w:val="left"/>
      <w:lvlText w:val="8"/>
      <w:numFmt w:val="bullet"/>
      <w:start w:val="1"/>
    </w:lvl>
  </w:abstractNum>
  <w:abstractNum w:abstractNumId="576">
    <w:nsid w:val="128D98B7"/>
    <w:multiLevelType w:val="hybridMultilevel"/>
    <w:lvl w:ilvl="0">
      <w:lvlJc w:val="left"/>
      <w:lvlText w:val="9"/>
      <w:numFmt w:val="bullet"/>
      <w:start w:val="1"/>
    </w:lvl>
  </w:abstractNum>
  <w:abstractNum w:abstractNumId="577">
    <w:nsid w:val="5F613832"/>
    <w:multiLevelType w:val="hybridMultilevel"/>
    <w:lvl w:ilvl="0">
      <w:lvlJc w:val="left"/>
      <w:lvlText w:val="1"/>
      <w:numFmt w:val="bullet"/>
      <w:start w:val="1"/>
    </w:lvl>
  </w:abstractNum>
  <w:abstractNum w:abstractNumId="578">
    <w:nsid w:val="43E92260"/>
    <w:multiLevelType w:val="hybridMultilevel"/>
    <w:lvl w:ilvl="0">
      <w:lvlJc w:val="left"/>
      <w:lvlText w:val="3"/>
      <w:numFmt w:val="bullet"/>
      <w:start w:val="1"/>
    </w:lvl>
  </w:abstractNum>
  <w:abstractNum w:abstractNumId="579">
    <w:nsid w:val="430A1662"/>
    <w:multiLevelType w:val="hybridMultilevel"/>
    <w:lvl w:ilvl="0">
      <w:lvlJc w:val="left"/>
      <w:lvlText w:val="(%1)"/>
      <w:numFmt w:val="lowerLetter"/>
      <w:start w:val="2"/>
    </w:lvl>
  </w:abstractNum>
  <w:abstractNum w:abstractNumId="580">
    <w:nsid w:val="1F9D5C18"/>
    <w:multiLevelType w:val="hybridMultilevel"/>
    <w:lvl w:ilvl="0">
      <w:lvlJc w:val="left"/>
      <w:lvlText w:val="4"/>
      <w:numFmt w:val="bullet"/>
      <w:start w:val="1"/>
    </w:lvl>
  </w:abstractNum>
  <w:abstractNum w:abstractNumId="581">
    <w:nsid w:val="1CC11C37"/>
    <w:multiLevelType w:val="hybridMultilevel"/>
    <w:lvl w:ilvl="0">
      <w:lvlJc w:val="left"/>
      <w:lvlText w:val="5"/>
      <w:numFmt w:val="bullet"/>
      <w:start w:val="1"/>
    </w:lvl>
  </w:abstractNum>
  <w:abstractNum w:abstractNumId="582">
    <w:nsid w:val="4557D5D8"/>
    <w:multiLevelType w:val="hybridMultilevel"/>
    <w:lvl w:ilvl="0">
      <w:lvlJc w:val="left"/>
      <w:lvlText w:val="1"/>
      <w:numFmt w:val="bullet"/>
      <w:start w:val="1"/>
    </w:lvl>
  </w:abstractNum>
  <w:abstractNum w:abstractNumId="583">
    <w:nsid w:val="72D2B579"/>
    <w:multiLevelType w:val="hybridMultilevel"/>
    <w:lvl w:ilvl="0">
      <w:lvlJc w:val="left"/>
      <w:lvlText w:val="2"/>
      <w:numFmt w:val="bullet"/>
      <w:start w:val="1"/>
    </w:lvl>
    <w:lvl w:ilvl="1">
      <w:lvlJc w:val="left"/>
      <w:lvlText w:val="(%2)"/>
      <w:numFmt w:val="lowerLetter"/>
      <w:start w:val="1"/>
    </w:lvl>
  </w:abstractNum>
  <w:abstractNum w:abstractNumId="584">
    <w:nsid w:val="6C0BE536"/>
    <w:multiLevelType w:val="hybridMultilevel"/>
    <w:lvl w:ilvl="0">
      <w:lvlJc w:val="left"/>
      <w:lvlText w:val="(%1)"/>
      <w:numFmt w:val="lowerLetter"/>
      <w:start w:val="5"/>
    </w:lvl>
  </w:abstractNum>
  <w:abstractNum w:abstractNumId="585">
    <w:nsid w:val="1E22BCB2"/>
    <w:multiLevelType w:val="hybridMultilevel"/>
    <w:lvl w:ilvl="0">
      <w:lvlJc w:val="left"/>
      <w:lvlText w:val="3"/>
      <w:numFmt w:val="bullet"/>
      <w:start w:val="1"/>
    </w:lvl>
  </w:abstractNum>
  <w:abstractNum w:abstractNumId="586">
    <w:nsid w:val="3565F1C8"/>
    <w:multiLevelType w:val="hybridMultilevel"/>
    <w:lvl w:ilvl="0">
      <w:lvlJc w:val="left"/>
      <w:lvlText w:val="4"/>
      <w:numFmt w:val="bullet"/>
      <w:start w:val="1"/>
    </w:lvl>
  </w:abstractNum>
  <w:abstractNum w:abstractNumId="587">
    <w:nsid w:val="5EA6D896"/>
    <w:multiLevelType w:val="hybridMultilevel"/>
    <w:lvl w:ilvl="0">
      <w:lvlJc w:val="left"/>
      <w:lvlText w:val="5"/>
      <w:numFmt w:val="bullet"/>
      <w:start w:val="1"/>
    </w:lvl>
  </w:abstractNum>
  <w:abstractNum w:abstractNumId="588">
    <w:nsid w:val="3D096BBF"/>
    <w:multiLevelType w:val="hybridMultilevel"/>
    <w:lvl w:ilvl="0">
      <w:lvlJc w:val="left"/>
      <w:lvlText w:val="6"/>
      <w:numFmt w:val="bullet"/>
      <w:start w:val="1"/>
    </w:lvl>
  </w:abstractNum>
  <w:abstractNum w:abstractNumId="589">
    <w:nsid w:val="BD6D5B5"/>
    <w:multiLevelType w:val="hybridMultilevel"/>
    <w:lvl w:ilvl="0">
      <w:lvlJc w:val="left"/>
      <w:lvlText w:val="7"/>
      <w:numFmt w:val="bullet"/>
      <w:start w:val="1"/>
    </w:lvl>
  </w:abstractNum>
  <w:abstractNum w:abstractNumId="590">
    <w:nsid w:val="3B52115C"/>
    <w:multiLevelType w:val="hybridMultilevel"/>
    <w:lvl w:ilvl="0">
      <w:lvlJc w:val="left"/>
      <w:lvlText w:val="1"/>
      <w:numFmt w:val="bullet"/>
      <w:start w:val="1"/>
    </w:lvl>
  </w:abstractNum>
  <w:abstractNum w:abstractNumId="591">
    <w:nsid w:val="787AA59C"/>
    <w:multiLevelType w:val="hybridMultilevel"/>
    <w:lvl w:ilvl="0">
      <w:lvlJc w:val="left"/>
      <w:lvlText w:val="2"/>
      <w:numFmt w:val="bullet"/>
      <w:start w:val="1"/>
    </w:lvl>
  </w:abstractNum>
  <w:abstractNum w:abstractNumId="592">
    <w:nsid w:val="70BB9983"/>
    <w:multiLevelType w:val="hybridMultilevel"/>
    <w:lvl w:ilvl="0">
      <w:lvlJc w:val="left"/>
      <w:lvlText w:val="3"/>
      <w:numFmt w:val="bullet"/>
      <w:start w:val="1"/>
    </w:lvl>
  </w:abstractNum>
  <w:abstractNum w:abstractNumId="593">
    <w:nsid w:val="51EEBEEA"/>
    <w:multiLevelType w:val="hybridMultilevel"/>
    <w:lvl w:ilvl="0">
      <w:lvlJc w:val="left"/>
      <w:lvlText w:val="4"/>
      <w:numFmt w:val="bullet"/>
      <w:start w:val="1"/>
    </w:lvl>
  </w:abstractNum>
  <w:abstractNum w:abstractNumId="594">
    <w:nsid w:val="221A0CCD"/>
    <w:multiLevelType w:val="hybridMultilevel"/>
    <w:lvl w:ilvl="0">
      <w:lvlJc w:val="left"/>
      <w:lvlText w:val="6"/>
      <w:numFmt w:val="bullet"/>
      <w:start w:val="1"/>
    </w:lvl>
  </w:abstractNum>
  <w:abstractNum w:abstractNumId="595">
    <w:nsid w:val="1B7CA0ED"/>
    <w:multiLevelType w:val="hybridMultilevel"/>
    <w:lvl w:ilvl="0">
      <w:lvlJc w:val="left"/>
      <w:lvlText w:val="%1."/>
      <w:numFmt w:val="decimal"/>
      <w:start w:val="1"/>
    </w:lvl>
    <w:lvl w:ilvl="1">
      <w:lvlJc w:val="left"/>
      <w:lvlText w:val="(%2)"/>
      <w:numFmt w:val="lowerLetter"/>
      <w:start w:val="1"/>
    </w:lvl>
  </w:abstractNum>
  <w:abstractNum w:abstractNumId="596">
    <w:nsid w:val="2395A7FF"/>
    <w:multiLevelType w:val="hybridMultilevel"/>
    <w:lvl w:ilvl="0">
      <w:lvlJc w:val="left"/>
      <w:lvlText w:val="%1."/>
      <w:numFmt w:val="decimal"/>
      <w:start w:val="1"/>
    </w:lvl>
    <w:lvl w:ilvl="1">
      <w:lvlJc w:val="left"/>
      <w:lvlText w:val="(%2)"/>
      <w:numFmt w:val="lowerLetter"/>
      <w:start w:val="1"/>
    </w:lvl>
  </w:abstractNum>
  <w:abstractNum w:abstractNumId="597">
    <w:nsid w:val="3965EB66"/>
    <w:multiLevelType w:val="hybridMultilevel"/>
    <w:lvl w:ilvl="0">
      <w:lvlJc w:val="left"/>
      <w:lvlText w:val="%1."/>
      <w:numFmt w:val="decimal"/>
      <w:start w:val="1"/>
    </w:lvl>
  </w:abstractNum>
  <w:abstractNum w:abstractNumId="598">
    <w:nsid w:val="3AA88B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206"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jpe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jpeg"/><Relationship Id="rId442" Type="http://schemas.openxmlformats.org/officeDocument/2006/relationships/image" Target="media/image408.jpeg"/><Relationship Id="rId443" Type="http://schemas.openxmlformats.org/officeDocument/2006/relationships/image" Target="media/image409.jpe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jpe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jpe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179" Type="http://schemas.openxmlformats.org/officeDocument/2006/relationships/hyperlink" Target="http://www.sec.gov/Archives/edgar/data/1598655/000093041314001858/c76356_ex3-1.htm" TargetMode="External"/><Relationship Id="rId180" Type="http://schemas.openxmlformats.org/officeDocument/2006/relationships/hyperlink" Target="http://www.sec.gov/Archives/edgar/data/1598655/000093041317002124/c88397_ex4-1.htm" TargetMode="External"/><Relationship Id="rId181" Type="http://schemas.openxmlformats.org/officeDocument/2006/relationships/hyperlink" Target="http://www.sec.gov/Archives/edgar/data/1598655/000110465918002625/a18-2138_6ex3d2.htm" TargetMode="External"/><Relationship Id="rId182" Type="http://schemas.openxmlformats.org/officeDocument/2006/relationships/hyperlink" Target="http://www.sec.gov/Archives/edgar/data/1598655/000110465918068772/a18-39522_7ex3d2.htm" TargetMode="External"/><Relationship Id="rId183" Type="http://schemas.openxmlformats.org/officeDocument/2006/relationships/hyperlink" Target="http://www.sec.gov/Archives/edgar/data/1598655/000110465918069982/a18-40618_1ex3d2.htm" TargetMode="External"/><Relationship Id="rId184" Type="http://schemas.openxmlformats.org/officeDocument/2006/relationships/hyperlink" Target="http://www.sec.gov/Archives/edgar/data/1598655/000093041314001858/c76356_ex3-3.htm" TargetMode="External"/><Relationship Id="rId185" Type="http://schemas.openxmlformats.org/officeDocument/2006/relationships/hyperlink" Target="http://www.sec.gov/Archives/edgar/data/1598655/000093041314001858/c76356_ex3-4.htm" TargetMode="External"/><Relationship Id="rId186" Type="http://schemas.openxmlformats.org/officeDocument/2006/relationships/hyperlink" Target="http://www.sec.gov/Archives/edgar/data/1598655/000093041314001965/c76356_ex10-1.htm" TargetMode="External"/><Relationship Id="rId187" Type="http://schemas.openxmlformats.org/officeDocument/2006/relationships/hyperlink" Target="http://www.sec.gov/Archives/edgar/data/1598655/000093041314001858/c76356_ex10-2.htm" TargetMode="External"/><Relationship Id="rId188" Type="http://schemas.openxmlformats.org/officeDocument/2006/relationships/hyperlink" Target="http://www.sec.gov/Archives/edgar/data/1598655/000093041314001858/c76356_ex10-3.htm" TargetMode="External"/><Relationship Id="rId189" Type="http://schemas.openxmlformats.org/officeDocument/2006/relationships/hyperlink" Target="http://www.sec.gov/Archives/edgar/data/1598655/000093041314001858/c76356_ex10-4.htm" TargetMode="External"/><Relationship Id="rId190" Type="http://schemas.openxmlformats.org/officeDocument/2006/relationships/hyperlink" Target="http://www.sec.gov/Archives/edgar/data/1598655/000093041316005434/c83888_ex4-5.htm" TargetMode="External"/><Relationship Id="rId191" Type="http://schemas.openxmlformats.org/officeDocument/2006/relationships/hyperlink" Target="http://www.sec.gov/Archives/edgar/data/1598655/000093041314001626/c76356_ex10-8.htm" TargetMode="External"/><Relationship Id="rId192" Type="http://schemas.openxmlformats.org/officeDocument/2006/relationships/hyperlink" Target="http://www.sec.gov/Archives/edgar/data/1598655/000093041314001965/c76356_ex10-16.htm" TargetMode="External"/><Relationship Id="rId193" Type="http://schemas.openxmlformats.org/officeDocument/2006/relationships/hyperlink" Target="http://www.sec.gov/Archives/edgar/data/1598655/000093041316005434/c83888_ex4-9.htm" TargetMode="External"/><Relationship Id="rId194" Type="http://schemas.openxmlformats.org/officeDocument/2006/relationships/hyperlink" Target="http://www.sec.gov/Archives/edgar/data/1598655/000093041315000689/c80183_ex4-22.htm" TargetMode="External"/><Relationship Id="rId195" Type="http://schemas.openxmlformats.org/officeDocument/2006/relationships/hyperlink" Target="http://www.sec.gov/Archives/edgar/data/1598655/000093041315000689/c80183_ex4-23.htm" TargetMode="External"/><Relationship Id="rId196" Type="http://schemas.openxmlformats.org/officeDocument/2006/relationships/hyperlink" Target="http://www.sec.gov/Archives/edgar/data/1598655/000095015715000356/ex4-6.htm" TargetMode="External"/><Relationship Id="rId199" Type="http://schemas.openxmlformats.org/officeDocument/2006/relationships/hyperlink" Target="http://www.sec.gov/Archives/edgar/data/1598655/000093041315002091/c81194_ex99-3.htm" TargetMode="External"/><Relationship Id="rId200" Type="http://schemas.openxmlformats.org/officeDocument/2006/relationships/hyperlink" Target="http://www.sec.gov/Archives/edgar/data/1598655/000093041316005434/c83888_ex4-15.htm" TargetMode="External"/><Relationship Id="rId201" Type="http://schemas.openxmlformats.org/officeDocument/2006/relationships/hyperlink" Target="http://www.sec.gov/Archives/edgar/data/1598655/000093041316005434/c83888_ex4-16.htm" TargetMode="External"/><Relationship Id="rId202" Type="http://schemas.openxmlformats.org/officeDocument/2006/relationships/hyperlink" Target="http://www.sec.gov/Archives/edgar/data/1534126/000093041316006011/c84192_ex4-11.htm" TargetMode="External"/><Relationship Id="rId203" Type="http://schemas.openxmlformats.org/officeDocument/2006/relationships/hyperlink" Target="http://www.sec.gov/Archives/edgar/data/1534126/000093041316006011/c84192_ex4-12.htm" TargetMode="External"/><Relationship Id="rId204" Type="http://schemas.openxmlformats.org/officeDocument/2006/relationships/hyperlink" Target="http://www.sec.gov/Archives/edgar/data/1534126/000093041316006011/c84192_ex4-14.htm" TargetMode="External"/><Relationship Id="rId205" Type="http://schemas.openxmlformats.org/officeDocument/2006/relationships/hyperlink" Target="http://www.sec.gov/Archives/edgar/data/1534126/000093041316007781/c85737_ex99-3.htm" TargetMode="External"/><Relationship Id="rId207" Type="http://schemas.openxmlformats.org/officeDocument/2006/relationships/hyperlink" Target="http://www.sec.gov/Archives/edgar/data/1534126/000093041316006011/c84192_ex4-10.htm" TargetMode="External"/><Relationship Id="rId208" Type="http://schemas.openxmlformats.org/officeDocument/2006/relationships/hyperlink" Target="http://www.sec.gov/Archives/edgar/data/1598655/000110465918069982/a18-4061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2019-12-15T18:58:18Z</dcterms:created>
  <dcterms:modified xsi:type="dcterms:W3CDTF">2019-12-15T18:58:18Z</dcterms:modified>
</cp:coreProperties>
</file>