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b w:val="1"/>
          <w:bCs w:val="1"/>
          <w:color w:val="auto"/>
        </w:rPr>
        <w:t>PROSPECTUS SUPPLEMENT</w:t>
      </w:r>
    </w:p>
    <w:p>
      <w:pPr>
        <w:spacing w:after="0" w:line="3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 Prospectus Dated June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311785</wp:posOffset>
            </wp:positionV>
            <wp:extent cx="144081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6604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7"/>
          <w:szCs w:val="17"/>
          <w:b w:val="1"/>
          <w:bCs w:val="1"/>
          <w:color w:val="auto"/>
        </w:rPr>
        <w:t>Filed Pursuant to Rule 424(b)(2)</w:t>
      </w:r>
    </w:p>
    <w:p>
      <w:pPr>
        <w:spacing w:after="0" w:line="56"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Registration No. 333-204616</w:t>
      </w:r>
    </w:p>
    <w:p>
      <w:pPr>
        <w:spacing w:after="0" w:line="200" w:lineRule="exact"/>
        <w:rPr>
          <w:sz w:val="24"/>
          <w:szCs w:val="24"/>
          <w:color w:val="auto"/>
        </w:rPr>
      </w:pPr>
    </w:p>
    <w:p>
      <w:pPr>
        <w:sectPr>
          <w:pgSz w:w="11900" w:h="16838" w:orient="portrait"/>
          <w:cols w:equalWidth="0" w:num="2">
            <w:col w:w="8020" w:space="720"/>
            <w:col w:w="2680"/>
          </w:cols>
          <w:pgMar w:left="240" w:top="33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46"/>
          <w:szCs w:val="46"/>
          <w:b w:val="1"/>
          <w:bCs w:val="1"/>
          <w:color w:val="auto"/>
        </w:rPr>
        <w:t>GasLog Partners LP</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Common Units Representing Limited Partner Interests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Having an Aggregate Offering Price of Up to $100,000,000</w:t>
      </w:r>
    </w:p>
    <w:p>
      <w:pPr>
        <w:spacing w:after="0" w:line="314" w:lineRule="exact"/>
        <w:rPr>
          <w:sz w:val="24"/>
          <w:szCs w:val="24"/>
          <w:color w:val="auto"/>
        </w:rPr>
      </w:pPr>
    </w:p>
    <w:p>
      <w:pPr>
        <w:ind w:right="140" w:firstLine="357"/>
        <w:spacing w:after="0" w:line="258" w:lineRule="auto"/>
        <w:rPr>
          <w:sz w:val="20"/>
          <w:szCs w:val="20"/>
          <w:color w:val="auto"/>
        </w:rPr>
      </w:pPr>
      <w:r>
        <w:rPr>
          <w:rFonts w:ascii="Arial" w:cs="Arial" w:eastAsia="Arial" w:hAnsi="Arial"/>
          <w:sz w:val="19"/>
          <w:szCs w:val="19"/>
          <w:color w:val="auto"/>
        </w:rPr>
        <w:t>We have entered into an equity distribution agreement (the “Equity Distribution Agreement”) with Citigroup Global Markets Inc., Merrill Lynch, Pierce, Fenner &amp; Smith Incorporated, Credit Suisse Securities (USA) LLC and Morgan Stanley &amp; Co. LLC relating to the common units representing limited partner interests in GasLog Partners LP offered by this prospectus supplement and the accompanying prospectus. In accordance with the terms of the Equity Distribution Agreement, we may offer and sell common units having an aggregate offering price of up to $100,000,000 from time to time through Citigroup Global Markets Inc., Merrill Lynch, Pierce, Fenner &amp; Smith Incorporated, Credit Suisse Securities (USA) LLC and Morgan Stanley &amp; Co. LLC as our sales agents.</w:t>
      </w:r>
    </w:p>
    <w:p>
      <w:pPr>
        <w:spacing w:after="0" w:line="76" w:lineRule="exact"/>
        <w:rPr>
          <w:sz w:val="24"/>
          <w:szCs w:val="24"/>
          <w:color w:val="auto"/>
        </w:rPr>
      </w:pPr>
    </w:p>
    <w:p>
      <w:pPr>
        <w:ind w:right="180" w:firstLine="357"/>
        <w:spacing w:after="0" w:line="283" w:lineRule="auto"/>
        <w:rPr>
          <w:sz w:val="20"/>
          <w:szCs w:val="20"/>
          <w:color w:val="auto"/>
        </w:rPr>
      </w:pPr>
      <w:r>
        <w:rPr>
          <w:rFonts w:ascii="Arial" w:cs="Arial" w:eastAsia="Arial" w:hAnsi="Arial"/>
          <w:sz w:val="19"/>
          <w:szCs w:val="19"/>
          <w:color w:val="auto"/>
        </w:rPr>
        <w:t>Sales of the common units, if any, will be made by means of ordinary brokers’ transactions on the New York Stock Exchange, or the NYSE, at market prices, in block transactions, or as otherwise agreed upon by the sales agents and us.</w:t>
      </w:r>
    </w:p>
    <w:p>
      <w:pPr>
        <w:spacing w:after="0" w:line="52" w:lineRule="exact"/>
        <w:rPr>
          <w:sz w:val="24"/>
          <w:szCs w:val="24"/>
          <w:color w:val="auto"/>
        </w:rPr>
      </w:pPr>
    </w:p>
    <w:p>
      <w:pPr>
        <w:ind w:right="200" w:firstLine="357"/>
        <w:spacing w:after="0" w:line="283" w:lineRule="auto"/>
        <w:rPr>
          <w:sz w:val="20"/>
          <w:szCs w:val="20"/>
          <w:color w:val="auto"/>
        </w:rPr>
      </w:pPr>
      <w:r>
        <w:rPr>
          <w:rFonts w:ascii="Arial" w:cs="Arial" w:eastAsia="Arial" w:hAnsi="Arial"/>
          <w:sz w:val="19"/>
          <w:szCs w:val="19"/>
          <w:color w:val="auto"/>
        </w:rPr>
        <w:t>We will pay the sales agents a commission of up to 2.0% of the gross sales price per unit sold through them as sales agents under the Equity Distribution Agreement.</w:t>
      </w:r>
    </w:p>
    <w:p>
      <w:pPr>
        <w:spacing w:after="0" w:line="52" w:lineRule="exact"/>
        <w:rPr>
          <w:sz w:val="24"/>
          <w:szCs w:val="24"/>
          <w:color w:val="auto"/>
        </w:rPr>
      </w:pPr>
    </w:p>
    <w:p>
      <w:pPr>
        <w:jc w:val="both"/>
        <w:ind w:right="120" w:firstLine="357"/>
        <w:spacing w:after="0" w:line="289" w:lineRule="auto"/>
        <w:rPr>
          <w:sz w:val="20"/>
          <w:szCs w:val="20"/>
          <w:color w:val="auto"/>
        </w:rPr>
      </w:pPr>
      <w:r>
        <w:rPr>
          <w:rFonts w:ascii="Arial" w:cs="Arial" w:eastAsia="Arial" w:hAnsi="Arial"/>
          <w:sz w:val="18"/>
          <w:szCs w:val="18"/>
          <w:color w:val="auto"/>
        </w:rPr>
        <w:t>Under the terms of the Equity Distribution Agreement, we also may sell common units to the sales agents as principals for their own account at a price agreed upon at the time of sale. If we sell common units to the sales agents as principals, we will enter into a separate terms agreement with the sales agents, and we will describe this agreement in a separate prospectus supplement or pricing supplement.</w:t>
      </w:r>
    </w:p>
    <w:p>
      <w:pPr>
        <w:spacing w:after="0" w:line="49" w:lineRule="exact"/>
        <w:rPr>
          <w:sz w:val="24"/>
          <w:szCs w:val="24"/>
          <w:color w:val="auto"/>
        </w:rPr>
      </w:pPr>
    </w:p>
    <w:p>
      <w:pPr>
        <w:ind w:firstLine="357"/>
        <w:spacing w:after="0" w:line="281" w:lineRule="auto"/>
        <w:rPr>
          <w:sz w:val="20"/>
          <w:szCs w:val="20"/>
          <w:color w:val="auto"/>
        </w:rPr>
      </w:pPr>
      <w:r>
        <w:rPr>
          <w:rFonts w:ascii="Arial" w:cs="Arial" w:eastAsia="Arial" w:hAnsi="Arial"/>
          <w:sz w:val="18"/>
          <w:szCs w:val="18"/>
          <w:color w:val="auto"/>
        </w:rPr>
        <w:t>The sales agents are not required to sell any specific number or dollar amount of our common units but will use their reasonable efforts, as our agents and subject to the terms of the Equity Distribution Agreement, to sell the common units offered, as instructed by us. The offering of our common units pursuant to the Equity Distribution Agreement will terminate upon the earlier of (1) the sale of all of the common units subject to the Equity Distribution Agreement and (2) the termination of the Equity Distribution Agreement by either the sales agents or us.</w:t>
      </w:r>
    </w:p>
    <w:p>
      <w:pPr>
        <w:spacing w:after="0" w:line="57" w:lineRule="exact"/>
        <w:rPr>
          <w:sz w:val="24"/>
          <w:szCs w:val="24"/>
          <w:color w:val="auto"/>
        </w:rPr>
      </w:pPr>
    </w:p>
    <w:p>
      <w:pPr>
        <w:ind w:right="140" w:firstLine="357"/>
        <w:spacing w:after="0" w:line="283" w:lineRule="auto"/>
        <w:rPr>
          <w:sz w:val="20"/>
          <w:szCs w:val="20"/>
          <w:color w:val="auto"/>
        </w:rPr>
      </w:pPr>
      <w:r>
        <w:rPr>
          <w:rFonts w:ascii="Arial" w:cs="Arial" w:eastAsia="Arial" w:hAnsi="Arial"/>
          <w:sz w:val="19"/>
          <w:szCs w:val="19"/>
          <w:color w:val="auto"/>
        </w:rPr>
        <w:t>Our common units are listed on the New York Stock Exchange under the symbol “GLOP.” The last reported sales price of our common units on the New York Stock Exchange on May 15, 2017 was $23.05.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67310</wp:posOffset>
            </wp:positionV>
            <wp:extent cx="1157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5" w:lineRule="exact"/>
        <w:rPr>
          <w:sz w:val="24"/>
          <w:szCs w:val="24"/>
          <w:color w:val="auto"/>
        </w:rPr>
      </w:pPr>
    </w:p>
    <w:p>
      <w:pPr>
        <w:ind w:right="560" w:firstLine="393"/>
        <w:spacing w:after="0" w:line="278" w:lineRule="auto"/>
        <w:rPr>
          <w:sz w:val="20"/>
          <w:szCs w:val="20"/>
          <w:color w:val="auto"/>
        </w:rPr>
      </w:pPr>
      <w:r>
        <w:rPr>
          <w:rFonts w:ascii="Arial" w:cs="Arial" w:eastAsia="Arial" w:hAnsi="Arial"/>
          <w:sz w:val="21"/>
          <w:szCs w:val="21"/>
          <w:b w:val="1"/>
          <w:bCs w:val="1"/>
          <w:color w:val="auto"/>
        </w:rPr>
        <w:t>Investing in our common units involves risks. Limited partnerships are inherently different from corporations. See “Risk Factors” beginning on page S-17 and page 8 of our Annual Report on Form 20-F.</w:t>
      </w:r>
    </w:p>
    <w:p>
      <w:pPr>
        <w:spacing w:after="0" w:line="47" w:lineRule="exact"/>
        <w:rPr>
          <w:sz w:val="24"/>
          <w:szCs w:val="24"/>
          <w:color w:val="auto"/>
        </w:rPr>
      </w:pPr>
    </w:p>
    <w:p>
      <w:pPr>
        <w:jc w:val="both"/>
        <w:ind w:right="440" w:firstLine="357"/>
        <w:spacing w:after="0" w:line="267" w:lineRule="auto"/>
        <w:rPr>
          <w:sz w:val="20"/>
          <w:szCs w:val="20"/>
          <w:color w:val="auto"/>
        </w:rPr>
      </w:pPr>
      <w:r>
        <w:rPr>
          <w:rFonts w:ascii="Arial" w:cs="Arial" w:eastAsia="Arial" w:hAnsi="Arial"/>
          <w:sz w:val="19"/>
          <w:szCs w:val="19"/>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76835</wp:posOffset>
            </wp:positionV>
            <wp:extent cx="1157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81" w:lineRule="exact"/>
        <w:rPr>
          <w:sz w:val="24"/>
          <w:szCs w:val="24"/>
          <w:color w:val="auto"/>
        </w:rPr>
      </w:pPr>
    </w:p>
    <w:p>
      <w:pPr>
        <w:spacing w:after="0"/>
        <w:tabs>
          <w:tab w:leader="none" w:pos="1980" w:val="left"/>
          <w:tab w:leader="none" w:pos="5900" w:val="left"/>
          <w:tab w:leader="none" w:pos="8560" w:val="left"/>
        </w:tabs>
        <w:rPr>
          <w:sz w:val="20"/>
          <w:szCs w:val="20"/>
          <w:color w:val="auto"/>
        </w:rPr>
      </w:pPr>
      <w:r>
        <w:rPr>
          <w:rFonts w:ascii="Arial" w:cs="Arial" w:eastAsia="Arial" w:hAnsi="Arial"/>
          <w:sz w:val="27"/>
          <w:szCs w:val="27"/>
          <w:b w:val="1"/>
          <w:bCs w:val="1"/>
          <w:color w:val="auto"/>
        </w:rPr>
        <w:t>Citigroup</w:t>
      </w:r>
      <w:r>
        <w:rPr>
          <w:sz w:val="20"/>
          <w:szCs w:val="20"/>
          <w:color w:val="auto"/>
        </w:rPr>
        <w:tab/>
      </w:r>
      <w:r>
        <w:rPr>
          <w:rFonts w:ascii="Arial" w:cs="Arial" w:eastAsia="Arial" w:hAnsi="Arial"/>
          <w:sz w:val="27"/>
          <w:szCs w:val="27"/>
          <w:b w:val="1"/>
          <w:bCs w:val="1"/>
          <w:color w:val="auto"/>
        </w:rPr>
        <w:t>BofA Merrill Lynch</w:t>
      </w:r>
      <w:r>
        <w:rPr>
          <w:sz w:val="20"/>
          <w:szCs w:val="20"/>
          <w:color w:val="auto"/>
        </w:rPr>
        <w:tab/>
      </w:r>
      <w:r>
        <w:rPr>
          <w:rFonts w:ascii="Arial" w:cs="Arial" w:eastAsia="Arial" w:hAnsi="Arial"/>
          <w:sz w:val="27"/>
          <w:szCs w:val="27"/>
          <w:b w:val="1"/>
          <w:bCs w:val="1"/>
          <w:color w:val="auto"/>
        </w:rPr>
        <w:t>Credit Suisse</w:t>
      </w:r>
      <w:r>
        <w:rPr>
          <w:sz w:val="20"/>
          <w:szCs w:val="20"/>
          <w:color w:val="auto"/>
        </w:rPr>
        <w:tab/>
      </w:r>
      <w:r>
        <w:rPr>
          <w:rFonts w:ascii="Arial" w:cs="Arial" w:eastAsia="Arial" w:hAnsi="Arial"/>
          <w:sz w:val="24"/>
          <w:szCs w:val="24"/>
          <w:b w:val="1"/>
          <w:bCs w:val="1"/>
          <w:color w:val="auto"/>
        </w:rPr>
        <w:t>Morgan Stanley</w:t>
      </w:r>
    </w:p>
    <w:p>
      <w:pPr>
        <w:spacing w:after="0" w:line="118" w:lineRule="exact"/>
        <w:rPr>
          <w:sz w:val="24"/>
          <w:szCs w:val="24"/>
          <w:color w:val="auto"/>
        </w:rPr>
      </w:pPr>
    </w:p>
    <w:p>
      <w:pPr>
        <w:spacing w:after="0"/>
        <w:rPr>
          <w:sz w:val="20"/>
          <w:szCs w:val="20"/>
          <w:color w:val="auto"/>
        </w:rPr>
      </w:pPr>
      <w:r>
        <w:rPr>
          <w:rFonts w:ascii="Arial" w:cs="Arial" w:eastAsia="Arial" w:hAnsi="Arial"/>
          <w:sz w:val="19"/>
          <w:szCs w:val="19"/>
          <w:color w:val="auto"/>
        </w:rPr>
        <w:t>May 16,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380365</wp:posOffset>
            </wp:positionV>
            <wp:extent cx="7250430" cy="8166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8166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00" w:type="dxa"/>
            <w:vAlign w:val="bottom"/>
            <w:gridSpan w:val="6"/>
          </w:tcPr>
          <w:p>
            <w:pPr>
              <w:ind w:left="200"/>
              <w:spacing w:after="0"/>
              <w:rPr>
                <w:sz w:val="20"/>
                <w:szCs w:val="20"/>
                <w:color w:val="auto"/>
              </w:rPr>
            </w:pPr>
            <w:r>
              <w:rPr>
                <w:rFonts w:ascii="Arial" w:cs="Arial" w:eastAsia="Arial" w:hAnsi="Arial"/>
                <w:sz w:val="19"/>
                <w:szCs w:val="19"/>
                <w:b w:val="1"/>
                <w:bCs w:val="1"/>
                <w:color w:val="auto"/>
              </w:rPr>
              <w:t>TABLE OF CONTENTS</w:t>
            </w:r>
          </w:p>
        </w:tc>
        <w:tc>
          <w:tcPr>
            <w:tcW w:w="2380" w:type="dxa"/>
            <w:vAlign w:val="bottom"/>
          </w:tcPr>
          <w:p>
            <w:pPr>
              <w:spacing w:after="0"/>
              <w:rPr>
                <w:sz w:val="21"/>
                <w:szCs w:val="21"/>
                <w:color w:val="auto"/>
              </w:rPr>
            </w:pPr>
          </w:p>
        </w:tc>
      </w:tr>
      <w:tr>
        <w:trPr>
          <w:trHeight w:val="253"/>
        </w:trPr>
        <w:tc>
          <w:tcPr>
            <w:tcW w:w="8980" w:type="dxa"/>
            <w:vAlign w:val="bottom"/>
            <w:gridSpan w:val="30"/>
          </w:tcPr>
          <w:p>
            <w:pPr>
              <w:spacing w:after="0"/>
              <w:rPr>
                <w:sz w:val="20"/>
                <w:szCs w:val="20"/>
                <w:color w:val="auto"/>
              </w:rPr>
            </w:pPr>
            <w:r>
              <w:rPr>
                <w:rFonts w:ascii="Arial" w:cs="Arial" w:eastAsia="Arial" w:hAnsi="Arial"/>
                <w:sz w:val="19"/>
                <w:szCs w:val="19"/>
                <w:b w:val="1"/>
                <w:bCs w:val="1"/>
                <w:color w:val="auto"/>
              </w:rPr>
              <w:t>PROSPECTUS SUPPLEMENT</w:t>
            </w:r>
          </w:p>
        </w:tc>
        <w:tc>
          <w:tcPr>
            <w:tcW w:w="2380" w:type="dxa"/>
            <w:vAlign w:val="bottom"/>
          </w:tcPr>
          <w:p>
            <w:pPr>
              <w:spacing w:after="0"/>
              <w:rPr>
                <w:sz w:val="21"/>
                <w:szCs w:val="21"/>
                <w:color w:val="auto"/>
              </w:rPr>
            </w:pP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5">
              <w:r>
                <w:rPr>
                  <w:rFonts w:ascii="Arial" w:cs="Arial" w:eastAsia="Arial" w:hAnsi="Arial"/>
                  <w:sz w:val="19"/>
                  <w:szCs w:val="19"/>
                  <w:color w:val="0000EE"/>
                </w:rPr>
                <w:t>SUMMARY</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S-1</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21">
              <w:r>
                <w:rPr>
                  <w:rFonts w:ascii="Arial" w:cs="Arial" w:eastAsia="Arial" w:hAnsi="Arial"/>
                  <w:sz w:val="19"/>
                  <w:szCs w:val="19"/>
                  <w:color w:val="0000EE"/>
                </w:rPr>
                <w:t>RISK FACTORS</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17</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22">
              <w:r>
                <w:rPr>
                  <w:rFonts w:ascii="Arial" w:cs="Arial" w:eastAsia="Arial" w:hAnsi="Arial"/>
                  <w:sz w:val="19"/>
                  <w:szCs w:val="19"/>
                  <w:color w:val="0000EE"/>
                </w:rPr>
                <w:t>FORWARD-LOOKING STATEMENTS</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18</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24">
              <w:r>
                <w:rPr>
                  <w:rFonts w:ascii="Arial" w:cs="Arial" w:eastAsia="Arial" w:hAnsi="Arial"/>
                  <w:sz w:val="19"/>
                  <w:szCs w:val="19"/>
                  <w:color w:val="0000EE"/>
                </w:rPr>
                <w:t>USE OF PROCEEDS</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20</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25">
              <w:r>
                <w:rPr>
                  <w:rFonts w:ascii="Arial" w:cs="Arial" w:eastAsia="Arial" w:hAnsi="Arial"/>
                  <w:sz w:val="19"/>
                  <w:szCs w:val="19"/>
                  <w:color w:val="0000EE"/>
                </w:rPr>
                <w:t>CASH AND CAPITALIZATION</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21</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27">
              <w:r>
                <w:rPr>
                  <w:rFonts w:ascii="Arial" w:cs="Arial" w:eastAsia="Arial" w:hAnsi="Arial"/>
                  <w:sz w:val="19"/>
                  <w:szCs w:val="19"/>
                  <w:color w:val="0000EE"/>
                </w:rPr>
                <w:t>PRICE RANGE OF OUR COMMON UNITS</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23</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28">
              <w:r>
                <w:rPr>
                  <w:rFonts w:ascii="Arial" w:cs="Arial" w:eastAsia="Arial" w:hAnsi="Arial"/>
                  <w:sz w:val="19"/>
                  <w:szCs w:val="19"/>
                  <w:color w:val="0000EE"/>
                </w:rPr>
                <w:t>DESCRIPTION OF THE COMMON UNITS</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24</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30">
              <w:r>
                <w:rPr>
                  <w:rFonts w:ascii="Arial" w:cs="Arial" w:eastAsia="Arial" w:hAnsi="Arial"/>
                  <w:sz w:val="19"/>
                  <w:szCs w:val="19"/>
                  <w:color w:val="0000EE"/>
                </w:rPr>
                <w:t>SUMMARY OF OUR PARTNERSHIP AGREEMENT</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26</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45">
              <w:r>
                <w:rPr>
                  <w:rFonts w:ascii="Arial" w:cs="Arial" w:eastAsia="Arial" w:hAnsi="Arial"/>
                  <w:sz w:val="19"/>
                  <w:szCs w:val="19"/>
                  <w:color w:val="0000EE"/>
                </w:rPr>
                <w:t>OUR CASH DISTRIBUTION POLICY AND RESTRICTIONS ON DISTRIBUTIONS</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41</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80" w:type="dxa"/>
            <w:vAlign w:val="bottom"/>
            <w:tcBorders>
              <w:top w:val="single" w:sz="8" w:color="0000EE"/>
            </w:tcBorders>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46">
              <w:r>
                <w:rPr>
                  <w:rFonts w:ascii="Arial" w:cs="Arial" w:eastAsia="Arial" w:hAnsi="Arial"/>
                  <w:sz w:val="19"/>
                  <w:szCs w:val="19"/>
                  <w:color w:val="0000EE"/>
                </w:rPr>
                <w:t>MATERIAL U.S. FEDERAL INCOME TAX CONSIDERATIONS</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42</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55">
              <w:r>
                <w:rPr>
                  <w:rFonts w:ascii="Arial" w:cs="Arial" w:eastAsia="Arial" w:hAnsi="Arial"/>
                  <w:sz w:val="19"/>
                  <w:szCs w:val="19"/>
                  <w:color w:val="0000EE"/>
                </w:rPr>
                <w:t>NON-UNITED STATES TAX CONSIDERATIONS</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51</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55">
              <w:r>
                <w:rPr>
                  <w:rFonts w:ascii="Arial" w:cs="Arial" w:eastAsia="Arial" w:hAnsi="Arial"/>
                  <w:sz w:val="19"/>
                  <w:szCs w:val="19"/>
                  <w:color w:val="0000EE"/>
                </w:rPr>
                <w:t>PLAN OF DISTRIBUTION</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51</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56">
              <w:r>
                <w:rPr>
                  <w:rFonts w:ascii="Arial" w:cs="Arial" w:eastAsia="Arial" w:hAnsi="Arial"/>
                  <w:sz w:val="19"/>
                  <w:szCs w:val="19"/>
                  <w:color w:val="0000EE"/>
                </w:rPr>
                <w:t>LEGAL MATTERS</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52</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57">
              <w:r>
                <w:rPr>
                  <w:rFonts w:ascii="Arial" w:cs="Arial" w:eastAsia="Arial" w:hAnsi="Arial"/>
                  <w:sz w:val="19"/>
                  <w:szCs w:val="19"/>
                  <w:color w:val="0000EE"/>
                </w:rPr>
                <w:t>EXPERTS</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53</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57">
              <w:r>
                <w:rPr>
                  <w:rFonts w:ascii="Arial" w:cs="Arial" w:eastAsia="Arial" w:hAnsi="Arial"/>
                  <w:sz w:val="19"/>
                  <w:szCs w:val="19"/>
                  <w:color w:val="0000EE"/>
                </w:rPr>
                <w:t>EXPENSES RELATED TO THIS OFFERING</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53</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57">
              <w:r>
                <w:rPr>
                  <w:rFonts w:ascii="Arial" w:cs="Arial" w:eastAsia="Arial" w:hAnsi="Arial"/>
                  <w:sz w:val="19"/>
                  <w:szCs w:val="19"/>
                  <w:color w:val="0000EE"/>
                </w:rPr>
                <w:t>WHERE YOU CAN FIND ADDITIONAL INFORMATION</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53</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57">
              <w:r>
                <w:rPr>
                  <w:rFonts w:ascii="Arial" w:cs="Arial" w:eastAsia="Arial" w:hAnsi="Arial"/>
                  <w:sz w:val="19"/>
                  <w:szCs w:val="19"/>
                  <w:color w:val="0000EE"/>
                </w:rPr>
                <w:t>INCORPORATION OF CERTAIN INFORMATION BY REFERENCE</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53</w:t>
            </w:r>
          </w:p>
        </w:tc>
      </w:tr>
      <w:tr>
        <w:trPr>
          <w:trHeight w:val="250"/>
        </w:trPr>
        <w:tc>
          <w:tcPr>
            <w:tcW w:w="5580" w:type="dxa"/>
            <w:vAlign w:val="bottom"/>
            <w:tcBorders>
              <w:top w:val="single" w:sz="8" w:color="0000EE"/>
            </w:tcBorders>
            <w:gridSpan w:val="28"/>
          </w:tcPr>
          <w:p>
            <w:pPr>
              <w:spacing w:after="0"/>
              <w:rPr>
                <w:sz w:val="20"/>
                <w:szCs w:val="20"/>
                <w:color w:val="auto"/>
              </w:rPr>
            </w:pPr>
            <w:r>
              <w:rPr>
                <w:rFonts w:ascii="Arial" w:cs="Arial" w:eastAsia="Arial" w:hAnsi="Arial"/>
                <w:sz w:val="19"/>
                <w:szCs w:val="19"/>
                <w:b w:val="1"/>
                <w:bCs w:val="1"/>
                <w:color w:val="auto"/>
              </w:rPr>
              <w:t>PROSPECTUS</w:t>
            </w:r>
          </w:p>
        </w:tc>
        <w:tc>
          <w:tcPr>
            <w:tcW w:w="3400" w:type="dxa"/>
            <w:vAlign w:val="bottom"/>
            <w:gridSpan w:val="2"/>
          </w:tcPr>
          <w:p>
            <w:pPr>
              <w:spacing w:after="0"/>
              <w:rPr>
                <w:sz w:val="21"/>
                <w:szCs w:val="21"/>
                <w:color w:val="auto"/>
              </w:rPr>
            </w:pPr>
          </w:p>
        </w:tc>
        <w:tc>
          <w:tcPr>
            <w:tcW w:w="2380" w:type="dxa"/>
            <w:vAlign w:val="bottom"/>
          </w:tcPr>
          <w:p>
            <w:pPr>
              <w:spacing w:after="0"/>
              <w:rPr>
                <w:sz w:val="21"/>
                <w:szCs w:val="21"/>
                <w:color w:val="auto"/>
              </w:rPr>
            </w:pPr>
          </w:p>
        </w:tc>
      </w:tr>
      <w:tr>
        <w:trPr>
          <w:trHeight w:val="202"/>
        </w:trPr>
        <w:tc>
          <w:tcPr>
            <w:tcW w:w="8980" w:type="dxa"/>
            <w:vAlign w:val="bottom"/>
            <w:gridSpan w:val="30"/>
          </w:tcPr>
          <w:p>
            <w:pPr>
              <w:spacing w:after="0" w:line="203" w:lineRule="exact"/>
              <w:rPr>
                <w:rFonts w:ascii="Arial" w:cs="Arial" w:eastAsia="Arial" w:hAnsi="Arial"/>
                <w:sz w:val="19"/>
                <w:szCs w:val="19"/>
                <w:color w:val="0000EE"/>
              </w:rPr>
            </w:pPr>
            <w:hyperlink w:anchor="page61">
              <w:r>
                <w:rPr>
                  <w:rFonts w:ascii="Arial" w:cs="Arial" w:eastAsia="Arial" w:hAnsi="Arial"/>
                  <w:sz w:val="19"/>
                  <w:szCs w:val="19"/>
                  <w:color w:val="0000EE"/>
                </w:rPr>
                <w:t>FORWARD-LOOKING STATEMENTS</w:t>
              </w:r>
            </w:hyperlink>
          </w:p>
        </w:tc>
        <w:tc>
          <w:tcPr>
            <w:tcW w:w="2380" w:type="dxa"/>
            <w:vAlign w:val="bottom"/>
          </w:tcPr>
          <w:p>
            <w:pPr>
              <w:jc w:val="right"/>
              <w:spacing w:after="0" w:line="203" w:lineRule="exact"/>
              <w:rPr>
                <w:sz w:val="20"/>
                <w:szCs w:val="20"/>
                <w:color w:val="auto"/>
              </w:rPr>
            </w:pPr>
            <w:r>
              <w:rPr>
                <w:rFonts w:ascii="Arial" w:cs="Arial" w:eastAsia="Arial" w:hAnsi="Arial"/>
                <w:sz w:val="19"/>
                <w:szCs w:val="19"/>
                <w:color w:val="auto"/>
              </w:rPr>
              <w:t>1</w:t>
            </w:r>
          </w:p>
        </w:tc>
      </w:tr>
      <w:tr>
        <w:trPr>
          <w:trHeight w:val="223"/>
        </w:trPr>
        <w:tc>
          <w:tcPr>
            <w:tcW w:w="3160" w:type="dxa"/>
            <w:vAlign w:val="bottom"/>
            <w:tcBorders>
              <w:top w:val="single" w:sz="8" w:color="0000EE"/>
            </w:tcBorders>
            <w:gridSpan w:val="14"/>
          </w:tcPr>
          <w:p>
            <w:pPr>
              <w:spacing w:after="0"/>
              <w:rPr>
                <w:rFonts w:ascii="Arial" w:cs="Arial" w:eastAsia="Arial" w:hAnsi="Arial"/>
                <w:sz w:val="19"/>
                <w:szCs w:val="19"/>
                <w:color w:val="0000EE"/>
              </w:rPr>
            </w:pPr>
            <w:hyperlink w:anchor="page63">
              <w:r>
                <w:rPr>
                  <w:rFonts w:ascii="Arial" w:cs="Arial" w:eastAsia="Arial" w:hAnsi="Arial"/>
                  <w:sz w:val="19"/>
                  <w:szCs w:val="19"/>
                  <w:color w:val="0000EE"/>
                </w:rPr>
                <w:t>THE COMPANY</w:t>
              </w:r>
            </w:hyperlink>
          </w:p>
        </w:tc>
        <w:tc>
          <w:tcPr>
            <w:tcW w:w="5820" w:type="dxa"/>
            <w:vAlign w:val="bottom"/>
            <w:gridSpan w:val="16"/>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23"/>
        </w:trPr>
        <w:tc>
          <w:tcPr>
            <w:tcW w:w="1360" w:type="dxa"/>
            <w:vAlign w:val="bottom"/>
            <w:tcBorders>
              <w:top w:val="single" w:sz="8" w:color="0000EE"/>
              <w:bottom w:val="single" w:sz="8" w:color="0000EE"/>
            </w:tcBorders>
            <w:gridSpan w:val="4"/>
          </w:tcPr>
          <w:p>
            <w:pPr>
              <w:spacing w:after="0"/>
              <w:rPr>
                <w:rFonts w:ascii="Arial" w:cs="Arial" w:eastAsia="Arial" w:hAnsi="Arial"/>
                <w:sz w:val="19"/>
                <w:szCs w:val="19"/>
                <w:color w:val="0000EE"/>
                <w:w w:val="95"/>
              </w:rPr>
            </w:pPr>
            <w:hyperlink w:anchor="page65">
              <w:r>
                <w:rPr>
                  <w:rFonts w:ascii="Arial" w:cs="Arial" w:eastAsia="Arial" w:hAnsi="Arial"/>
                  <w:sz w:val="19"/>
                  <w:szCs w:val="19"/>
                  <w:color w:val="0000EE"/>
                  <w:w w:val="95"/>
                </w:rPr>
                <w:t>RISK FACTORS</w:t>
              </w:r>
            </w:hyperlink>
          </w:p>
        </w:tc>
        <w:tc>
          <w:tcPr>
            <w:tcW w:w="20" w:type="dxa"/>
            <w:vAlign w:val="bottom"/>
            <w:tcBorders>
              <w:top w:val="single" w:sz="8" w:color="0000EE"/>
            </w:tcBorders>
          </w:tcPr>
          <w:p>
            <w:pPr>
              <w:spacing w:after="0"/>
              <w:rPr>
                <w:sz w:val="19"/>
                <w:szCs w:val="19"/>
                <w:color w:val="auto"/>
              </w:rPr>
            </w:pPr>
          </w:p>
        </w:tc>
        <w:tc>
          <w:tcPr>
            <w:tcW w:w="7600" w:type="dxa"/>
            <w:vAlign w:val="bottom"/>
            <w:gridSpan w:val="25"/>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23"/>
        </w:trPr>
        <w:tc>
          <w:tcPr>
            <w:tcW w:w="5400" w:type="dxa"/>
            <w:vAlign w:val="bottom"/>
            <w:tcBorders>
              <w:bottom w:val="single" w:sz="8" w:color="0000EE"/>
            </w:tcBorders>
            <w:gridSpan w:val="27"/>
          </w:tcPr>
          <w:p>
            <w:pPr>
              <w:spacing w:after="0"/>
              <w:rPr>
                <w:rFonts w:ascii="Arial" w:cs="Arial" w:eastAsia="Arial" w:hAnsi="Arial"/>
                <w:sz w:val="19"/>
                <w:szCs w:val="19"/>
                <w:color w:val="0000EE"/>
                <w:w w:val="97"/>
              </w:rPr>
            </w:pPr>
            <w:hyperlink w:anchor="page66">
              <w:r>
                <w:rPr>
                  <w:rFonts w:ascii="Arial" w:cs="Arial" w:eastAsia="Arial" w:hAnsi="Arial"/>
                  <w:sz w:val="19"/>
                  <w:szCs w:val="19"/>
                  <w:color w:val="0000EE"/>
                  <w:w w:val="97"/>
                </w:rPr>
                <w:t>SERVICE OF PROCESS AND ENFORCEMENT OF LIABILITIES</w:t>
              </w:r>
            </w:hyperlink>
          </w:p>
        </w:tc>
        <w:tc>
          <w:tcPr>
            <w:tcW w:w="3580" w:type="dxa"/>
            <w:vAlign w:val="bottom"/>
            <w:gridSpan w:val="3"/>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2420" w:type="dxa"/>
            <w:vAlign w:val="bottom"/>
            <w:tcBorders>
              <w:bottom w:val="single" w:sz="8" w:color="0000EE"/>
            </w:tcBorders>
            <w:gridSpan w:val="10"/>
          </w:tcPr>
          <w:p>
            <w:pPr>
              <w:spacing w:after="0"/>
              <w:rPr>
                <w:rFonts w:ascii="Arial" w:cs="Arial" w:eastAsia="Arial" w:hAnsi="Arial"/>
                <w:sz w:val="19"/>
                <w:szCs w:val="19"/>
                <w:color w:val="0000EE"/>
                <w:w w:val="95"/>
              </w:rPr>
            </w:pPr>
            <w:hyperlink w:anchor="page67">
              <w:r>
                <w:rPr>
                  <w:rFonts w:ascii="Arial" w:cs="Arial" w:eastAsia="Arial" w:hAnsi="Arial"/>
                  <w:sz w:val="19"/>
                  <w:szCs w:val="19"/>
                  <w:color w:val="0000EE"/>
                  <w:w w:val="95"/>
                </w:rPr>
                <w:t>ABOUT THIS PROSPECTUS</w:t>
              </w:r>
            </w:hyperlink>
          </w:p>
        </w:tc>
        <w:tc>
          <w:tcPr>
            <w:tcW w:w="6560" w:type="dxa"/>
            <w:vAlign w:val="bottom"/>
            <w:gridSpan w:val="20"/>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3"/>
        </w:trPr>
        <w:tc>
          <w:tcPr>
            <w:tcW w:w="8980" w:type="dxa"/>
            <w:vAlign w:val="bottom"/>
            <w:gridSpan w:val="30"/>
          </w:tcPr>
          <w:p>
            <w:pPr>
              <w:spacing w:after="0"/>
              <w:rPr>
                <w:rFonts w:ascii="Arial" w:cs="Arial" w:eastAsia="Arial" w:hAnsi="Arial"/>
                <w:sz w:val="19"/>
                <w:szCs w:val="19"/>
                <w:color w:val="0000EE"/>
              </w:rPr>
            </w:pPr>
            <w:hyperlink w:anchor="page67">
              <w:r>
                <w:rPr>
                  <w:rFonts w:ascii="Arial" w:cs="Arial" w:eastAsia="Arial" w:hAnsi="Arial"/>
                  <w:sz w:val="19"/>
                  <w:szCs w:val="19"/>
                  <w:color w:val="0000EE"/>
                </w:rPr>
                <w:t>WHERE YOU CAN FIND ADDITIONAL INFORMATION</w:t>
              </w:r>
            </w:hyperlink>
          </w:p>
        </w:tc>
        <w:tc>
          <w:tcPr>
            <w:tcW w:w="238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23"/>
        </w:trPr>
        <w:tc>
          <w:tcPr>
            <w:tcW w:w="8980" w:type="dxa"/>
            <w:vAlign w:val="bottom"/>
            <w:gridSpan w:val="30"/>
          </w:tcPr>
          <w:p>
            <w:pPr>
              <w:spacing w:after="0"/>
              <w:rPr>
                <w:rFonts w:ascii="Arial" w:cs="Arial" w:eastAsia="Arial" w:hAnsi="Arial"/>
                <w:sz w:val="19"/>
                <w:szCs w:val="19"/>
                <w:color w:val="0000EE"/>
              </w:rPr>
            </w:pPr>
            <w:hyperlink w:anchor="page68">
              <w:r>
                <w:rPr>
                  <w:rFonts w:ascii="Arial" w:cs="Arial" w:eastAsia="Arial" w:hAnsi="Arial"/>
                  <w:sz w:val="19"/>
                  <w:szCs w:val="19"/>
                  <w:color w:val="0000EE"/>
                </w:rPr>
                <w:t>INCORPORATION OF CERTAIN INFORMATION BY REFERENCE</w:t>
              </w:r>
            </w:hyperlink>
          </w:p>
        </w:tc>
        <w:tc>
          <w:tcPr>
            <w:tcW w:w="238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23"/>
        </w:trPr>
        <w:tc>
          <w:tcPr>
            <w:tcW w:w="5580" w:type="dxa"/>
            <w:vAlign w:val="bottom"/>
            <w:tcBorders>
              <w:top w:val="single" w:sz="8" w:color="0000EE"/>
            </w:tcBorders>
            <w:gridSpan w:val="28"/>
          </w:tcPr>
          <w:p>
            <w:pPr>
              <w:spacing w:after="0"/>
              <w:rPr>
                <w:rFonts w:ascii="Arial" w:cs="Arial" w:eastAsia="Arial" w:hAnsi="Arial"/>
                <w:sz w:val="19"/>
                <w:szCs w:val="19"/>
                <w:color w:val="0000EE"/>
              </w:rPr>
            </w:pPr>
            <w:hyperlink w:anchor="page69">
              <w:r>
                <w:rPr>
                  <w:rFonts w:ascii="Arial" w:cs="Arial" w:eastAsia="Arial" w:hAnsi="Arial"/>
                  <w:sz w:val="19"/>
                  <w:szCs w:val="19"/>
                  <w:color w:val="0000EE"/>
                </w:rPr>
                <w:t>RATIO OF EARNINGS TO FIXED CHARGES</w:t>
              </w:r>
            </w:hyperlink>
          </w:p>
        </w:tc>
        <w:tc>
          <w:tcPr>
            <w:tcW w:w="3400" w:type="dxa"/>
            <w:vAlign w:val="bottom"/>
            <w:gridSpan w:val="2"/>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23"/>
        </w:trPr>
        <w:tc>
          <w:tcPr>
            <w:tcW w:w="1720" w:type="dxa"/>
            <w:vAlign w:val="bottom"/>
            <w:tcBorders>
              <w:top w:val="single" w:sz="8" w:color="0000EE"/>
              <w:bottom w:val="single" w:sz="8" w:color="0000EE"/>
            </w:tcBorders>
            <w:gridSpan w:val="7"/>
          </w:tcPr>
          <w:p>
            <w:pPr>
              <w:spacing w:after="0"/>
              <w:rPr>
                <w:rFonts w:ascii="Arial" w:cs="Arial" w:eastAsia="Arial" w:hAnsi="Arial"/>
                <w:sz w:val="19"/>
                <w:szCs w:val="19"/>
                <w:color w:val="0000EE"/>
                <w:w w:val="93"/>
              </w:rPr>
            </w:pPr>
            <w:hyperlink w:anchor="page70">
              <w:r>
                <w:rPr>
                  <w:rFonts w:ascii="Arial" w:cs="Arial" w:eastAsia="Arial" w:hAnsi="Arial"/>
                  <w:sz w:val="19"/>
                  <w:szCs w:val="19"/>
                  <w:color w:val="0000EE"/>
                  <w:w w:val="93"/>
                </w:rPr>
                <w:t>USE OF PROCEEDS</w:t>
              </w:r>
            </w:hyperlink>
          </w:p>
        </w:tc>
        <w:tc>
          <w:tcPr>
            <w:tcW w:w="2060" w:type="dxa"/>
            <w:vAlign w:val="bottom"/>
            <w:tcBorders>
              <w:top w:val="single" w:sz="8" w:color="0000EE"/>
            </w:tcBorders>
            <w:gridSpan w:val="13"/>
          </w:tcPr>
          <w:p>
            <w:pPr>
              <w:spacing w:after="0"/>
              <w:rPr>
                <w:sz w:val="19"/>
                <w:szCs w:val="19"/>
                <w:color w:val="auto"/>
              </w:rPr>
            </w:pPr>
          </w:p>
        </w:tc>
        <w:tc>
          <w:tcPr>
            <w:tcW w:w="5200" w:type="dxa"/>
            <w:vAlign w:val="bottom"/>
            <w:gridSpan w:val="10"/>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3540" w:type="dxa"/>
            <w:vAlign w:val="bottom"/>
            <w:tcBorders>
              <w:bottom w:val="single" w:sz="8" w:color="0000EE"/>
            </w:tcBorders>
            <w:gridSpan w:val="16"/>
          </w:tcPr>
          <w:p>
            <w:pPr>
              <w:spacing w:after="0"/>
              <w:rPr>
                <w:rFonts w:ascii="Arial" w:cs="Arial" w:eastAsia="Arial" w:hAnsi="Arial"/>
                <w:sz w:val="19"/>
                <w:szCs w:val="19"/>
                <w:color w:val="0000EE"/>
                <w:w w:val="99"/>
              </w:rPr>
            </w:pPr>
            <w:hyperlink w:anchor="page70">
              <w:r>
                <w:rPr>
                  <w:rFonts w:ascii="Arial" w:cs="Arial" w:eastAsia="Arial" w:hAnsi="Arial"/>
                  <w:sz w:val="19"/>
                  <w:szCs w:val="19"/>
                  <w:color w:val="0000EE"/>
                  <w:w w:val="99"/>
                </w:rPr>
                <w:t>CAPITALIZATION AND INDEBTEDNESS</w:t>
              </w:r>
            </w:hyperlink>
          </w:p>
        </w:tc>
        <w:tc>
          <w:tcPr>
            <w:tcW w:w="5440" w:type="dxa"/>
            <w:vAlign w:val="bottom"/>
            <w:gridSpan w:val="14"/>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8980" w:type="dxa"/>
            <w:vAlign w:val="bottom"/>
            <w:gridSpan w:val="30"/>
          </w:tcPr>
          <w:p>
            <w:pPr>
              <w:spacing w:after="0"/>
              <w:rPr>
                <w:rFonts w:ascii="Arial" w:cs="Arial" w:eastAsia="Arial" w:hAnsi="Arial"/>
                <w:sz w:val="19"/>
                <w:szCs w:val="19"/>
                <w:color w:val="0000EE"/>
              </w:rPr>
            </w:pPr>
            <w:hyperlink w:anchor="page70">
              <w:r>
                <w:rPr>
                  <w:rFonts w:ascii="Arial" w:cs="Arial" w:eastAsia="Arial" w:hAnsi="Arial"/>
                  <w:sz w:val="19"/>
                  <w:szCs w:val="19"/>
                  <w:color w:val="0000EE"/>
                </w:rPr>
                <w:t>DESCRIPTION OF COMMON UNITS</w:t>
              </w:r>
            </w:hyperlink>
          </w:p>
        </w:tc>
        <w:tc>
          <w:tcPr>
            <w:tcW w:w="23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23"/>
        </w:trPr>
        <w:tc>
          <w:tcPr>
            <w:tcW w:w="4480" w:type="dxa"/>
            <w:vAlign w:val="bottom"/>
            <w:tcBorders>
              <w:bottom w:val="single" w:sz="8" w:color="0000EE"/>
            </w:tcBorders>
            <w:gridSpan w:val="24"/>
          </w:tcPr>
          <w:p>
            <w:pPr>
              <w:spacing w:after="0"/>
              <w:rPr>
                <w:rFonts w:ascii="Arial" w:cs="Arial" w:eastAsia="Arial" w:hAnsi="Arial"/>
                <w:sz w:val="19"/>
                <w:szCs w:val="19"/>
                <w:color w:val="0000EE"/>
                <w:w w:val="96"/>
              </w:rPr>
            </w:pPr>
            <w:hyperlink w:anchor="page70">
              <w:r>
                <w:rPr>
                  <w:rFonts w:ascii="Arial" w:cs="Arial" w:eastAsia="Arial" w:hAnsi="Arial"/>
                  <w:sz w:val="19"/>
                  <w:szCs w:val="19"/>
                  <w:color w:val="0000EE"/>
                  <w:w w:val="96"/>
                </w:rPr>
                <w:t>DESCRIPTION OF THE OTHER CLASSES OF UNITS</w:t>
              </w:r>
            </w:hyperlink>
          </w:p>
        </w:tc>
        <w:tc>
          <w:tcPr>
            <w:tcW w:w="4500" w:type="dxa"/>
            <w:vAlign w:val="bottom"/>
            <w:gridSpan w:val="6"/>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8980" w:type="dxa"/>
            <w:vAlign w:val="bottom"/>
            <w:gridSpan w:val="30"/>
          </w:tcPr>
          <w:p>
            <w:pPr>
              <w:spacing w:after="0"/>
              <w:rPr>
                <w:rFonts w:ascii="Arial" w:cs="Arial" w:eastAsia="Arial" w:hAnsi="Arial"/>
                <w:sz w:val="19"/>
                <w:szCs w:val="19"/>
                <w:color w:val="0000EE"/>
              </w:rPr>
            </w:pPr>
            <w:hyperlink w:anchor="page71">
              <w:r>
                <w:rPr>
                  <w:rFonts w:ascii="Arial" w:cs="Arial" w:eastAsia="Arial" w:hAnsi="Arial"/>
                  <w:sz w:val="19"/>
                  <w:szCs w:val="19"/>
                  <w:color w:val="0000EE"/>
                </w:rPr>
                <w:t>DESCRIPTION OF DEBT SECURITIES</w:t>
              </w:r>
            </w:hyperlink>
          </w:p>
        </w:tc>
        <w:tc>
          <w:tcPr>
            <w:tcW w:w="23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23"/>
        </w:trPr>
        <w:tc>
          <w:tcPr>
            <w:tcW w:w="3260" w:type="dxa"/>
            <w:vAlign w:val="bottom"/>
            <w:tcBorders>
              <w:top w:val="single" w:sz="8" w:color="0000EE"/>
            </w:tcBorders>
            <w:gridSpan w:val="15"/>
          </w:tcPr>
          <w:p>
            <w:pPr>
              <w:spacing w:after="0"/>
              <w:rPr>
                <w:rFonts w:ascii="Arial" w:cs="Arial" w:eastAsia="Arial" w:hAnsi="Arial"/>
                <w:sz w:val="19"/>
                <w:szCs w:val="19"/>
                <w:color w:val="0000EE"/>
              </w:rPr>
            </w:pPr>
            <w:hyperlink w:anchor="page78">
              <w:r>
                <w:rPr>
                  <w:rFonts w:ascii="Arial" w:cs="Arial" w:eastAsia="Arial" w:hAnsi="Arial"/>
                  <w:sz w:val="19"/>
                  <w:szCs w:val="19"/>
                  <w:color w:val="0000EE"/>
                </w:rPr>
                <w:t>DESCRIPTION OF WARRANTS</w:t>
              </w:r>
            </w:hyperlink>
          </w:p>
        </w:tc>
        <w:tc>
          <w:tcPr>
            <w:tcW w:w="5720" w:type="dxa"/>
            <w:vAlign w:val="bottom"/>
            <w:gridSpan w:val="15"/>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23"/>
        </w:trPr>
        <w:tc>
          <w:tcPr>
            <w:tcW w:w="2320" w:type="dxa"/>
            <w:vAlign w:val="bottom"/>
            <w:tcBorders>
              <w:top w:val="single" w:sz="8" w:color="0000EE"/>
              <w:bottom w:val="single" w:sz="8" w:color="0000EE"/>
            </w:tcBorders>
            <w:gridSpan w:val="9"/>
          </w:tcPr>
          <w:p>
            <w:pPr>
              <w:spacing w:after="0"/>
              <w:rPr>
                <w:rFonts w:ascii="Arial" w:cs="Arial" w:eastAsia="Arial" w:hAnsi="Arial"/>
                <w:sz w:val="19"/>
                <w:szCs w:val="19"/>
                <w:color w:val="0000EE"/>
                <w:w w:val="96"/>
              </w:rPr>
            </w:pPr>
            <w:hyperlink w:anchor="page79">
              <w:r>
                <w:rPr>
                  <w:rFonts w:ascii="Arial" w:cs="Arial" w:eastAsia="Arial" w:hAnsi="Arial"/>
                  <w:sz w:val="19"/>
                  <w:szCs w:val="19"/>
                  <w:color w:val="0000EE"/>
                  <w:w w:val="96"/>
                </w:rPr>
                <w:t>DESCRIPTION OF RIGHTS</w:t>
              </w:r>
            </w:hyperlink>
          </w:p>
        </w:tc>
        <w:tc>
          <w:tcPr>
            <w:tcW w:w="360" w:type="dxa"/>
            <w:vAlign w:val="bottom"/>
            <w:tcBorders>
              <w:top w:val="single" w:sz="8" w:color="0000EE"/>
            </w:tcBorders>
            <w:gridSpan w:val="3"/>
          </w:tcPr>
          <w:p>
            <w:pPr>
              <w:spacing w:after="0"/>
              <w:rPr>
                <w:sz w:val="19"/>
                <w:szCs w:val="19"/>
                <w:color w:val="auto"/>
              </w:rPr>
            </w:pPr>
          </w:p>
        </w:tc>
        <w:tc>
          <w:tcPr>
            <w:tcW w:w="6300" w:type="dxa"/>
            <w:vAlign w:val="bottom"/>
            <w:gridSpan w:val="18"/>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4020" w:type="dxa"/>
            <w:vAlign w:val="bottom"/>
            <w:tcBorders>
              <w:bottom w:val="single" w:sz="8" w:color="0000EE"/>
            </w:tcBorders>
            <w:gridSpan w:val="21"/>
          </w:tcPr>
          <w:p>
            <w:pPr>
              <w:spacing w:after="0"/>
              <w:rPr>
                <w:rFonts w:ascii="Arial" w:cs="Arial" w:eastAsia="Arial" w:hAnsi="Arial"/>
                <w:sz w:val="19"/>
                <w:szCs w:val="19"/>
                <w:color w:val="0000EE"/>
                <w:w w:val="98"/>
              </w:rPr>
            </w:pPr>
            <w:hyperlink w:anchor="page79">
              <w:r>
                <w:rPr>
                  <w:rFonts w:ascii="Arial" w:cs="Arial" w:eastAsia="Arial" w:hAnsi="Arial"/>
                  <w:sz w:val="19"/>
                  <w:szCs w:val="19"/>
                  <w:color w:val="0000EE"/>
                  <w:w w:val="98"/>
                </w:rPr>
                <w:t>DESCRIPTION OF THE COMBINATION UNITS</w:t>
              </w:r>
            </w:hyperlink>
          </w:p>
        </w:tc>
        <w:tc>
          <w:tcPr>
            <w:tcW w:w="4960" w:type="dxa"/>
            <w:vAlign w:val="bottom"/>
            <w:gridSpan w:val="9"/>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8980" w:type="dxa"/>
            <w:vAlign w:val="bottom"/>
            <w:gridSpan w:val="30"/>
          </w:tcPr>
          <w:p>
            <w:pPr>
              <w:spacing w:after="0"/>
              <w:rPr>
                <w:rFonts w:ascii="Arial" w:cs="Arial" w:eastAsia="Arial" w:hAnsi="Arial"/>
                <w:sz w:val="19"/>
                <w:szCs w:val="19"/>
                <w:color w:val="0000EE"/>
              </w:rPr>
            </w:pPr>
            <w:hyperlink w:anchor="page80">
              <w:r>
                <w:rPr>
                  <w:rFonts w:ascii="Arial" w:cs="Arial" w:eastAsia="Arial" w:hAnsi="Arial"/>
                  <w:sz w:val="19"/>
                  <w:szCs w:val="19"/>
                  <w:color w:val="0000EE"/>
                </w:rPr>
                <w:t>SUMMARY OF OUR PARTNERSHIP AGREEMENT</w:t>
              </w:r>
            </w:hyperlink>
          </w:p>
        </w:tc>
        <w:tc>
          <w:tcPr>
            <w:tcW w:w="23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360" w:type="dxa"/>
            <w:vAlign w:val="bottom"/>
            <w:gridSpan w:val="21"/>
            <w:shd w:val="clear" w:color="auto" w:fill="0000EE"/>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23"/>
        </w:trPr>
        <w:tc>
          <w:tcPr>
            <w:tcW w:w="8980" w:type="dxa"/>
            <w:vAlign w:val="bottom"/>
            <w:gridSpan w:val="30"/>
          </w:tcPr>
          <w:p>
            <w:pPr>
              <w:spacing w:after="0"/>
              <w:rPr>
                <w:rFonts w:ascii="Arial" w:cs="Arial" w:eastAsia="Arial" w:hAnsi="Arial"/>
                <w:sz w:val="19"/>
                <w:szCs w:val="19"/>
                <w:color w:val="0000EE"/>
              </w:rPr>
            </w:pPr>
            <w:hyperlink w:anchor="page80">
              <w:r>
                <w:rPr>
                  <w:rFonts w:ascii="Arial" w:cs="Arial" w:eastAsia="Arial" w:hAnsi="Arial"/>
                  <w:sz w:val="19"/>
                  <w:szCs w:val="19"/>
                  <w:color w:val="0000EE"/>
                </w:rPr>
                <w:t>OUR CASH DISTRIBUTION POLICY AND RESTRICTIONS ON DISTRIBUTIONS</w:t>
              </w:r>
            </w:hyperlink>
          </w:p>
        </w:tc>
        <w:tc>
          <w:tcPr>
            <w:tcW w:w="23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23"/>
        </w:trPr>
        <w:tc>
          <w:tcPr>
            <w:tcW w:w="5260" w:type="dxa"/>
            <w:vAlign w:val="bottom"/>
            <w:tcBorders>
              <w:top w:val="single" w:sz="8" w:color="0000EE"/>
              <w:bottom w:val="single" w:sz="8" w:color="0000EE"/>
            </w:tcBorders>
            <w:gridSpan w:val="26"/>
          </w:tcPr>
          <w:p>
            <w:pPr>
              <w:spacing w:after="0"/>
              <w:rPr>
                <w:rFonts w:ascii="Arial" w:cs="Arial" w:eastAsia="Arial" w:hAnsi="Arial"/>
                <w:sz w:val="19"/>
                <w:szCs w:val="19"/>
                <w:color w:val="0000EE"/>
                <w:w w:val="98"/>
              </w:rPr>
            </w:pPr>
            <w:hyperlink w:anchor="page93">
              <w:r>
                <w:rPr>
                  <w:rFonts w:ascii="Arial" w:cs="Arial" w:eastAsia="Arial" w:hAnsi="Arial"/>
                  <w:sz w:val="19"/>
                  <w:szCs w:val="19"/>
                  <w:color w:val="0000EE"/>
                  <w:w w:val="98"/>
                </w:rPr>
                <w:t>MATERIAL U.S. FEDERAL INCOME TAX CONSIDERATIONS</w:t>
              </w:r>
            </w:hyperlink>
          </w:p>
        </w:tc>
        <w:tc>
          <w:tcPr>
            <w:tcW w:w="1600" w:type="dxa"/>
            <w:vAlign w:val="bottom"/>
            <w:tcBorders>
              <w:top w:val="single" w:sz="8" w:color="0000EE"/>
            </w:tcBorders>
            <w:gridSpan w:val="3"/>
          </w:tcPr>
          <w:p>
            <w:pPr>
              <w:spacing w:after="0"/>
              <w:rPr>
                <w:sz w:val="19"/>
                <w:szCs w:val="19"/>
                <w:color w:val="auto"/>
              </w:rPr>
            </w:pPr>
          </w:p>
        </w:tc>
        <w:tc>
          <w:tcPr>
            <w:tcW w:w="21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4080" w:type="dxa"/>
            <w:vAlign w:val="bottom"/>
            <w:tcBorders>
              <w:bottom w:val="single" w:sz="8" w:color="0000EE"/>
            </w:tcBorders>
            <w:gridSpan w:val="22"/>
          </w:tcPr>
          <w:p>
            <w:pPr>
              <w:spacing w:after="0"/>
              <w:rPr>
                <w:rFonts w:ascii="Arial" w:cs="Arial" w:eastAsia="Arial" w:hAnsi="Arial"/>
                <w:sz w:val="19"/>
                <w:szCs w:val="19"/>
                <w:color w:val="0000EE"/>
                <w:w w:val="97"/>
              </w:rPr>
            </w:pPr>
            <w:hyperlink w:anchor="page93">
              <w:r>
                <w:rPr>
                  <w:rFonts w:ascii="Arial" w:cs="Arial" w:eastAsia="Arial" w:hAnsi="Arial"/>
                  <w:sz w:val="19"/>
                  <w:szCs w:val="19"/>
                  <w:color w:val="0000EE"/>
                  <w:w w:val="97"/>
                </w:rPr>
                <w:t>NON-UNITED STATES TAX CONSIDERATIONS</w:t>
              </w:r>
            </w:hyperlink>
          </w:p>
        </w:tc>
        <w:tc>
          <w:tcPr>
            <w:tcW w:w="4900" w:type="dxa"/>
            <w:vAlign w:val="bottom"/>
            <w:gridSpan w:val="8"/>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2220" w:type="dxa"/>
            <w:vAlign w:val="bottom"/>
            <w:tcBorders>
              <w:bottom w:val="single" w:sz="8" w:color="0000EE"/>
            </w:tcBorders>
            <w:gridSpan w:val="8"/>
          </w:tcPr>
          <w:p>
            <w:pPr>
              <w:spacing w:after="0"/>
              <w:rPr>
                <w:rFonts w:ascii="Arial" w:cs="Arial" w:eastAsia="Arial" w:hAnsi="Arial"/>
                <w:sz w:val="19"/>
                <w:szCs w:val="19"/>
                <w:color w:val="0000EE"/>
                <w:w w:val="99"/>
              </w:rPr>
            </w:pPr>
            <w:hyperlink w:anchor="page93">
              <w:r>
                <w:rPr>
                  <w:rFonts w:ascii="Arial" w:cs="Arial" w:eastAsia="Arial" w:hAnsi="Arial"/>
                  <w:sz w:val="19"/>
                  <w:szCs w:val="19"/>
                  <w:color w:val="0000EE"/>
                  <w:w w:val="99"/>
                </w:rPr>
                <w:t>PLAN OF DISTRIBUTION</w:t>
              </w:r>
            </w:hyperlink>
          </w:p>
        </w:tc>
        <w:tc>
          <w:tcPr>
            <w:tcW w:w="6760" w:type="dxa"/>
            <w:vAlign w:val="bottom"/>
            <w:gridSpan w:val="22"/>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8980" w:type="dxa"/>
            <w:vAlign w:val="bottom"/>
            <w:gridSpan w:val="30"/>
          </w:tcPr>
          <w:p>
            <w:pPr>
              <w:spacing w:after="0"/>
              <w:rPr>
                <w:rFonts w:ascii="Arial" w:cs="Arial" w:eastAsia="Arial" w:hAnsi="Arial"/>
                <w:sz w:val="19"/>
                <w:szCs w:val="19"/>
                <w:color w:val="0000EE"/>
              </w:rPr>
            </w:pPr>
            <w:hyperlink w:anchor="page95">
              <w:r>
                <w:rPr>
                  <w:rFonts w:ascii="Arial" w:cs="Arial" w:eastAsia="Arial" w:hAnsi="Arial"/>
                  <w:sz w:val="19"/>
                  <w:szCs w:val="19"/>
                  <w:color w:val="0000EE"/>
                </w:rPr>
                <w:t>EXPENSES</w:t>
              </w:r>
            </w:hyperlink>
          </w:p>
        </w:tc>
        <w:tc>
          <w:tcPr>
            <w:tcW w:w="238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20" w:type="dxa"/>
            <w:vAlign w:val="bottom"/>
            <w:gridSpan w:val="28"/>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6"/>
          </w:tcPr>
          <w:p>
            <w:pPr>
              <w:spacing w:after="0"/>
              <w:rPr>
                <w:rFonts w:ascii="Arial" w:cs="Arial" w:eastAsia="Arial" w:hAnsi="Arial"/>
                <w:sz w:val="19"/>
                <w:szCs w:val="19"/>
                <w:color w:val="0000EE"/>
                <w:w w:val="99"/>
              </w:rPr>
            </w:pPr>
            <w:hyperlink w:anchor="page95">
              <w:r>
                <w:rPr>
                  <w:rFonts w:ascii="Arial" w:cs="Arial" w:eastAsia="Arial" w:hAnsi="Arial"/>
                  <w:sz w:val="19"/>
                  <w:szCs w:val="19"/>
                  <w:color w:val="0000EE"/>
                  <w:w w:val="99"/>
                </w:rPr>
                <w:t>LEGAL MATTERS</w:t>
              </w:r>
            </w:hyperlink>
          </w:p>
        </w:tc>
        <w:tc>
          <w:tcPr>
            <w:tcW w:w="7400" w:type="dxa"/>
            <w:vAlign w:val="bottom"/>
            <w:gridSpan w:val="24"/>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23"/>
        </w:trPr>
        <w:tc>
          <w:tcPr>
            <w:tcW w:w="840" w:type="dxa"/>
            <w:vAlign w:val="bottom"/>
            <w:tcBorders>
              <w:bottom w:val="single" w:sz="8" w:color="0000EE"/>
            </w:tcBorders>
          </w:tcPr>
          <w:p>
            <w:pPr>
              <w:spacing w:after="0"/>
              <w:rPr>
                <w:rFonts w:ascii="Arial" w:cs="Arial" w:eastAsia="Arial" w:hAnsi="Arial"/>
                <w:sz w:val="19"/>
                <w:szCs w:val="19"/>
                <w:color w:val="0000EE"/>
                <w:w w:val="92"/>
              </w:rPr>
            </w:pPr>
            <w:hyperlink w:anchor="page95">
              <w:r>
                <w:rPr>
                  <w:rFonts w:ascii="Arial" w:cs="Arial" w:eastAsia="Arial" w:hAnsi="Arial"/>
                  <w:sz w:val="19"/>
                  <w:szCs w:val="19"/>
                  <w:color w:val="0000EE"/>
                  <w:w w:val="92"/>
                </w:rPr>
                <w:t>EXPERTS</w:t>
              </w:r>
            </w:hyperlink>
          </w:p>
        </w:tc>
        <w:tc>
          <w:tcPr>
            <w:tcW w:w="8140" w:type="dxa"/>
            <w:vAlign w:val="bottom"/>
            <w:gridSpan w:val="29"/>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9"/>
                <w:szCs w:val="19"/>
                <w:color w:val="auto"/>
              </w:rPr>
              <w:t>35</w:t>
            </w:r>
          </w:p>
        </w:tc>
      </w:tr>
    </w:tbl>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auto"/>
        </w:rPr>
        <w:t>ABOUT THIS PROSPECTUS SUPPLEMENT</w:t>
      </w:r>
    </w:p>
    <w:p>
      <w:pPr>
        <w:spacing w:after="0" w:line="125"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of Certain Information by Reference”. To the extent the description of our securities in this prospectus supplement differs from the description of our securities in the accompanying prospectus, you should rely on the information in this prospectus supplement.</w:t>
      </w:r>
    </w:p>
    <w:p>
      <w:pPr>
        <w:spacing w:after="0" w:line="49"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8527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852795"/>
                    </a:xfrm>
                    <a:prstGeom prst="rect">
                      <a:avLst/>
                    </a:prstGeom>
                    <a:noFill/>
                  </pic:spPr>
                </pic:pic>
              </a:graphicData>
            </a:graphic>
          </wp:anchor>
        </w:drawing>
        <w:t>SUMMARY</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i w:val="1"/>
          <w:iCs w:val="1"/>
          <w:color w:val="auto"/>
        </w:rPr>
        <w:t>This summary highlights information contained elsewhere in this prospectus supplement and accompanying prospectus. You should read “Risk Factors” beginning on page S-17 of this prospectus supplement and beginning on page 8 of our Annual Report on Form 20-F filed with the Securities and Exchange Commission (“SEC”) on February 13, 2017 (“Annual Report on Form 20-F”).</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 this prospectus supplement, unless otherwise indicated, references to:</w:t>
      </w:r>
    </w:p>
    <w:p>
      <w:pPr>
        <w:spacing w:after="0" w:line="106" w:lineRule="exact"/>
        <w:rPr>
          <w:sz w:val="20"/>
          <w:szCs w:val="20"/>
          <w:color w:val="auto"/>
        </w:rPr>
      </w:pPr>
    </w:p>
    <w:p>
      <w:pPr>
        <w:ind w:left="520" w:right="200" w:hanging="164"/>
        <w:spacing w:after="0" w:line="283" w:lineRule="auto"/>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“GasLog Partners”, the “Partnership”, “we”, “our”, “us” or similar terms refer to GasLog Partners LP or any one or more of its subsidiaries, or to all such entities unless the context otherwise indicates;</w:t>
      </w:r>
    </w:p>
    <w:p>
      <w:pPr>
        <w:spacing w:after="0" w:line="38" w:lineRule="exact"/>
        <w:rPr>
          <w:rFonts w:ascii="Arial" w:cs="Arial" w:eastAsia="Arial" w:hAnsi="Arial"/>
          <w:sz w:val="19"/>
          <w:szCs w:val="19"/>
          <w:color w:val="auto"/>
        </w:rPr>
      </w:pPr>
    </w:p>
    <w:p>
      <w:pPr>
        <w:ind w:left="520" w:right="140" w:hanging="164"/>
        <w:spacing w:after="0" w:line="283" w:lineRule="auto"/>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“GasLog”, depending on the context, refers to GasLog Ltd. and to any one or more of its direct and indirect subsidiaries, other than GasLog Partners;</w:t>
      </w:r>
    </w:p>
    <w:p>
      <w:pPr>
        <w:spacing w:after="0" w:line="38" w:lineRule="exact"/>
        <w:rPr>
          <w:rFonts w:ascii="Arial" w:cs="Arial" w:eastAsia="Arial" w:hAnsi="Arial"/>
          <w:sz w:val="19"/>
          <w:szCs w:val="19"/>
          <w:color w:val="auto"/>
        </w:rPr>
      </w:pPr>
    </w:p>
    <w:p>
      <w:pPr>
        <w:ind w:left="520" w:right="20" w:hanging="164"/>
        <w:spacing w:after="0" w:line="283" w:lineRule="auto"/>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“our general partner” refers to GasLog Partners GP LLC, the general partner of GasLog Partners and a wholly owned subsidiary of GasLog;</w:t>
      </w:r>
    </w:p>
    <w:p>
      <w:pPr>
        <w:spacing w:after="0" w:line="38"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“GasLog LNG Services” refers to GasLog LNG Services Ltd., a wholly owned subsidiary of GasLog;</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“Shell” refers to Royal Dutch Shell plc, or any one or more of its subsidiaries;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“BG Group” refers to BG Group plc. BG Group was acquired by Shell on February 15, 2016;</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“MSL” refers to Methane Services Limited, a subsidiary of BG Group and a subsidiary of Shell;</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“Mitsui” refers to Mitsui Co., Ltd.;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“Lepta Shipping” refers to Lepta Shipping Co., Ltd., a subsidiary of Mitsui;</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“Total” refers to Total Gas &amp; Power Chartering Limited;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“Centrica” refers to Pioneer Shipping Limited, a wholly owned subsidiary of Centrica plc;</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“LNG” refers to liquefied natural gas;</w:t>
      </w:r>
    </w:p>
    <w:p>
      <w:pPr>
        <w:spacing w:after="0" w:line="105" w:lineRule="exact"/>
        <w:rPr>
          <w:rFonts w:ascii="Arial" w:cs="Arial" w:eastAsia="Arial" w:hAnsi="Arial"/>
          <w:sz w:val="19"/>
          <w:szCs w:val="19"/>
          <w:color w:val="auto"/>
        </w:rPr>
      </w:pPr>
    </w:p>
    <w:p>
      <w:pPr>
        <w:ind w:left="520" w:right="360" w:hanging="164"/>
        <w:spacing w:after="0" w:line="283" w:lineRule="auto"/>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“omnibus agreement” refers to the Omnibus Agreement dated May 12, 2014 by and among the Partnership, GasLog, our general partner and GasLog Partners Holdings LLC, as amended;</w:t>
      </w:r>
    </w:p>
    <w:p>
      <w:pPr>
        <w:spacing w:after="0" w:line="38"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“IPO” refers to the initial public offering of GasLog Partners on May 12, 2014;</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“IFRS” refers to International Financial Reporting Standards;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“NYSE” refers to the New York Stock Exchange;</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“SEC” refers to the U.S. Securities and Exchange Commission;</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“dollars” and “$” refer to, and amounts are presented in, U.S. dollars; and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“cbm” refers to cubic meters.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742" w:right="479" w:bottom="1440" w:gutter="0" w:footer="0" w:header="0"/>
        </w:sectPr>
      </w:pPr>
    </w:p>
    <w:bookmarkStart w:id="5" w:name="page6"/>
    <w:bookmarkEnd w:id="5"/>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4634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634865"/>
                    </a:xfrm>
                    <a:prstGeom prst="rect">
                      <a:avLst/>
                    </a:prstGeom>
                    <a:noFill/>
                  </pic:spPr>
                </pic:pic>
              </a:graphicData>
            </a:graphic>
          </wp:anchor>
        </w:drawing>
        <w:t>GasLog Partners LP</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We are a growth-oriented limited partnership focused on owning, operating and acquiring LNG carriers engaged in LNG transportation under long-term charters, which we define as charters of five full years or more. Our fleet of ten LNG carriers, which have fixed charter terms expiring between 2018 and 2026 that can be extended at the charterers’ option, were contributed to us by, or acquired by us from, GasLog, which controls us through its ownership of our general partner.</w:t>
      </w:r>
    </w:p>
    <w:p>
      <w:pPr>
        <w:spacing w:after="0" w:line="72" w:lineRule="exact"/>
        <w:rPr>
          <w:sz w:val="20"/>
          <w:szCs w:val="20"/>
          <w:color w:val="auto"/>
        </w:rPr>
      </w:pPr>
    </w:p>
    <w:p>
      <w:pPr>
        <w:ind w:right="100" w:firstLine="357"/>
        <w:spacing w:after="0" w:line="302" w:lineRule="auto"/>
        <w:rPr>
          <w:sz w:val="20"/>
          <w:szCs w:val="20"/>
          <w:color w:val="auto"/>
        </w:rPr>
      </w:pPr>
      <w:r>
        <w:rPr>
          <w:rFonts w:ascii="Arial" w:cs="Arial" w:eastAsia="Arial" w:hAnsi="Arial"/>
          <w:sz w:val="17"/>
          <w:szCs w:val="17"/>
          <w:color w:val="auto"/>
        </w:rPr>
        <w:t>Our fleet consists of ten LNG carriers, including five vessels with modern tri-fuel diesel electric (“TFDE”) propulsion technology and five modern steam-powered (“Steam”) vessels that all operate under long-term charters with subsidiaries of Shell. We also have options and other rights under which we may acquire additional LNG carriers from GasLog, as described below. We believe that such options and rights provide us with significant built-in growth opportunities. We may also acquire vessels from shipyards or other owners in the future.</w:t>
      </w:r>
    </w:p>
    <w:p>
      <w:pPr>
        <w:spacing w:after="0" w:line="43"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operate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common unit distributions. Among other things, our ability to acquire additional LNG carriers will be dependent upon our ability to raise additional equity and debt financing. For further discussion of the risks that we face, please see “Risk Factors” beginning on page S-17 and please read “Item 3. Key Information—D. Risk Factors” of our Annual Report on Form 20-F.</w:t>
      </w:r>
    </w:p>
    <w:p>
      <w:pPr>
        <w:spacing w:after="0" w:line="76"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We are controlled by GasLog, which currently holds a 27.57% interest (including the 2% interest through general partner units) in us (before giving effect to this offering), and owns and controls our general partner. GasLog is, we believe, a leading independent international owner, operator and manager of LNG carriers and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symbol “GLOG”. At the time of its initial public offering, GasLog’s wholly owned fleet consisted of 10 LNG carriers, including eight newbuildings on order. Since its initial public offering, GasLog has increased by approximately 80% the total carrying capacity of vessels in its fleet, which includes vessels on the water and newbuildings on order. As of May 16, 2017, GasLog’s wholly owned fleet includes 17 LNG carriers (including 12 ships in operation and five LNG carriers on order) and GasLog has two LNG carriers operating under its technical management for third parties (one of which is due to be returned to the management of its owner within the next three months), and a vessel secured under a long-term bareboat charter from Lepta Shipping, a subsidiary of Mitsui. See “—Our Fleet” and “—Additional Vessels.”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43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435725"/>
                    </a:xfrm>
                    <a:prstGeom prst="rect">
                      <a:avLst/>
                    </a:prstGeom>
                    <a:noFill/>
                  </pic:spPr>
                </pic:pic>
              </a:graphicData>
            </a:graphic>
          </wp:anchor>
        </w:drawing>
        <w:t>Our Fleet</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Owned Fleet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presents information about our fleet as of May 16, 2017:</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380"/>
              <w:spacing w:after="0" w:line="176" w:lineRule="exact"/>
              <w:rPr>
                <w:sz w:val="20"/>
                <w:szCs w:val="20"/>
                <w:color w:val="auto"/>
              </w:rPr>
            </w:pPr>
            <w:r>
              <w:rPr>
                <w:rFonts w:ascii="Arial" w:cs="Arial" w:eastAsia="Arial" w:hAnsi="Arial"/>
                <w:sz w:val="16"/>
                <w:szCs w:val="16"/>
                <w:b w:val="1"/>
                <w:bCs w:val="1"/>
                <w:color w:val="auto"/>
              </w:rPr>
              <w:t>Year</w:t>
            </w:r>
          </w:p>
        </w:tc>
        <w:tc>
          <w:tcPr>
            <w:tcW w:w="26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c>
          <w:tcPr>
            <w:tcW w:w="1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Optional</w:t>
            </w:r>
          </w:p>
        </w:tc>
      </w:tr>
      <w:tr>
        <w:trPr>
          <w:trHeight w:val="199"/>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Vessel Name</w:t>
            </w:r>
          </w:p>
        </w:tc>
        <w:tc>
          <w:tcPr>
            <w:tcW w:w="260" w:type="dxa"/>
            <w:vAlign w:val="bottom"/>
          </w:tcPr>
          <w:p>
            <w:pPr>
              <w:spacing w:after="0"/>
              <w:rPr>
                <w:sz w:val="17"/>
                <w:szCs w:val="17"/>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Built</w:t>
            </w:r>
          </w:p>
        </w:tc>
        <w:tc>
          <w:tcPr>
            <w:tcW w:w="26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26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26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26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Expiration</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Period</w:t>
            </w:r>
          </w:p>
        </w:tc>
      </w:tr>
      <w:tr>
        <w:trPr>
          <w:trHeight w:val="212"/>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b w:val="1"/>
                <w:bCs w:val="1"/>
                <w:color w:val="auto"/>
              </w:rPr>
              <w:t>1</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Shanghai</w:t>
            </w:r>
          </w:p>
        </w:tc>
        <w:tc>
          <w:tcPr>
            <w:tcW w:w="260" w:type="dxa"/>
            <w:vAlign w:val="bottom"/>
          </w:tcPr>
          <w:p>
            <w:pPr>
              <w:spacing w:after="0"/>
              <w:rPr>
                <w:sz w:val="18"/>
                <w:szCs w:val="18"/>
                <w:color w:val="auto"/>
              </w:rPr>
            </w:pPr>
          </w:p>
        </w:tc>
        <w:tc>
          <w:tcPr>
            <w:tcW w:w="1060" w:type="dxa"/>
            <w:vAlign w:val="bottom"/>
          </w:tcPr>
          <w:p>
            <w:pPr>
              <w:ind w:left="360"/>
              <w:spacing w:after="0"/>
              <w:rPr>
                <w:sz w:val="20"/>
                <w:szCs w:val="20"/>
                <w:color w:val="auto"/>
              </w:rPr>
            </w:pPr>
            <w:r>
              <w:rPr>
                <w:rFonts w:ascii="Arial" w:cs="Arial" w:eastAsia="Arial" w:hAnsi="Arial"/>
                <w:sz w:val="17"/>
                <w:szCs w:val="17"/>
                <w:color w:val="auto"/>
              </w:rPr>
              <w:t>2013</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2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May 2018</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24"/>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2</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Santiago</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2013</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July 2018</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3</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Sydney</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2013</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September 2018</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4</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Seattle</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2013</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December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2025-2030</w:t>
            </w:r>
            <w:r>
              <w:rPr>
                <w:rFonts w:ascii="Arial" w:cs="Arial" w:eastAsia="Arial" w:hAnsi="Arial"/>
                <w:sz w:val="9"/>
                <w:szCs w:val="9"/>
                <w:color w:val="auto"/>
                <w:w w:val="90"/>
              </w:rPr>
              <w:t>(1)</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5</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Greece</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2016</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174,000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March 2026</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84"/>
              </w:rPr>
              <w:t>2031</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6</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Rita Andrea</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2006</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April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2023-2025</w:t>
            </w:r>
            <w:r>
              <w:rPr>
                <w:rFonts w:ascii="Arial" w:cs="Arial" w:eastAsia="Arial" w:hAnsi="Arial"/>
                <w:sz w:val="9"/>
                <w:szCs w:val="9"/>
                <w:color w:val="auto"/>
                <w:w w:val="90"/>
              </w:rPr>
              <w:t>(2)</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7</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Jane Elizabeth</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2006</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October 2019</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2022-2024</w:t>
            </w:r>
            <w:r>
              <w:rPr>
                <w:rFonts w:ascii="Arial" w:cs="Arial" w:eastAsia="Arial" w:hAnsi="Arial"/>
                <w:sz w:val="9"/>
                <w:szCs w:val="9"/>
                <w:color w:val="auto"/>
                <w:w w:val="90"/>
              </w:rPr>
              <w:t>(2)</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8</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Alison Victoria</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2007</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December 2019</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2022-2024</w:t>
            </w:r>
            <w:r>
              <w:rPr>
                <w:rFonts w:ascii="Arial" w:cs="Arial" w:eastAsia="Arial" w:hAnsi="Arial"/>
                <w:sz w:val="9"/>
                <w:szCs w:val="9"/>
                <w:color w:val="auto"/>
                <w:w w:val="90"/>
              </w:rPr>
              <w:t>(3)</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9</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Shirley Elisabeth</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2007</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June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2023-2025</w:t>
            </w:r>
            <w:r>
              <w:rPr>
                <w:rFonts w:ascii="Arial" w:cs="Arial" w:eastAsia="Arial" w:hAnsi="Arial"/>
                <w:sz w:val="9"/>
                <w:szCs w:val="9"/>
                <w:color w:val="auto"/>
                <w:w w:val="90"/>
              </w:rPr>
              <w:t>(3)</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10</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Heather Sally</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2007</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December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2023-2025</w:t>
            </w:r>
            <w:r>
              <w:rPr>
                <w:rFonts w:ascii="Arial" w:cs="Arial" w:eastAsia="Arial" w:hAnsi="Arial"/>
                <w:sz w:val="9"/>
                <w:szCs w:val="9"/>
                <w:color w:val="auto"/>
                <w:w w:val="90"/>
              </w:rPr>
              <w:t>(3)</w:t>
            </w:r>
          </w:p>
        </w:tc>
      </w:tr>
    </w:tbl>
    <w:p>
      <w:pPr>
        <w:spacing w:after="0" w:line="349" w:lineRule="exact"/>
        <w:rPr>
          <w:sz w:val="20"/>
          <w:szCs w:val="20"/>
          <w:color w:val="auto"/>
        </w:rPr>
      </w:pPr>
    </w:p>
    <w:p>
      <w:pPr>
        <w:ind w:left="260" w:right="180" w:hanging="197"/>
        <w:spacing w:after="0" w:line="357" w:lineRule="auto"/>
        <w:tabs>
          <w:tab w:leader="none" w:pos="260" w:val="left"/>
        </w:tabs>
        <w:numPr>
          <w:ilvl w:val="0"/>
          <w:numId w:val="2"/>
        </w:numPr>
        <w:rPr>
          <w:rFonts w:ascii="Arial" w:cs="Arial" w:eastAsia="Arial" w:hAnsi="Arial"/>
          <w:sz w:val="8"/>
          <w:szCs w:val="8"/>
          <w:color w:val="auto"/>
        </w:rPr>
      </w:pPr>
      <w:r>
        <w:rPr>
          <w:rFonts w:ascii="Arial" w:cs="Arial" w:eastAsia="Arial" w:hAnsi="Arial"/>
          <w:sz w:val="13"/>
          <w:szCs w:val="13"/>
          <w:color w:val="auto"/>
        </w:rPr>
        <w:t>Charterer may extend the term of the time charter for a period ranging from five to ten years, and the charter requires that the charterer provide us with advance notice of its exercise of any extension option. The period shown reflects the expiration of the minimum optional period and the maximum optional period.</w:t>
      </w:r>
    </w:p>
    <w:p>
      <w:pPr>
        <w:ind w:left="260" w:right="80" w:hanging="197"/>
        <w:spacing w:after="0" w:line="357" w:lineRule="auto"/>
        <w:tabs>
          <w:tab w:leader="none" w:pos="260" w:val="left"/>
        </w:tabs>
        <w:numPr>
          <w:ilvl w:val="0"/>
          <w:numId w:val="2"/>
        </w:numPr>
        <w:rPr>
          <w:rFonts w:ascii="Arial" w:cs="Arial" w:eastAsia="Arial" w:hAnsi="Arial"/>
          <w:sz w:val="8"/>
          <w:szCs w:val="8"/>
          <w:color w:val="auto"/>
        </w:rPr>
      </w:pPr>
      <w:r>
        <w:rPr>
          <w:rFonts w:ascii="Arial" w:cs="Arial" w:eastAsia="Arial" w:hAnsi="Arial"/>
          <w:sz w:val="13"/>
          <w:szCs w:val="13"/>
          <w:color w:val="auto"/>
        </w:rPr>
        <w:t>Charterer may extend either or both of these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ind w:left="260" w:right="80" w:hanging="197"/>
        <w:spacing w:after="0" w:line="364" w:lineRule="auto"/>
        <w:tabs>
          <w:tab w:leader="none" w:pos="260" w:val="left"/>
        </w:tabs>
        <w:numPr>
          <w:ilvl w:val="0"/>
          <w:numId w:val="2"/>
        </w:numPr>
        <w:rPr>
          <w:rFonts w:ascii="Arial" w:cs="Arial" w:eastAsia="Arial" w:hAnsi="Arial"/>
          <w:sz w:val="8"/>
          <w:szCs w:val="8"/>
          <w:color w:val="auto"/>
        </w:rPr>
      </w:pPr>
      <w:r>
        <w:rPr>
          <w:rFonts w:ascii="Arial" w:cs="Arial" w:eastAsia="Arial" w:hAnsi="Arial"/>
          <w:sz w:val="13"/>
          <w:szCs w:val="13"/>
          <w:color w:val="auto"/>
        </w:rPr>
        <w:t>Charterer may extend the term of two of the three related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Charter Expirations</w:t>
      </w:r>
    </w:p>
    <w:p>
      <w:pPr>
        <w:spacing w:after="0" w:line="119" w:lineRule="exact"/>
        <w:rPr>
          <w:sz w:val="20"/>
          <w:szCs w:val="20"/>
          <w:color w:val="auto"/>
        </w:rPr>
      </w:pPr>
    </w:p>
    <w:p>
      <w:pPr>
        <w:ind w:right="40" w:firstLine="357"/>
        <w:spacing w:after="0" w:line="269" w:lineRule="auto"/>
        <w:rPr>
          <w:sz w:val="20"/>
          <w:szCs w:val="20"/>
          <w:color w:val="auto"/>
        </w:rPr>
      </w:pPr>
      <w:r>
        <w:rPr>
          <w:rFonts w:ascii="Arial" w:cs="Arial" w:eastAsia="Arial" w:hAnsi="Arial"/>
          <w:sz w:val="18"/>
          <w:szCs w:val="18"/>
          <w:color w:val="auto"/>
        </w:rPr>
        <w:t xml:space="preserve">The initial terms of the time charters for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began upon delivery of the ships in January 2013, March 2013 and May 2013, respectively, and were due to terminate in January 2018, March 2018 and May 2019, as applicable, with MSL having options to extend the terms of each of the charters for up to eight years at specified hire rates. In April 2015, the charter expirations were amended and the initial terms of the time charters for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were each extended by four months to May 2018 and July 2018, respectively, whilst the initial term for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was shortened by eight months to September 2018. Each charter extension and the length thereof was to be nominated by MSL at least 18 months before the end of the current charter period for each vessel. No such nominations have been received for the three ships within the required notice period. The </w:t>
      </w:r>
      <w:r>
        <w:rPr>
          <w:rFonts w:ascii="Arial" w:cs="Arial" w:eastAsia="Arial" w:hAnsi="Arial"/>
          <w:sz w:val="18"/>
          <w:szCs w:val="18"/>
          <w:i w:val="1"/>
          <w:iCs w:val="1"/>
          <w:color w:val="auto"/>
        </w:rPr>
        <w:t xml:space="preserve">Gaslog Shanghai </w:t>
      </w:r>
      <w:r>
        <w:rPr>
          <w:rFonts w:ascii="Arial" w:cs="Arial" w:eastAsia="Arial" w:hAnsi="Arial"/>
          <w:sz w:val="18"/>
          <w:szCs w:val="18"/>
          <w:color w:val="auto"/>
        </w:rPr>
        <w:t>is due to come off charter in May 2018 plus or minus 30 days, the</w:t>
      </w:r>
      <w:r>
        <w:rPr>
          <w:rFonts w:ascii="Arial" w:cs="Arial" w:eastAsia="Arial" w:hAnsi="Arial"/>
          <w:sz w:val="18"/>
          <w:szCs w:val="18"/>
          <w:i w:val="1"/>
          <w:iCs w:val="1"/>
          <w:color w:val="auto"/>
        </w:rPr>
        <w:t xml:space="preserve"> GasLog Santiago </w:t>
      </w:r>
      <w:r>
        <w:rPr>
          <w:rFonts w:ascii="Arial" w:cs="Arial" w:eastAsia="Arial" w:hAnsi="Arial"/>
          <w:sz w:val="18"/>
          <w:szCs w:val="18"/>
          <w:color w:val="auto"/>
        </w:rPr>
        <w:t>is due to come off charter in July 2018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plus or minus 30 days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is due to come off charter in September 2018 plus or minus 30 days. GasLog Partners is considering several options for these vessels which include fixing new multi-year charters with third parties or trading such vessels on an interim basis in the spot market, and will pursue the most advantageous redeployment depending on evolving market conditions. In accordance with the agreement entered into in April 2015 between GasLog and GasLog Partners, if GasLog Partners does not enter into a multi-year third-party charter for the </w:t>
      </w:r>
      <w:r>
        <w:rPr>
          <w:rFonts w:ascii="Arial" w:cs="Arial" w:eastAsia="Arial" w:hAnsi="Arial"/>
          <w:sz w:val="18"/>
          <w:szCs w:val="18"/>
          <w:i w:val="1"/>
          <w:iCs w:val="1"/>
          <w:color w:val="auto"/>
        </w:rPr>
        <w:t>GasLog Sydney</w:t>
      </w:r>
      <w:r>
        <w:rPr>
          <w:rFonts w:ascii="Arial" w:cs="Arial" w:eastAsia="Arial" w:hAnsi="Arial"/>
          <w:sz w:val="18"/>
          <w:szCs w:val="18"/>
          <w:color w:val="auto"/>
        </w:rPr>
        <w:t>, GasLog and GasLog Partners intend to enter into a bareboat charter or time charter arrangement that is designed to guarantee the total cash available for distribution from the vessel for one year, being the eight months by which the charter was shortened rounded up to one year as previously agreed.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779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779260"/>
                    </a:xfrm>
                    <a:prstGeom prst="rect">
                      <a:avLst/>
                    </a:prstGeom>
                    <a:noFill/>
                  </pic:spPr>
                </pic:pic>
              </a:graphicData>
            </a:graphic>
          </wp:anchor>
        </w:drawing>
        <w:t>Additional Vessels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Existing Vessel Interests Purchase Options</w:t>
      </w:r>
    </w:p>
    <w:p>
      <w:pPr>
        <w:spacing w:after="0" w:line="119" w:lineRule="exact"/>
        <w:rPr>
          <w:sz w:val="20"/>
          <w:szCs w:val="20"/>
          <w:color w:val="auto"/>
        </w:rPr>
      </w:pPr>
    </w:p>
    <w:p>
      <w:pPr>
        <w:ind w:right="80" w:firstLine="357"/>
        <w:spacing w:after="0" w:line="269" w:lineRule="auto"/>
        <w:rPr>
          <w:sz w:val="20"/>
          <w:szCs w:val="20"/>
          <w:color w:val="auto"/>
        </w:rPr>
      </w:pPr>
      <w:r>
        <w:rPr>
          <w:rFonts w:ascii="Arial" w:cs="Arial" w:eastAsia="Arial" w:hAnsi="Arial"/>
          <w:sz w:val="18"/>
          <w:szCs w:val="18"/>
          <w:color w:val="auto"/>
        </w:rPr>
        <w:t xml:space="preserve">We currently have the option to purchase from GasLog: (i)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Gibraltar </w:t>
      </w:r>
      <w:r>
        <w:rPr>
          <w:rFonts w:ascii="Arial" w:cs="Arial" w:eastAsia="Arial" w:hAnsi="Arial"/>
          <w:sz w:val="18"/>
          <w:szCs w:val="18"/>
          <w:color w:val="auto"/>
        </w:rPr>
        <w:t>within 36 months after GasLog notifies our board of directors of their acceptance by their charterers and (ii) as provided for 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addendum to the omnibus agreement dated April 21, 2015, among GasLog, GasLog Partners, our general partner and GasLog Partners Holdings,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within 36 months after the completion of their acquisition by GasLog on March 31, 2015. In each case, our option to purchase is at fair market value as determined pursuant to the omnibus agreement. See “Item 7. Major Unitholders and Related Party Transactions—B. Related Party Transactions—Omnibus Agreement—Noncompetition” of our Annual Report on Form 20-F for additional information on the LNG carrier purchase options.</w:t>
      </w: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5"/>
              </w:rPr>
              <w:t>Cargo</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ind w:left="520"/>
              <w:spacing w:after="0" w:line="176" w:lineRule="exact"/>
              <w:rPr>
                <w:sz w:val="20"/>
                <w:szCs w:val="20"/>
                <w:color w:val="auto"/>
              </w:rPr>
            </w:pPr>
            <w:r>
              <w:rPr>
                <w:rFonts w:ascii="Arial" w:cs="Arial" w:eastAsia="Arial" w:hAnsi="Arial"/>
                <w:sz w:val="16"/>
                <w:szCs w:val="16"/>
                <w:b w:val="1"/>
                <w:bCs w:val="1"/>
                <w:color w:val="auto"/>
              </w:rPr>
              <w:t>Year</w:t>
            </w:r>
          </w:p>
        </w:tc>
        <w:tc>
          <w:tcPr>
            <w:tcW w:w="26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r>
      <w:tr>
        <w:trPr>
          <w:trHeight w:val="199"/>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Vessel Name</w:t>
            </w:r>
          </w:p>
        </w:tc>
        <w:tc>
          <w:tcPr>
            <w:tcW w:w="280" w:type="dxa"/>
            <w:vAlign w:val="bottom"/>
          </w:tcPr>
          <w:p>
            <w:pPr>
              <w:spacing w:after="0"/>
              <w:rPr>
                <w:sz w:val="17"/>
                <w:szCs w:val="17"/>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Built</w:t>
            </w:r>
          </w:p>
        </w:tc>
        <w:tc>
          <w:tcPr>
            <w:tcW w:w="26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2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Propulsion</w:t>
            </w:r>
          </w:p>
        </w:tc>
        <w:tc>
          <w:tcPr>
            <w:tcW w:w="26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28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Expiration</w:t>
            </w:r>
            <w:r>
              <w:rPr>
                <w:rFonts w:ascii="Arial" w:cs="Arial" w:eastAsia="Arial" w:hAnsi="Arial"/>
                <w:sz w:val="8"/>
                <w:szCs w:val="8"/>
                <w:b w:val="1"/>
                <w:bCs w:val="1"/>
                <w:color w:val="auto"/>
                <w:w w:val="95"/>
              </w:rPr>
              <w:t>(1)</w:t>
            </w:r>
          </w:p>
        </w:tc>
      </w:tr>
      <w:tr>
        <w:trPr>
          <w:trHeight w:val="220"/>
        </w:trPr>
        <w:tc>
          <w:tcPr>
            <w:tcW w:w="20" w:type="dxa"/>
            <w:vAlign w:val="bottom"/>
          </w:tcPr>
          <w:p>
            <w:pPr>
              <w:spacing w:after="0"/>
              <w:rPr>
                <w:sz w:val="19"/>
                <w:szCs w:val="19"/>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1</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Solaris</w:t>
            </w:r>
          </w:p>
        </w:tc>
        <w:tc>
          <w:tcPr>
            <w:tcW w:w="280" w:type="dxa"/>
            <w:vAlign w:val="bottom"/>
          </w:tcPr>
          <w:p>
            <w:pPr>
              <w:spacing w:after="0"/>
              <w:rPr>
                <w:sz w:val="19"/>
                <w:szCs w:val="19"/>
                <w:color w:val="auto"/>
              </w:rPr>
            </w:pPr>
          </w:p>
        </w:tc>
        <w:tc>
          <w:tcPr>
            <w:tcW w:w="1380" w:type="dxa"/>
            <w:vAlign w:val="bottom"/>
          </w:tcPr>
          <w:p>
            <w:pPr>
              <w:ind w:left="50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June 2021</w:t>
            </w:r>
          </w:p>
        </w:tc>
      </w:tr>
      <w:tr>
        <w:trPr>
          <w:trHeight w:val="231"/>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2</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GasLog Glasgow</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2016</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174,000</w:t>
            </w:r>
          </w:p>
        </w:tc>
        <w:tc>
          <w:tcPr>
            <w:tcW w:w="2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June 2026</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3</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GasLog Geneva</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2016</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174,000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1460" w:type="dxa"/>
            <w:vAlign w:val="bottom"/>
            <w:gridSpan w:val="2"/>
          </w:tcPr>
          <w:p>
            <w:pPr>
              <w:jc w:val="center"/>
              <w:ind w:left="171"/>
              <w:spacing w:after="0"/>
              <w:rPr>
                <w:sz w:val="20"/>
                <w:szCs w:val="20"/>
                <w:color w:val="auto"/>
              </w:rPr>
            </w:pPr>
            <w:r>
              <w:rPr>
                <w:rFonts w:ascii="Arial" w:cs="Arial" w:eastAsia="Arial" w:hAnsi="Arial"/>
                <w:sz w:val="18"/>
                <w:szCs w:val="18"/>
                <w:color w:val="auto"/>
                <w:w w:val="87"/>
              </w:rPr>
              <w:t>September 2023</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4</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GasLog Gibraltar</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2016</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174,000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October 2023</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5</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Methane Becki Anne</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2010</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170,000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2024</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6</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9"/>
                <w:szCs w:val="9"/>
                <w:color w:val="auto"/>
              </w:rPr>
              <w:t>(2)</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2010</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170,000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2026</w:t>
            </w:r>
          </w:p>
        </w:tc>
      </w:tr>
    </w:tbl>
    <w:p>
      <w:pPr>
        <w:spacing w:after="0" w:line="333" w:lineRule="exact"/>
        <w:rPr>
          <w:sz w:val="20"/>
          <w:szCs w:val="20"/>
          <w:color w:val="auto"/>
        </w:rPr>
      </w:pPr>
    </w:p>
    <w:p>
      <w:pPr>
        <w:ind w:left="260" w:hanging="197"/>
        <w:spacing w:after="0"/>
        <w:tabs>
          <w:tab w:leader="none" w:pos="260" w:val="left"/>
        </w:tabs>
        <w:numPr>
          <w:ilvl w:val="0"/>
          <w:numId w:val="3"/>
        </w:numPr>
        <w:rPr>
          <w:rFonts w:ascii="Arial" w:cs="Arial" w:eastAsia="Arial" w:hAnsi="Arial"/>
          <w:sz w:val="9"/>
          <w:szCs w:val="9"/>
          <w:color w:val="auto"/>
        </w:rPr>
      </w:pPr>
      <w:r>
        <w:rPr>
          <w:rFonts w:ascii="Arial" w:cs="Arial" w:eastAsia="Arial" w:hAnsi="Arial"/>
          <w:sz w:val="16"/>
          <w:szCs w:val="16"/>
          <w:color w:val="auto"/>
        </w:rPr>
        <w:t>Indicates the expiration of the initial fixed term.</w:t>
      </w:r>
    </w:p>
    <w:p>
      <w:pPr>
        <w:spacing w:after="0" w:line="86" w:lineRule="exact"/>
        <w:rPr>
          <w:rFonts w:ascii="Arial" w:cs="Arial" w:eastAsia="Arial" w:hAnsi="Arial"/>
          <w:sz w:val="9"/>
          <w:szCs w:val="9"/>
          <w:color w:val="auto"/>
        </w:rPr>
      </w:pPr>
    </w:p>
    <w:p>
      <w:pPr>
        <w:ind w:left="260" w:right="40" w:hanging="197"/>
        <w:spacing w:after="0" w:line="309" w:lineRule="auto"/>
        <w:tabs>
          <w:tab w:leader="none" w:pos="260" w:val="left"/>
        </w:tabs>
        <w:numPr>
          <w:ilvl w:val="0"/>
          <w:numId w:val="3"/>
        </w:numPr>
        <w:rPr>
          <w:rFonts w:ascii="Arial" w:cs="Arial" w:eastAsia="Arial" w:hAnsi="Arial"/>
          <w:sz w:val="8"/>
          <w:szCs w:val="8"/>
          <w:color w:val="auto"/>
        </w:rPr>
      </w:pPr>
      <w:r>
        <w:rPr>
          <w:rFonts w:ascii="Arial" w:cs="Arial" w:eastAsia="Arial" w:hAnsi="Arial"/>
          <w:sz w:val="13"/>
          <w:szCs w:val="13"/>
          <w:color w:val="auto"/>
        </w:rPr>
        <w:t xml:space="preserve">On February 24, 2016, GasLog’s subsidiary,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Lepta Shipping. Lepta Shipping has the right to on-sell and lease back the vessel. The vessel was sold to Lepta Shipping for a total consideration approximately equivalent to its then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Five-Year Vessel Business Opportunities</w:t>
      </w:r>
    </w:p>
    <w:p>
      <w:pPr>
        <w:spacing w:after="0" w:line="119" w:lineRule="exact"/>
        <w:rPr>
          <w:sz w:val="20"/>
          <w:szCs w:val="20"/>
          <w:color w:val="auto"/>
        </w:rPr>
      </w:pPr>
    </w:p>
    <w:p>
      <w:pPr>
        <w:ind w:right="100" w:firstLine="357"/>
        <w:spacing w:after="0" w:line="284" w:lineRule="auto"/>
        <w:rPr>
          <w:sz w:val="20"/>
          <w:szCs w:val="20"/>
          <w:color w:val="auto"/>
        </w:rPr>
      </w:pPr>
      <w:r>
        <w:rPr>
          <w:rFonts w:ascii="Arial" w:cs="Arial" w:eastAsia="Arial" w:hAnsi="Arial"/>
          <w:sz w:val="17"/>
          <w:szCs w:val="17"/>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We refer to these vessels, together with any related charters, as “Five-Year Vessels”. In the event that GasLog acquires, operates or puts under charter a Five-Year Vessel, then GasLog will be required, within 30 calendar days after the consummation of the acquisition or the commencement of the operations or charter, to notify us and offer us the opportunity to purchase such Five-Year Vessel at fair market value. The five newbuildings listed below will each qualify as a Five-Year Vessel upon commencement of its charter,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 Otherwise, these vessels will be owned and operated by GasLog.</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0"/>
              </w:rPr>
              <w:t>Cargo</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Year</w:t>
            </w:r>
          </w:p>
        </w:tc>
        <w:tc>
          <w:tcPr>
            <w:tcW w:w="2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r>
      <w:tr>
        <w:trPr>
          <w:trHeight w:val="199"/>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tcPr>
          <w:p>
            <w:pPr>
              <w:ind w:left="820"/>
              <w:spacing w:after="0"/>
              <w:rPr>
                <w:sz w:val="20"/>
                <w:szCs w:val="20"/>
                <w:color w:val="auto"/>
              </w:rPr>
            </w:pPr>
            <w:r>
              <w:rPr>
                <w:rFonts w:ascii="Arial" w:cs="Arial" w:eastAsia="Arial" w:hAnsi="Arial"/>
                <w:sz w:val="16"/>
                <w:szCs w:val="16"/>
                <w:b w:val="1"/>
                <w:bCs w:val="1"/>
                <w:color w:val="auto"/>
              </w:rPr>
              <w:t>Vessel Name</w:t>
            </w:r>
          </w:p>
        </w:tc>
        <w:tc>
          <w:tcPr>
            <w:tcW w:w="2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6"/>
              </w:rPr>
              <w:t>Built</w:t>
            </w:r>
            <w:r>
              <w:rPr>
                <w:rFonts w:ascii="Arial" w:cs="Arial" w:eastAsia="Arial" w:hAnsi="Arial"/>
                <w:sz w:val="8"/>
                <w:szCs w:val="8"/>
                <w:b w:val="1"/>
                <w:bCs w:val="1"/>
                <w:color w:val="auto"/>
                <w:w w:val="96"/>
              </w:rPr>
              <w:t>(1)</w:t>
            </w:r>
          </w:p>
        </w:tc>
        <w:tc>
          <w:tcPr>
            <w:tcW w:w="2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(cbm)</w:t>
            </w:r>
          </w:p>
        </w:tc>
        <w:tc>
          <w:tcPr>
            <w:tcW w:w="2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Propulsion</w:t>
            </w:r>
            <w:r>
              <w:rPr>
                <w:rFonts w:ascii="Arial" w:cs="Arial" w:eastAsia="Arial" w:hAnsi="Arial"/>
                <w:sz w:val="8"/>
                <w:szCs w:val="8"/>
                <w:b w:val="1"/>
                <w:bCs w:val="1"/>
                <w:color w:val="auto"/>
                <w:w w:val="89"/>
              </w:rPr>
              <w:t>(2)</w:t>
            </w:r>
          </w:p>
        </w:tc>
        <w:tc>
          <w:tcPr>
            <w:tcW w:w="2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1120" w:type="dxa"/>
            <w:vAlign w:val="bottom"/>
            <w:gridSpan w:val="2"/>
          </w:tcPr>
          <w:p>
            <w:pPr>
              <w:jc w:val="center"/>
              <w:ind w:left="153"/>
              <w:spacing w:after="0"/>
              <w:rPr>
                <w:sz w:val="20"/>
                <w:szCs w:val="20"/>
                <w:color w:val="auto"/>
              </w:rPr>
            </w:pPr>
            <w:r>
              <w:rPr>
                <w:rFonts w:ascii="Arial" w:cs="Arial" w:eastAsia="Arial" w:hAnsi="Arial"/>
                <w:sz w:val="16"/>
                <w:szCs w:val="16"/>
                <w:b w:val="1"/>
                <w:bCs w:val="1"/>
                <w:color w:val="auto"/>
                <w:w w:val="95"/>
              </w:rPr>
              <w:t>Expiration</w:t>
            </w:r>
            <w:r>
              <w:rPr>
                <w:rFonts w:ascii="Arial" w:cs="Arial" w:eastAsia="Arial" w:hAnsi="Arial"/>
                <w:sz w:val="8"/>
                <w:szCs w:val="8"/>
                <w:b w:val="1"/>
                <w:bCs w:val="1"/>
                <w:color w:val="auto"/>
                <w:w w:val="95"/>
              </w:rPr>
              <w:t>(3)</w:t>
            </w:r>
          </w:p>
        </w:tc>
      </w:tr>
      <w:tr>
        <w:trPr>
          <w:trHeight w:val="220"/>
        </w:trPr>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1</w:t>
            </w:r>
          </w:p>
        </w:tc>
        <w:tc>
          <w:tcPr>
            <w:tcW w:w="2780" w:type="dxa"/>
            <w:vAlign w:val="bottom"/>
            <w:tcBorders>
              <w:top w:val="single" w:sz="8" w:color="auto"/>
            </w:tcBorders>
          </w:tcPr>
          <w:p>
            <w:pPr>
              <w:ind w:left="220"/>
              <w:spacing w:after="0"/>
              <w:rPr>
                <w:sz w:val="20"/>
                <w:szCs w:val="20"/>
                <w:color w:val="auto"/>
              </w:rPr>
            </w:pPr>
            <w:r>
              <w:rPr>
                <w:rFonts w:ascii="Arial" w:cs="Arial" w:eastAsia="Arial" w:hAnsi="Arial"/>
                <w:sz w:val="18"/>
                <w:szCs w:val="18"/>
                <w:i w:val="1"/>
                <w:iCs w:val="1"/>
                <w:color w:val="auto"/>
              </w:rPr>
              <w:t>Hull No. 2130</w:t>
            </w:r>
          </w:p>
        </w:tc>
        <w:tc>
          <w:tcPr>
            <w:tcW w:w="26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Q1 2018</w:t>
            </w:r>
          </w:p>
        </w:tc>
        <w:tc>
          <w:tcPr>
            <w:tcW w:w="26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Shell</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2027</w:t>
            </w:r>
          </w:p>
        </w:tc>
      </w:tr>
      <w:tr>
        <w:trPr>
          <w:trHeight w:val="231"/>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2</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2800</w:t>
            </w:r>
          </w:p>
        </w:tc>
        <w:tc>
          <w:tcPr>
            <w:tcW w:w="2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Q1 2018</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2028</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3</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2801</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Q1 2018</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2025</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4</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2131</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Q1 2019</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2029</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5</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2212</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Q2 2019</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180,000</w:t>
            </w:r>
          </w:p>
        </w:tc>
        <w:tc>
          <w:tcPr>
            <w:tcW w:w="2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Centrica</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2026</w:t>
            </w: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8" w:name="page9"/>
    <w:bookmarkEnd w:id="8"/>
    <w:p>
      <w:pPr>
        <w:ind w:left="260" w:hanging="197"/>
        <w:spacing w:after="0"/>
        <w:tabs>
          <w:tab w:leader="none" w:pos="260" w:val="left"/>
        </w:tabs>
        <w:numPr>
          <w:ilvl w:val="0"/>
          <w:numId w:val="4"/>
        </w:numPr>
        <w:rPr>
          <w:rFonts w:ascii="Arial" w:cs="Arial" w:eastAsia="Arial" w:hAnsi="Arial"/>
          <w:sz w:val="9"/>
          <w:szCs w:val="9"/>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693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693535"/>
                    </a:xfrm>
                    <a:prstGeom prst="rect">
                      <a:avLst/>
                    </a:prstGeom>
                    <a:noFill/>
                  </pic:spPr>
                </pic:pic>
              </a:graphicData>
            </a:graphic>
          </wp:anchor>
        </w:drawing>
        <w:t>Expected delivery quarters are presented.</w:t>
      </w:r>
    </w:p>
    <w:p>
      <w:pPr>
        <w:spacing w:after="0" w:line="86" w:lineRule="exact"/>
        <w:rPr>
          <w:rFonts w:ascii="Arial" w:cs="Arial" w:eastAsia="Arial" w:hAnsi="Arial"/>
          <w:sz w:val="9"/>
          <w:szCs w:val="9"/>
          <w:color w:val="auto"/>
        </w:rPr>
      </w:pPr>
    </w:p>
    <w:p>
      <w:pPr>
        <w:ind w:left="260" w:hanging="197"/>
        <w:spacing w:after="0"/>
        <w:tabs>
          <w:tab w:leader="none" w:pos="260" w:val="left"/>
        </w:tabs>
        <w:numPr>
          <w:ilvl w:val="0"/>
          <w:numId w:val="4"/>
        </w:numPr>
        <w:rPr>
          <w:rFonts w:ascii="Arial" w:cs="Arial" w:eastAsia="Arial" w:hAnsi="Arial"/>
          <w:sz w:val="9"/>
          <w:szCs w:val="9"/>
          <w:color w:val="auto"/>
        </w:rPr>
      </w:pPr>
      <w:r>
        <w:rPr>
          <w:rFonts w:ascii="Arial" w:cs="Arial" w:eastAsia="Arial" w:hAnsi="Arial"/>
          <w:sz w:val="16"/>
          <w:szCs w:val="16"/>
          <w:color w:val="auto"/>
        </w:rPr>
        <w:t>References to “LP-2S” refer to low pressure dual-fuel two-stroke engine propulsion.</w:t>
      </w:r>
    </w:p>
    <w:p>
      <w:pPr>
        <w:spacing w:after="0" w:line="86" w:lineRule="exact"/>
        <w:rPr>
          <w:rFonts w:ascii="Arial" w:cs="Arial" w:eastAsia="Arial" w:hAnsi="Arial"/>
          <w:sz w:val="9"/>
          <w:szCs w:val="9"/>
          <w:color w:val="auto"/>
        </w:rPr>
      </w:pPr>
    </w:p>
    <w:p>
      <w:pPr>
        <w:ind w:left="260" w:hanging="197"/>
        <w:spacing w:after="0"/>
        <w:tabs>
          <w:tab w:leader="none" w:pos="260" w:val="left"/>
        </w:tabs>
        <w:numPr>
          <w:ilvl w:val="0"/>
          <w:numId w:val="4"/>
        </w:numPr>
        <w:rPr>
          <w:rFonts w:ascii="Arial" w:cs="Arial" w:eastAsia="Arial" w:hAnsi="Arial"/>
          <w:sz w:val="9"/>
          <w:szCs w:val="9"/>
          <w:color w:val="auto"/>
        </w:rPr>
      </w:pPr>
      <w:r>
        <w:rPr>
          <w:rFonts w:ascii="Arial" w:cs="Arial" w:eastAsia="Arial" w:hAnsi="Arial"/>
          <w:sz w:val="16"/>
          <w:szCs w:val="16"/>
          <w:color w:val="auto"/>
        </w:rPr>
        <w:t>Charter expiration to be determined based upon actual date of delivery.</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Rights of First Offer</w:t>
      </w:r>
    </w:p>
    <w:p>
      <w:pPr>
        <w:spacing w:after="0" w:line="119"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prospectus supplement.</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Vessel Acquisition Considerations</w:t>
      </w:r>
    </w:p>
    <w:p>
      <w:pPr>
        <w:spacing w:after="0" w:line="119"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the date of this prospectus supplement,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Our Relationship with GasLog Ltd.</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We believe that one of our principal strengths is our relationship with GasLog. We believe our relationship with GasLog gives us access to GasLog’s relationships with leading energy companies, shipbuilders, financing sources and suppliers and to its technical, commercial and managerial expertise, which we believe will allow us to compete more effectively when seeking additional customers. As of May 16, 2017, GasLog’s wholly owned fleet includes 17 LNG carriers (including 12 ships in operation and five LNG carriers on order) and GasLog has two LNG carriers operating under its technical management for third parties (one of which is due to be returned to the management of its owner within the next three months), and a vessel secured under a long-term bareboat charter from Lepta Shipping, a subsidiary of Mitsui. In addition, GasLog holds a 27.57% interest (including the 2% interest through general partner units) in the Partnership. GasLog was incorporated in 2003 and is effectively controlled by its chairman, Peter G. Livanos, who beneficially owns approximately 40.16% of GasLog’s common shares. Mr. Livanos’s family’s shipping activities commenced more than 100 years ago. Since its initial public offering in April 2012, GasLog has increased by approximately 80% the total carrying capacity of vessels in its fleet, which includes vessels on the water and newbuildings on order. In addition, GasLog, through its wholly owned subsidiary GasLog LNG Services, provides ship management services to the LNG carriers in our fleet and, subject to any alternative arrangements with the applicable charterer, additional ships we may acquire from GasLog. GasLog also provides certain administrative and commercial management services to the Partnership. There are also risks associated with GasLog that may affect us. See “Item 3. Key Information—D. Risk Factors—Risks Inherent in Our Business” of our Annual Report on Form 20-F.</w:t>
      </w:r>
    </w:p>
    <w:p>
      <w:pPr>
        <w:spacing w:after="0" w:line="72"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As of May 16, 2017, GasLog will own our 2.0% general partner interest, all of our incentive distribution rights and 9,984,716 common units. Our general partner, by virtue of its general partner interest, controls the appointment of four of our seven directors (subject to its right to transfer the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754" w:right="479" w:bottom="1440" w:gutter="0" w:footer="0" w:header="0"/>
        </w:sectPr>
      </w:pPr>
    </w:p>
    <w:bookmarkStart w:id="9" w:name="page10"/>
    <w:bookmarkEnd w:id="9"/>
    <w:p>
      <w:pPr>
        <w:ind w:right="60"/>
        <w:spacing w:after="0" w:line="34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3648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648710"/>
                    </a:xfrm>
                    <a:prstGeom prst="rect">
                      <a:avLst/>
                    </a:prstGeom>
                    <a:noFill/>
                  </pic:spPr>
                </pic:pic>
              </a:graphicData>
            </a:graphic>
          </wp:anchor>
        </w:drawing>
        <w:t>power to elect one director to the common unitholders so that they will thereafter elect a majority of our directors). GasLog intends to utilize us as its primary growth vehicle to pursue the acquisition of LNG carriers that are expected to generate long-term, stable cash flows.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Corporate Information</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Our principal executive offices are located at Gildo Pastor Center, 7 Rue du Gabian, MC 98000, Monaco, and our phone number is + 377 97 97 51 15. We make our periodic reports and other information filed with or furnished to the SEC available free of charge through our website at www.gaslogmlp.com as soon as reasonably practicable after those reports and other information are electronically filed with or furnished to the SEC. See “Where You Can Find More Information” for an explanation of our reporting requirements as a foreign private issuer.</w:t>
      </w:r>
    </w:p>
    <w:p>
      <w:pPr>
        <w:spacing w:after="0" w:line="287"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auto"/>
        </w:rPr>
        <w:t>Organizational and Ownership Structure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and diagram depict our simplified organizational and ownership structure as of May 16, 2017:</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6"/>
                <w:szCs w:val="16"/>
                <w:color w:val="auto"/>
              </w:rPr>
            </w:pPr>
          </w:p>
        </w:tc>
        <w:tc>
          <w:tcPr>
            <w:tcW w:w="920" w:type="dxa"/>
            <w:vAlign w:val="bottom"/>
          </w:tcPr>
          <w:p>
            <w:pPr>
              <w:jc w:val="right"/>
              <w:ind w:right="15"/>
              <w:spacing w:after="0"/>
              <w:rPr>
                <w:sz w:val="20"/>
                <w:szCs w:val="20"/>
                <w:color w:val="auto"/>
              </w:rPr>
            </w:pPr>
            <w:r>
              <w:rPr>
                <w:rFonts w:ascii="Arial" w:cs="Arial" w:eastAsia="Arial" w:hAnsi="Arial"/>
                <w:sz w:val="16"/>
                <w:szCs w:val="16"/>
                <w:b w:val="1"/>
                <w:bCs w:val="1"/>
                <w:color w:val="auto"/>
                <w:w w:val="92"/>
              </w:rPr>
              <w:t>Percentage</w:t>
            </w:r>
          </w:p>
        </w:tc>
      </w:tr>
      <w:tr>
        <w:trPr>
          <w:trHeight w:val="199"/>
        </w:trPr>
        <w:tc>
          <w:tcPr>
            <w:tcW w:w="8660" w:type="dxa"/>
            <w:vAlign w:val="bottom"/>
          </w:tcPr>
          <w:p>
            <w:pPr>
              <w:spacing w:after="0"/>
              <w:rPr>
                <w:sz w:val="17"/>
                <w:szCs w:val="17"/>
                <w:color w:val="auto"/>
              </w:rPr>
            </w:pPr>
          </w:p>
        </w:tc>
        <w:tc>
          <w:tcPr>
            <w:tcW w:w="1100" w:type="dxa"/>
            <w:vAlign w:val="bottom"/>
            <w:tcBorders>
              <w:bottom w:val="single" w:sz="8" w:color="auto"/>
            </w:tcBorders>
          </w:tcPr>
          <w:p>
            <w:pPr>
              <w:jc w:val="right"/>
              <w:ind w:right="229"/>
              <w:spacing w:after="0"/>
              <w:rPr>
                <w:sz w:val="20"/>
                <w:szCs w:val="20"/>
                <w:color w:val="auto"/>
              </w:rPr>
            </w:pPr>
            <w:r>
              <w:rPr>
                <w:rFonts w:ascii="Arial" w:cs="Arial" w:eastAsia="Arial" w:hAnsi="Arial"/>
                <w:sz w:val="16"/>
                <w:szCs w:val="16"/>
                <w:b w:val="1"/>
                <w:bCs w:val="1"/>
                <w:color w:val="auto"/>
              </w:rPr>
              <w:t>Units</w:t>
            </w:r>
            <w:r>
              <w:rPr>
                <w:rFonts w:ascii="Arial" w:cs="Arial" w:eastAsia="Arial" w:hAnsi="Arial"/>
                <w:sz w:val="8"/>
                <w:szCs w:val="8"/>
                <w:b w:val="1"/>
                <w:bCs w:val="1"/>
                <w:color w:val="auto"/>
              </w:rPr>
              <w:t>(1)</w:t>
            </w:r>
          </w:p>
        </w:tc>
        <w:tc>
          <w:tcPr>
            <w:tcW w:w="280" w:type="dxa"/>
            <w:vAlign w:val="bottom"/>
          </w:tcPr>
          <w:p>
            <w:pPr>
              <w:spacing w:after="0"/>
              <w:rPr>
                <w:sz w:val="17"/>
                <w:szCs w:val="17"/>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6"/>
              </w:rPr>
              <w:t>Ownership</w:t>
            </w:r>
          </w:p>
        </w:tc>
      </w:tr>
      <w:tr>
        <w:trPr>
          <w:trHeight w:val="237"/>
        </w:trPr>
        <w:tc>
          <w:tcPr>
            <w:tcW w:w="8660" w:type="dxa"/>
            <w:vAlign w:val="bottom"/>
            <w:shd w:val="clear" w:color="auto" w:fill="E5FFFF"/>
          </w:tcPr>
          <w:p>
            <w:pPr>
              <w:spacing w:after="0"/>
              <w:rPr>
                <w:sz w:val="20"/>
                <w:szCs w:val="20"/>
                <w:color w:val="auto"/>
              </w:rPr>
            </w:pPr>
            <w:r>
              <w:rPr>
                <w:rFonts w:ascii="Arial" w:cs="Arial" w:eastAsia="Arial" w:hAnsi="Arial"/>
                <w:sz w:val="19"/>
                <w:szCs w:val="19"/>
                <w:color w:val="auto"/>
              </w:rPr>
              <w:t>Public Common Units</w:t>
            </w:r>
          </w:p>
        </w:tc>
        <w:tc>
          <w:tcPr>
            <w:tcW w:w="11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28,280,000</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72.43%</w:t>
            </w:r>
          </w:p>
        </w:tc>
      </w:tr>
      <w:tr>
        <w:trPr>
          <w:trHeight w:val="243"/>
        </w:trPr>
        <w:tc>
          <w:tcPr>
            <w:tcW w:w="8660" w:type="dxa"/>
            <w:vAlign w:val="bottom"/>
          </w:tcPr>
          <w:p>
            <w:pPr>
              <w:spacing w:after="0"/>
              <w:rPr>
                <w:sz w:val="20"/>
                <w:szCs w:val="20"/>
                <w:color w:val="auto"/>
              </w:rPr>
            </w:pPr>
            <w:r>
              <w:rPr>
                <w:rFonts w:ascii="Arial" w:cs="Arial" w:eastAsia="Arial" w:hAnsi="Arial"/>
                <w:sz w:val="19"/>
                <w:szCs w:val="19"/>
                <w:color w:val="auto"/>
              </w:rPr>
              <w:t>Common Units held by GasLog Ltd.</w:t>
            </w:r>
          </w:p>
        </w:tc>
        <w:tc>
          <w:tcPr>
            <w:tcW w:w="1100" w:type="dxa"/>
            <w:vAlign w:val="bottom"/>
          </w:tcPr>
          <w:p>
            <w:pPr>
              <w:jc w:val="right"/>
              <w:spacing w:after="0"/>
              <w:rPr>
                <w:sz w:val="20"/>
                <w:szCs w:val="20"/>
                <w:color w:val="auto"/>
              </w:rPr>
            </w:pPr>
            <w:r>
              <w:rPr>
                <w:rFonts w:ascii="Arial" w:cs="Arial" w:eastAsia="Arial" w:hAnsi="Arial"/>
                <w:sz w:val="19"/>
                <w:szCs w:val="19"/>
                <w:color w:val="auto"/>
              </w:rPr>
              <w:t>9,984,716</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25.57%</w:t>
            </w:r>
          </w:p>
        </w:tc>
      </w:tr>
      <w:tr>
        <w:trPr>
          <w:trHeight w:val="243"/>
        </w:trPr>
        <w:tc>
          <w:tcPr>
            <w:tcW w:w="8660" w:type="dxa"/>
            <w:vAlign w:val="bottom"/>
            <w:shd w:val="clear" w:color="auto" w:fill="E5FFFF"/>
          </w:tcPr>
          <w:p>
            <w:pPr>
              <w:spacing w:after="0"/>
              <w:rPr>
                <w:sz w:val="20"/>
                <w:szCs w:val="20"/>
                <w:color w:val="auto"/>
              </w:rPr>
            </w:pPr>
            <w:r>
              <w:rPr>
                <w:rFonts w:ascii="Arial" w:cs="Arial" w:eastAsia="Arial" w:hAnsi="Arial"/>
                <w:sz w:val="19"/>
                <w:szCs w:val="19"/>
                <w:color w:val="auto"/>
              </w:rPr>
              <w:t>General Partner Units</w:t>
            </w: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780,913</w:t>
            </w:r>
          </w:p>
        </w:tc>
        <w:tc>
          <w:tcPr>
            <w:tcW w:w="28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2.00%</w:t>
            </w:r>
          </w:p>
        </w:tc>
      </w:tr>
      <w:tr>
        <w:trPr>
          <w:trHeight w:val="250"/>
        </w:trPr>
        <w:tc>
          <w:tcPr>
            <w:tcW w:w="8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39,045,629</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100.00%</w:t>
            </w:r>
          </w:p>
        </w:tc>
      </w:tr>
      <w:tr>
        <w:trPr>
          <w:trHeight w:val="20"/>
        </w:trPr>
        <w:tc>
          <w:tcPr>
            <w:tcW w:w="8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260" w:right="440" w:hanging="197"/>
        <w:spacing w:after="0" w:line="364" w:lineRule="auto"/>
        <w:tabs>
          <w:tab w:leader="none" w:pos="260" w:val="left"/>
        </w:tabs>
        <w:numPr>
          <w:ilvl w:val="0"/>
          <w:numId w:val="5"/>
        </w:numPr>
        <w:rPr>
          <w:rFonts w:ascii="Arial" w:cs="Arial" w:eastAsia="Arial" w:hAnsi="Arial"/>
          <w:sz w:val="8"/>
          <w:szCs w:val="8"/>
          <w:color w:val="auto"/>
        </w:rPr>
      </w:pPr>
      <w:r>
        <w:rPr>
          <w:rFonts w:ascii="Arial" w:cs="Arial" w:eastAsia="Arial" w:hAnsi="Arial"/>
          <w:sz w:val="13"/>
          <w:szCs w:val="13"/>
          <w:color w:val="auto"/>
        </w:rPr>
        <w:t>The above table does not include 5,750,000 Series A Preference Units which were issued on May 15, 2017. The preference units will not impact the other classes’ percentage ownership, as the Series A Preference Units are not included in the calculation of “Percentage Interest” as defined in our Partnership Agreement.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599" w:right="4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3888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8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172720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615"/>
        </w:trPr>
        <w:tc>
          <w:tcPr>
            <w:tcW w:w="4200" w:type="dxa"/>
            <w:vAlign w:val="bottom"/>
            <w:tcBorders>
              <w:top w:val="single" w:sz="8" w:color="auto"/>
              <w:left w:val="single" w:sz="8" w:color="auto"/>
            </w:tcBorders>
          </w:tcPr>
          <w:p>
            <w:pPr>
              <w:spacing w:after="0"/>
              <w:rPr>
                <w:sz w:val="24"/>
                <w:szCs w:val="24"/>
                <w:color w:val="auto"/>
              </w:rPr>
            </w:pPr>
          </w:p>
        </w:tc>
        <w:tc>
          <w:tcPr>
            <w:tcW w:w="722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9"/>
                <w:szCs w:val="19"/>
                <w:b w:val="1"/>
                <w:bCs w:val="1"/>
                <w:color w:val="auto"/>
              </w:rPr>
              <w:t>The Offering</w:t>
            </w:r>
          </w:p>
        </w:tc>
      </w:tr>
      <w:tr>
        <w:trPr>
          <w:trHeight w:val="253"/>
        </w:trPr>
        <w:tc>
          <w:tcPr>
            <w:tcW w:w="420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Issuer</w:t>
            </w: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GasLog Partners LP.</w:t>
            </w:r>
          </w:p>
        </w:tc>
      </w:tr>
      <w:tr>
        <w:trPr>
          <w:trHeight w:val="243"/>
        </w:trPr>
        <w:tc>
          <w:tcPr>
            <w:tcW w:w="420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Common units offered by us</w:t>
            </w: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Common units having an aggregate offering price of up to $100 million.</w:t>
            </w:r>
          </w:p>
        </w:tc>
      </w:tr>
      <w:tr>
        <w:trPr>
          <w:trHeight w:val="230"/>
        </w:trPr>
        <w:tc>
          <w:tcPr>
            <w:tcW w:w="420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Manner of offering</w:t>
            </w: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“At-the-market offering” that may be made from time to time through the</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sales agents. Please read “Plan of Distribution”.</w:t>
            </w:r>
          </w:p>
        </w:tc>
      </w:tr>
      <w:tr>
        <w:trPr>
          <w:trHeight w:val="230"/>
        </w:trPr>
        <w:tc>
          <w:tcPr>
            <w:tcW w:w="420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Use of proceeds</w:t>
            </w: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9"/>
              </w:rPr>
              <w:t>We will use the net proceeds from the sale of the securities covered by this</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prospectus for general partnership purposes, which may include future</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8"/>
              </w:rPr>
              <w:t>acquisitions, debt repayment, capital expenditures and additions to working</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capital. We currently expect that this will include future acquisitions from</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GasLog. Please read “Use of Proceeds.”</w:t>
            </w:r>
          </w:p>
        </w:tc>
      </w:tr>
      <w:tr>
        <w:trPr>
          <w:trHeight w:val="230"/>
        </w:trPr>
        <w:tc>
          <w:tcPr>
            <w:tcW w:w="420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U.S. federal income tax considerations</w:t>
            </w: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5"/>
              </w:rPr>
              <w:t>Although we are organized as a partnership, we have elected to be treated as</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8"/>
              </w:rPr>
              <w:t>a corporation solely for U.S. federal income tax purposes. Consequently, all</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8"/>
              </w:rPr>
              <w:t>or a portion of the distributions you receive from us will constitute dividends</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7"/>
              </w:rPr>
              <w:t>for such purposes. The remaining portion of such distributions will be treated</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9"/>
              </w:rPr>
              <w:t>first as a non-taxable return of capital to the extent of your tax basis in your</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5"/>
              </w:rPr>
              <w:t>common units and, thereafter, as capital gain. Please see “Risk Factors—Tax</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Risks” in our Annual Report on Form 20-F, as filed with the SEC on</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8"/>
              </w:rPr>
              <w:t>February 13, 2017 and incorporated by reference into this prospectus, for a</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discussion relating to the taxation of dividends. For a discussion of other</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material U.S. federal income tax consequences that may be relevant to</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7"/>
              </w:rPr>
              <w:t>prospective unitholders who are individual citizens or residents of the United</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States, see “Material U.S. Federal Income Tax Considerations”.</w:t>
            </w:r>
          </w:p>
        </w:tc>
      </w:tr>
      <w:tr>
        <w:trPr>
          <w:trHeight w:val="230"/>
        </w:trPr>
        <w:tc>
          <w:tcPr>
            <w:tcW w:w="420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Non-U.S. tax considerations</w:t>
            </w: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We have been organized under the laws of the Republic of the Marshall</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7"/>
              </w:rPr>
              <w:t>Islands. As of May 16, 2017, we have eleven subsidiaries, one formed in the</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9"/>
              </w:rPr>
              <w:t>Marshall Islands and ten incorporated in Bermuda. Of our subsidiaries, ten</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own vessels in our fleet. GasLog Partners, GasLog LNG Services and our</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general partner are expected to be treated as managed and controlled in</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Monaco. For a discussion of material Marshall Islands income tax</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considerations that may be relevant to prospective unitholders and for a</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9"/>
              </w:rPr>
              <w:t>discussion of the risk that unitholders may assume and for the activities we</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undertake in various jurisdictions for taxation purposes, see “Non-United</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w w:val="98"/>
              </w:rPr>
              <w:t>States Tax Considerations” and “Risk Factors—Tax Risks” starting on page</w:t>
            </w:r>
          </w:p>
        </w:tc>
      </w:tr>
      <w:tr>
        <w:trPr>
          <w:trHeight w:val="230"/>
        </w:trPr>
        <w:tc>
          <w:tcPr>
            <w:tcW w:w="4200" w:type="dxa"/>
            <w:vAlign w:val="bottom"/>
            <w:tcBorders>
              <w:left w:val="single" w:sz="8" w:color="auto"/>
            </w:tcBorders>
          </w:tcPr>
          <w:p>
            <w:pPr>
              <w:spacing w:after="0"/>
              <w:rPr>
                <w:sz w:val="19"/>
                <w:szCs w:val="19"/>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42 of our Annual Report on Form 20-F.</w:t>
            </w:r>
          </w:p>
        </w:tc>
      </w:tr>
      <w:tr>
        <w:trPr>
          <w:trHeight w:val="230"/>
        </w:trPr>
        <w:tc>
          <w:tcPr>
            <w:tcW w:w="420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Exchange listing</w:t>
            </w: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Our common units are listed on the New York Stock Exchange under the</w:t>
            </w:r>
          </w:p>
        </w:tc>
      </w:tr>
      <w:tr>
        <w:trPr>
          <w:trHeight w:val="247"/>
        </w:trPr>
        <w:tc>
          <w:tcPr>
            <w:tcW w:w="4200" w:type="dxa"/>
            <w:vAlign w:val="bottom"/>
            <w:tcBorders>
              <w:left w:val="single" w:sz="8" w:color="auto"/>
            </w:tcBorders>
          </w:tcPr>
          <w:p>
            <w:pPr>
              <w:spacing w:after="0"/>
              <w:rPr>
                <w:sz w:val="21"/>
                <w:szCs w:val="21"/>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9"/>
                <w:szCs w:val="19"/>
                <w:color w:val="auto"/>
              </w:rPr>
              <w:t>symbol “GLOP”.</w:t>
            </w:r>
          </w:p>
        </w:tc>
      </w:tr>
      <w:tr>
        <w:trPr>
          <w:trHeight w:val="195"/>
        </w:trPr>
        <w:tc>
          <w:tcPr>
            <w:tcW w:w="4200" w:type="dxa"/>
            <w:vAlign w:val="bottom"/>
            <w:tcBorders>
              <w:left w:val="single" w:sz="8" w:color="auto"/>
              <w:bottom w:val="single" w:sz="8" w:color="auto"/>
            </w:tcBorders>
          </w:tcPr>
          <w:p>
            <w:pPr>
              <w:spacing w:after="0"/>
              <w:rPr>
                <w:sz w:val="16"/>
                <w:szCs w:val="16"/>
                <w:color w:val="auto"/>
              </w:rPr>
            </w:pPr>
          </w:p>
        </w:tc>
        <w:tc>
          <w:tcPr>
            <w:tcW w:w="7220" w:type="dxa"/>
            <w:vAlign w:val="bottom"/>
            <w:tcBorders>
              <w:bottom w:val="single" w:sz="8" w:color="auto"/>
              <w:right w:val="single" w:sz="8" w:color="auto"/>
            </w:tcBorders>
          </w:tcPr>
          <w:p>
            <w:pPr>
              <w:spacing w:after="0"/>
              <w:rPr>
                <w:sz w:val="16"/>
                <w:szCs w:val="16"/>
                <w:color w:val="auto"/>
              </w:rPr>
            </w:pPr>
          </w:p>
        </w:tc>
      </w:tr>
      <w:tr>
        <w:trPr>
          <w:trHeight w:val="338"/>
        </w:trPr>
        <w:tc>
          <w:tcPr>
            <w:tcW w:w="4200" w:type="dxa"/>
            <w:vAlign w:val="bottom"/>
          </w:tcPr>
          <w:p>
            <w:pPr>
              <w:spacing w:after="0"/>
              <w:rPr>
                <w:sz w:val="24"/>
                <w:szCs w:val="24"/>
                <w:color w:val="auto"/>
              </w:rPr>
            </w:pPr>
          </w:p>
        </w:tc>
        <w:tc>
          <w:tcPr>
            <w:tcW w:w="7220" w:type="dxa"/>
            <w:vAlign w:val="bottom"/>
          </w:tcPr>
          <w:p>
            <w:pPr>
              <w:ind w:left="1380"/>
              <w:spacing w:after="0"/>
              <w:rPr>
                <w:sz w:val="20"/>
                <w:szCs w:val="20"/>
                <w:color w:val="auto"/>
              </w:rPr>
            </w:pPr>
            <w:r>
              <w:rPr>
                <w:rFonts w:ascii="Arial" w:cs="Arial" w:eastAsia="Arial" w:hAnsi="Arial"/>
                <w:sz w:val="19"/>
                <w:szCs w:val="19"/>
                <w:color w:val="auto"/>
              </w:rPr>
              <w:t>S-8</w:t>
            </w:r>
          </w:p>
        </w:tc>
      </w:tr>
      <w:tr>
        <w:trPr>
          <w:trHeight w:val="222"/>
        </w:trPr>
        <w:tc>
          <w:tcPr>
            <w:tcW w:w="4200" w:type="dxa"/>
            <w:vAlign w:val="bottom"/>
            <w:tcBorders>
              <w:bottom w:val="single" w:sz="8" w:color="auto"/>
            </w:tcBorders>
          </w:tcPr>
          <w:p>
            <w:pPr>
              <w:spacing w:after="0"/>
              <w:rPr>
                <w:sz w:val="19"/>
                <w:szCs w:val="19"/>
                <w:color w:val="auto"/>
              </w:rPr>
            </w:pPr>
          </w:p>
        </w:tc>
        <w:tc>
          <w:tcPr>
            <w:tcW w:w="72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861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861685"/>
                    </a:xfrm>
                    <a:prstGeom prst="rect">
                      <a:avLst/>
                    </a:prstGeom>
                    <a:noFill/>
                  </pic:spPr>
                </pic:pic>
              </a:graphicData>
            </a:graphic>
          </wp:anchor>
        </w:drawing>
        <w:t>Summary Financial and Operating Data</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Financial Data</w:t>
      </w:r>
    </w:p>
    <w:p>
      <w:pPr>
        <w:spacing w:after="0" w:line="125" w:lineRule="exact"/>
        <w:rPr>
          <w:sz w:val="20"/>
          <w:szCs w:val="20"/>
          <w:color w:val="auto"/>
        </w:rPr>
      </w:pPr>
    </w:p>
    <w:p>
      <w:pPr>
        <w:ind w:right="80" w:firstLine="357"/>
        <w:spacing w:after="0" w:line="256" w:lineRule="auto"/>
        <w:rPr>
          <w:sz w:val="20"/>
          <w:szCs w:val="20"/>
          <w:color w:val="auto"/>
        </w:rPr>
      </w:pPr>
      <w:r>
        <w:rPr>
          <w:rFonts w:ascii="Arial" w:cs="Arial" w:eastAsia="Arial" w:hAnsi="Arial"/>
          <w:sz w:val="19"/>
          <w:szCs w:val="19"/>
          <w:color w:val="auto"/>
        </w:rPr>
        <w:t>This information should be read together with, and is qualified in its entirety by, our consolidated financial statements and the notes thereto included in “Item 18. Financial Statements” of our Annual Report on Form 20-F, as filed with the SEC on February 13, 2017 and incorporated by reference into this prospectus and the interim unaudited condensed consolidated financial statements of GasLog Partners included in Exhibit 99.2 of the Report on Form 6-K as furnished to the SEC on April 27, 2017 and incorporated by reference into this prospectus. You should also read “Item 5. Operating and Financial Review and Prospects” of our Annual Report on Form 20-F, as filed with the SEC on February 13, 2017 and incorporated by reference into this prospectus and “Management’s Discussion and Analysis of Financial Condition and Results of Operation” in Exhibit 99.2 of the Report on Form 6-K as furnished to the SEC on April 27, 2017 and incorporated by reference into this prospectus.</w:t>
      </w:r>
    </w:p>
    <w:p>
      <w:pPr>
        <w:spacing w:after="0" w:line="80"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Certain numerical figures included in the below tables have been rounded. Discrepancies in tables between totals and the sums of the amounts listed may occur due to such rounding.</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IFRS Common Control Reported Results</w:t>
      </w:r>
    </w:p>
    <w:p>
      <w:pPr>
        <w:spacing w:after="0" w:line="125" w:lineRule="exact"/>
        <w:rPr>
          <w:sz w:val="20"/>
          <w:szCs w:val="20"/>
          <w:color w:val="auto"/>
        </w:rPr>
      </w:pPr>
    </w:p>
    <w:p>
      <w:pPr>
        <w:ind w:right="20" w:firstLine="357"/>
        <w:spacing w:after="0" w:line="288" w:lineRule="auto"/>
        <w:rPr>
          <w:sz w:val="20"/>
          <w:szCs w:val="20"/>
          <w:color w:val="auto"/>
        </w:rPr>
      </w:pPr>
      <w:r>
        <w:rPr>
          <w:rFonts w:ascii="Arial" w:cs="Arial" w:eastAsia="Arial" w:hAnsi="Arial"/>
          <w:sz w:val="17"/>
          <w:szCs w:val="17"/>
          <w:color w:val="auto"/>
        </w:rPr>
        <w:t>The following table presents, in each case for the periods and as of the dates indicated, summary historical financial and operating data. The summary historical financial data as of December 31, 2015 and 2016 and for each of the years in the three year period ended December 31, 2016 has been derived from our audited consolidated financial statements of GasLog Partners LP included in “Item 18. Financial Statements” of our Annual Report on Form 20-F filed with the SEC on February 13, 2017 and incorporated by reference into this prospectus. The historical financial data as of December 31, 2014 is derived from our audited consolidated financial statements after retroactive restatement for the transfer of vessels from GasLog to the Partnership, which are not incorporated by reference in this prospectus. The summary historical financial data as of March 31, 2017 and for the three-month periods ended March 31, 2016 and 2017 has been derived from the interim unaudited condensed consolidated financial statements of GasLog Partners LP included in Exhibit 99.2 of our Report on Form 6-K furnished to the SEC on April 27, 2017 and incorporated by reference into this prospectus. The annual financial statements have been prepared in accordance with IFRS, as issued by the International Accounting Standards Board, or the “IASB”. The interim financial statements have been prepared in accordance with International Accounting Standard 34 Interim Financial Reporting as issued by the IASB.</w:t>
      </w:r>
    </w:p>
    <w:p>
      <w:pPr>
        <w:spacing w:after="0" w:line="53"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transfer of the three initial vessels from GasLog to the Partnership at the time of the IPO, the transfer of two vessels from GasLog to the Partnership in September 2014, the transfer of three vessels from GasLog to the Partnership in July 2015 and the transfer of one vessel from GasLog to the Partnership in November 2016 were each accounted for as a reorganization of entities under common control under IFRS and prior periods were retroactively restated.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435"/>
        </w:trPr>
        <w:tc>
          <w:tcPr>
            <w:tcW w:w="240" w:type="dxa"/>
            <w:vAlign w:val="bottom"/>
            <w:tcBorders>
              <w:top w:val="single" w:sz="8" w:color="auto"/>
              <w:left w:val="single" w:sz="8" w:color="auto"/>
            </w:tcBorders>
          </w:tcPr>
          <w:p>
            <w:pPr>
              <w:spacing w:after="0"/>
              <w:rPr>
                <w:sz w:val="24"/>
                <w:szCs w:val="24"/>
                <w:color w:val="auto"/>
              </w:rPr>
            </w:pPr>
          </w:p>
        </w:tc>
        <w:tc>
          <w:tcPr>
            <w:tcW w:w="46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gridSpan w:val="7"/>
          </w:tcPr>
          <w:p>
            <w:pPr>
              <w:jc w:val="center"/>
              <w:ind w:right="140"/>
              <w:spacing w:after="0"/>
              <w:rPr>
                <w:sz w:val="20"/>
                <w:szCs w:val="20"/>
                <w:color w:val="auto"/>
              </w:rPr>
            </w:pPr>
            <w:r>
              <w:rPr>
                <w:rFonts w:ascii="Arial" w:cs="Arial" w:eastAsia="Arial" w:hAnsi="Arial"/>
                <w:sz w:val="16"/>
                <w:szCs w:val="16"/>
                <w:b w:val="1"/>
                <w:bCs w:val="1"/>
                <w:color w:val="auto"/>
                <w:w w:val="93"/>
              </w:rPr>
              <w:t>Historical</w:t>
            </w:r>
          </w:p>
        </w:tc>
        <w:tc>
          <w:tcPr>
            <w:tcW w:w="2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r>
      <w:tr>
        <w:trPr>
          <w:trHeight w:val="145"/>
        </w:trPr>
        <w:tc>
          <w:tcPr>
            <w:tcW w:w="240" w:type="dxa"/>
            <w:vAlign w:val="bottom"/>
            <w:tcBorders>
              <w:left w:val="single" w:sz="8" w:color="auto"/>
            </w:tcBorders>
          </w:tcPr>
          <w:p>
            <w:pPr>
              <w:spacing w:after="0"/>
              <w:rPr>
                <w:sz w:val="12"/>
                <w:szCs w:val="12"/>
                <w:color w:val="auto"/>
              </w:rPr>
            </w:pPr>
          </w:p>
        </w:tc>
        <w:tc>
          <w:tcPr>
            <w:tcW w:w="4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9"/>
          </w:tcPr>
          <w:p>
            <w:pPr>
              <w:jc w:val="center"/>
              <w:ind w:right="152"/>
              <w:spacing w:after="0" w:line="145" w:lineRule="exact"/>
              <w:rPr>
                <w:sz w:val="20"/>
                <w:szCs w:val="20"/>
                <w:color w:val="auto"/>
              </w:rPr>
            </w:pPr>
            <w:r>
              <w:rPr>
                <w:rFonts w:ascii="Arial" w:cs="Arial" w:eastAsia="Arial" w:hAnsi="Arial"/>
                <w:sz w:val="16"/>
                <w:szCs w:val="16"/>
                <w:b w:val="1"/>
                <w:bCs w:val="1"/>
                <w:color w:val="auto"/>
                <w:w w:val="91"/>
              </w:rPr>
              <w:t>Three Months</w:t>
            </w:r>
          </w:p>
        </w:tc>
        <w:tc>
          <w:tcPr>
            <w:tcW w:w="220" w:type="dxa"/>
            <w:vAlign w:val="bottom"/>
            <w:tcBorders>
              <w:right w:val="single" w:sz="8" w:color="auto"/>
            </w:tcBorders>
          </w:tcPr>
          <w:p>
            <w:pPr>
              <w:spacing w:after="0"/>
              <w:rPr>
                <w:sz w:val="12"/>
                <w:szCs w:val="12"/>
                <w:color w:val="auto"/>
              </w:rPr>
            </w:pPr>
          </w:p>
        </w:tc>
      </w:tr>
      <w:tr>
        <w:trPr>
          <w:trHeight w:val="176"/>
        </w:trPr>
        <w:tc>
          <w:tcPr>
            <w:tcW w:w="240" w:type="dxa"/>
            <w:vAlign w:val="bottom"/>
            <w:tcBorders>
              <w:left w:val="single" w:sz="8" w:color="auto"/>
            </w:tcBorders>
          </w:tcPr>
          <w:p>
            <w:pPr>
              <w:spacing w:after="0"/>
              <w:rPr>
                <w:sz w:val="15"/>
                <w:szCs w:val="15"/>
                <w:color w:val="auto"/>
              </w:rPr>
            </w:pPr>
          </w:p>
        </w:tc>
        <w:tc>
          <w:tcPr>
            <w:tcW w:w="4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gridSpan w:val="7"/>
          </w:tcPr>
          <w:p>
            <w:pPr>
              <w:jc w:val="center"/>
              <w:ind w:left="61"/>
              <w:spacing w:after="0" w:line="176" w:lineRule="exact"/>
              <w:rPr>
                <w:sz w:val="20"/>
                <w:szCs w:val="20"/>
                <w:color w:val="auto"/>
              </w:rPr>
            </w:pPr>
            <w:r>
              <w:rPr>
                <w:rFonts w:ascii="Arial" w:cs="Arial" w:eastAsia="Arial" w:hAnsi="Arial"/>
                <w:sz w:val="16"/>
                <w:szCs w:val="16"/>
                <w:b w:val="1"/>
                <w:bCs w:val="1"/>
                <w:color w:val="auto"/>
                <w:w w:val="89"/>
              </w:rPr>
              <w:t>Ended</w:t>
            </w:r>
          </w:p>
        </w:tc>
        <w:tc>
          <w:tcPr>
            <w:tcW w:w="7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r>
      <w:tr>
        <w:trPr>
          <w:trHeight w:val="199"/>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1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Borders>
              <w:right w:val="single" w:sz="8" w:color="auto"/>
            </w:tcBorders>
            <w:gridSpan w:val="9"/>
          </w:tcPr>
          <w:p>
            <w:pPr>
              <w:jc w:val="center"/>
              <w:ind w:right="820"/>
              <w:spacing w:after="0"/>
              <w:rPr>
                <w:sz w:val="20"/>
                <w:szCs w:val="20"/>
                <w:color w:val="auto"/>
              </w:rPr>
            </w:pPr>
            <w:r>
              <w:rPr>
                <w:rFonts w:ascii="Arial" w:cs="Arial" w:eastAsia="Arial" w:hAnsi="Arial"/>
                <w:sz w:val="16"/>
                <w:szCs w:val="16"/>
                <w:b w:val="1"/>
                <w:bCs w:val="1"/>
                <w:color w:val="auto"/>
                <w:w w:val="94"/>
              </w:rPr>
              <w:t>March 31,</w:t>
            </w:r>
          </w:p>
        </w:tc>
      </w:tr>
      <w:tr>
        <w:trPr>
          <w:trHeight w:val="169"/>
        </w:trPr>
        <w:tc>
          <w:tcPr>
            <w:tcW w:w="240" w:type="dxa"/>
            <w:vAlign w:val="bottom"/>
            <w:tcBorders>
              <w:left w:val="single" w:sz="8" w:color="auto"/>
            </w:tcBorders>
          </w:tcPr>
          <w:p>
            <w:pPr>
              <w:spacing w:after="0"/>
              <w:rPr>
                <w:sz w:val="14"/>
                <w:szCs w:val="14"/>
                <w:color w:val="auto"/>
              </w:rPr>
            </w:pPr>
          </w:p>
        </w:tc>
        <w:tc>
          <w:tcPr>
            <w:tcW w:w="4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ind w:right="93"/>
              <w:spacing w:after="0" w:line="169" w:lineRule="exact"/>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ind w:right="121"/>
              <w:spacing w:after="0" w:line="169" w:lineRule="exact"/>
              <w:rPr>
                <w:sz w:val="20"/>
                <w:szCs w:val="20"/>
                <w:color w:val="auto"/>
              </w:rPr>
            </w:pPr>
            <w:r>
              <w:rPr>
                <w:rFonts w:ascii="Arial" w:cs="Arial" w:eastAsia="Arial" w:hAnsi="Arial"/>
                <w:sz w:val="16"/>
                <w:szCs w:val="16"/>
                <w:b w:val="1"/>
                <w:bCs w:val="1"/>
                <w:color w:val="auto"/>
              </w:rPr>
              <w:t>2015</w:t>
            </w: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3"/>
          </w:tcPr>
          <w:p>
            <w:pPr>
              <w:jc w:val="right"/>
              <w:ind w:right="80"/>
              <w:spacing w:after="0" w:line="169" w:lineRule="exact"/>
              <w:rPr>
                <w:sz w:val="20"/>
                <w:szCs w:val="20"/>
                <w:color w:val="auto"/>
              </w:rPr>
            </w:pPr>
            <w:r>
              <w:rPr>
                <w:rFonts w:ascii="Arial" w:cs="Arial" w:eastAsia="Arial" w:hAnsi="Arial"/>
                <w:sz w:val="16"/>
                <w:szCs w:val="16"/>
                <w:b w:val="1"/>
                <w:bCs w:val="1"/>
                <w:color w:val="auto"/>
              </w:rPr>
              <w:t>2016</w:t>
            </w:r>
          </w:p>
        </w:tc>
        <w:tc>
          <w:tcPr>
            <w:tcW w:w="1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201"/>
              <w:spacing w:after="0" w:line="169" w:lineRule="exact"/>
              <w:rPr>
                <w:sz w:val="20"/>
                <w:szCs w:val="20"/>
                <w:color w:val="auto"/>
              </w:rPr>
            </w:pPr>
            <w:r>
              <w:rPr>
                <w:rFonts w:ascii="Arial" w:cs="Arial" w:eastAsia="Arial" w:hAnsi="Arial"/>
                <w:sz w:val="16"/>
                <w:szCs w:val="16"/>
                <w:b w:val="1"/>
                <w:bCs w:val="1"/>
                <w:color w:val="auto"/>
                <w:w w:val="95"/>
              </w:rPr>
              <w:t>2016</w:t>
            </w: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2"/>
              <w:spacing w:after="0" w:line="169" w:lineRule="exact"/>
              <w:rPr>
                <w:sz w:val="20"/>
                <w:szCs w:val="20"/>
                <w:color w:val="auto"/>
              </w:rPr>
            </w:pPr>
            <w:r>
              <w:rPr>
                <w:rFonts w:ascii="Arial" w:cs="Arial" w:eastAsia="Arial" w:hAnsi="Arial"/>
                <w:sz w:val="16"/>
                <w:szCs w:val="16"/>
                <w:b w:val="1"/>
                <w:bCs w:val="1"/>
                <w:color w:val="auto"/>
              </w:rPr>
              <w:t>2017</w:t>
            </w:r>
          </w:p>
        </w:tc>
        <w:tc>
          <w:tcPr>
            <w:tcW w:w="220" w:type="dxa"/>
            <w:vAlign w:val="bottom"/>
            <w:tcBorders>
              <w:right w:val="single" w:sz="8" w:color="auto"/>
            </w:tcBorders>
          </w:tcPr>
          <w:p>
            <w:pPr>
              <w:spacing w:after="0"/>
              <w:rPr>
                <w:sz w:val="14"/>
                <w:szCs w:val="14"/>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3"/>
          </w:tcPr>
          <w:p>
            <w:pPr>
              <w:jc w:val="right"/>
              <w:ind w:right="21"/>
              <w:spacing w:after="0"/>
              <w:rPr>
                <w:sz w:val="20"/>
                <w:szCs w:val="20"/>
                <w:color w:val="auto"/>
              </w:rPr>
            </w:pPr>
            <w:r>
              <w:rPr>
                <w:rFonts w:ascii="Arial" w:cs="Arial" w:eastAsia="Arial" w:hAnsi="Arial"/>
                <w:sz w:val="16"/>
                <w:szCs w:val="16"/>
                <w:b w:val="1"/>
                <w:bCs w:val="1"/>
                <w:color w:val="auto"/>
                <w:w w:val="93"/>
              </w:rPr>
              <w:t>Restated</w:t>
            </w:r>
            <w:r>
              <w:rPr>
                <w:rFonts w:ascii="Arial" w:cs="Arial" w:eastAsia="Arial" w:hAnsi="Arial"/>
                <w:sz w:val="8"/>
                <w:szCs w:val="8"/>
                <w:b w:val="1"/>
                <w:bCs w:val="1"/>
                <w:color w:val="auto"/>
                <w:w w:val="93"/>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24"/>
          </w:tcPr>
          <w:p>
            <w:pPr>
              <w:jc w:val="center"/>
              <w:ind w:right="40"/>
              <w:spacing w:after="0"/>
              <w:rPr>
                <w:sz w:val="20"/>
                <w:szCs w:val="20"/>
                <w:color w:val="auto"/>
              </w:rPr>
            </w:pPr>
            <w:r>
              <w:rPr>
                <w:rFonts w:ascii="Arial" w:cs="Arial" w:eastAsia="Arial" w:hAnsi="Arial"/>
                <w:sz w:val="16"/>
                <w:szCs w:val="16"/>
                <w:b w:val="1"/>
                <w:bCs w:val="1"/>
                <w:color w:val="auto"/>
                <w:w w:val="88"/>
              </w:rPr>
              <w:t>(in thousands of U.S dollars, except per unit data)</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STATEMENT OF PROFIT OR LOSS:</w:t>
            </w:r>
          </w:p>
        </w:tc>
        <w:tc>
          <w:tcPr>
            <w:tcW w:w="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184,222</w:t>
            </w:r>
          </w:p>
        </w:tc>
        <w:tc>
          <w:tcPr>
            <w:tcW w:w="12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224,190</w:t>
            </w:r>
          </w:p>
        </w:tc>
        <w:tc>
          <w:tcPr>
            <w:tcW w:w="80" w:type="dxa"/>
            <w:vAlign w:val="bottom"/>
          </w:tcPr>
          <w:p>
            <w:pPr>
              <w:spacing w:after="0"/>
              <w:rPr>
                <w:sz w:val="21"/>
                <w:szCs w:val="21"/>
                <w:color w:val="auto"/>
              </w:rPr>
            </w:pPr>
          </w:p>
        </w:tc>
        <w:tc>
          <w:tcPr>
            <w:tcW w:w="1100" w:type="dxa"/>
            <w:vAlign w:val="bottom"/>
            <w:gridSpan w:val="7"/>
          </w:tcPr>
          <w:p>
            <w:pPr>
              <w:jc w:val="right"/>
              <w:ind w:right="80"/>
              <w:spacing w:after="0"/>
              <w:rPr>
                <w:sz w:val="20"/>
                <w:szCs w:val="20"/>
                <w:color w:val="auto"/>
              </w:rPr>
            </w:pPr>
            <w:r>
              <w:rPr>
                <w:rFonts w:ascii="Arial" w:cs="Arial" w:eastAsia="Arial" w:hAnsi="Arial"/>
                <w:sz w:val="18"/>
                <w:szCs w:val="18"/>
                <w:color w:val="auto"/>
              </w:rPr>
              <w:t>$ 228,737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center"/>
              <w:ind w:left="11"/>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56,127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56,993</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Vessel operating costs</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(35,731)</w:t>
            </w: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(47,740)</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w w:val="92"/>
              </w:rPr>
              <w:t>(48,010)</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89"/>
              </w:rPr>
              <w:t>(12,748)</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(11,168)</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Voyage expenses and commissions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(2,368)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(2,979)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(3,125)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Depreciation</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(39,569)</w:t>
            </w: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(49,971)</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w w:val="92"/>
              </w:rPr>
              <w:t>(50,014)</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89"/>
              </w:rPr>
              <w:t>(12,531)</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(12,362)</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(6,932)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(11,524)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2"/>
              </w:rPr>
              <w:t>(11,712)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Profit from operations</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gridSpan w:val="4"/>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99,622</w:t>
            </w: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111,976</w:t>
            </w:r>
          </w:p>
        </w:tc>
        <w:tc>
          <w:tcPr>
            <w:tcW w:w="80" w:type="dxa"/>
            <w:vAlign w:val="bottom"/>
            <w:tcBorders>
              <w:bottom w:val="single" w:sz="8" w:color="auto"/>
            </w:tcBorders>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4"/>
            <w:shd w:val="clear" w:color="auto" w:fill="E5FFFF"/>
          </w:tcPr>
          <w:p>
            <w:pPr>
              <w:jc w:val="right"/>
              <w:ind w:right="80"/>
              <w:spacing w:after="0"/>
              <w:rPr>
                <w:sz w:val="20"/>
                <w:szCs w:val="20"/>
                <w:color w:val="auto"/>
              </w:rPr>
            </w:pPr>
            <w:r>
              <w:rPr>
                <w:rFonts w:ascii="Arial" w:cs="Arial" w:eastAsia="Arial" w:hAnsi="Arial"/>
                <w:sz w:val="18"/>
                <w:szCs w:val="18"/>
                <w:b w:val="1"/>
                <w:bCs w:val="1"/>
                <w:color w:val="auto"/>
                <w:w w:val="86"/>
              </w:rPr>
              <w:t>115,876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8"/>
                <w:szCs w:val="18"/>
                <w:b w:val="1"/>
                <w:bCs w:val="1"/>
                <w:color w:val="auto"/>
                <w:w w:val="98"/>
              </w:rPr>
              <w:t>27,107</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b w:val="1"/>
                <w:bCs w:val="1"/>
                <w:color w:val="auto"/>
              </w:rPr>
              <w:t>29,664</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Financial costs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(37,725)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(31,212)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(36,202)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(8,210)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(8,782)</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Financial income</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18</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117</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(Loss)/gain on interest rate swaps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(12,903)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(3,144)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7"/>
              </w:rPr>
              <w:t>(2,513)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Total other expenses, net</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gridSpan w:val="4"/>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(50,579)</w:t>
            </w: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gridSpan w:val="4"/>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(34,327)</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4"/>
            <w:shd w:val="clear" w:color="auto" w:fill="E5FFFF"/>
          </w:tcPr>
          <w:p>
            <w:pPr>
              <w:jc w:val="right"/>
              <w:ind w:right="20"/>
              <w:spacing w:after="0"/>
              <w:rPr>
                <w:sz w:val="20"/>
                <w:szCs w:val="20"/>
                <w:color w:val="auto"/>
              </w:rPr>
            </w:pPr>
            <w:r>
              <w:rPr>
                <w:rFonts w:ascii="Arial" w:cs="Arial" w:eastAsia="Arial" w:hAnsi="Arial"/>
                <w:sz w:val="18"/>
                <w:szCs w:val="18"/>
                <w:b w:val="1"/>
                <w:bCs w:val="1"/>
                <w:color w:val="auto"/>
                <w:w w:val="92"/>
              </w:rPr>
              <w:t>(38,535)</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(11,094)</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(8,642)</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Profit for the year/period</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49,043</w:t>
            </w:r>
          </w:p>
        </w:tc>
        <w:tc>
          <w:tcPr>
            <w:tcW w:w="12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77,649</w:t>
            </w:r>
          </w:p>
        </w:tc>
        <w:tc>
          <w:tcPr>
            <w:tcW w:w="8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77,341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8"/>
              </w:rPr>
              <w:t>16,013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21,022</w:t>
            </w:r>
          </w:p>
        </w:tc>
        <w:tc>
          <w:tcPr>
            <w:tcW w:w="220" w:type="dxa"/>
            <w:vAlign w:val="bottom"/>
            <w:tcBorders>
              <w:right w:val="single" w:sz="8" w:color="auto"/>
            </w:tcBorders>
          </w:tcPr>
          <w:p>
            <w:pPr>
              <w:spacing w:after="0"/>
              <w:rPr>
                <w:sz w:val="21"/>
                <w:szCs w:val="21"/>
                <w:color w:val="auto"/>
              </w:rPr>
            </w:pP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Profit/(loss) attributable to GasLog’s operations</w:t>
            </w: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34,499</w:t>
            </w:r>
          </w:p>
        </w:tc>
        <w:tc>
          <w:tcPr>
            <w:tcW w:w="120" w:type="dxa"/>
            <w:vAlign w:val="bottom"/>
            <w:shd w:val="clear" w:color="auto" w:fill="E5FFFF"/>
          </w:tcPr>
          <w:p>
            <w:pPr>
              <w:spacing w:after="0"/>
              <w:rPr>
                <w:sz w:val="20"/>
                <w:szCs w:val="20"/>
                <w:color w:val="auto"/>
              </w:rPr>
            </w:pPr>
          </w:p>
        </w:tc>
        <w:tc>
          <w:tcPr>
            <w:tcW w:w="28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12,609</w:t>
            </w:r>
          </w:p>
        </w:tc>
        <w:tc>
          <w:tcPr>
            <w:tcW w:w="80" w:type="dxa"/>
            <w:vAlign w:val="bottom"/>
            <w:shd w:val="clear" w:color="auto" w:fill="E5FFFF"/>
          </w:tcPr>
          <w:p>
            <w:pPr>
              <w:spacing w:after="0"/>
              <w:rPr>
                <w:sz w:val="20"/>
                <w:szCs w:val="20"/>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E5FFFF"/>
          </w:tcPr>
          <w:p>
            <w:pPr>
              <w:spacing w:after="0"/>
              <w:rPr>
                <w:sz w:val="20"/>
                <w:szCs w:val="20"/>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71</w:t>
            </w: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(178)</w:t>
            </w:r>
          </w:p>
        </w:tc>
        <w:tc>
          <w:tcPr>
            <w:tcW w:w="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720" w:type="dxa"/>
            <w:vAlign w:val="bottom"/>
            <w:shd w:val="clear" w:color="auto" w:fill="E5FFFF"/>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auto"/>
            </w:tcBorders>
          </w:tcPr>
          <w:p>
            <w:pPr>
              <w:spacing w:after="0"/>
              <w:rPr>
                <w:sz w:val="20"/>
                <w:szCs w:val="20"/>
                <w:color w:val="auto"/>
              </w:rPr>
            </w:pPr>
          </w:p>
        </w:tc>
      </w:tr>
      <w:tr>
        <w:trPr>
          <w:trHeight w:val="241"/>
        </w:trPr>
        <w:tc>
          <w:tcPr>
            <w:tcW w:w="240" w:type="dxa"/>
            <w:vAlign w:val="bottom"/>
            <w:tcBorders>
              <w:left w:val="single" w:sz="8" w:color="auto"/>
            </w:tcBorders>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Partnership’s profit</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14,544</w:t>
            </w:r>
          </w:p>
        </w:tc>
        <w:tc>
          <w:tcPr>
            <w:tcW w:w="12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65,040</w:t>
            </w:r>
          </w:p>
        </w:tc>
        <w:tc>
          <w:tcPr>
            <w:tcW w:w="8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77,270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8"/>
              </w:rPr>
              <w:t>16,191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21,022</w:t>
            </w:r>
          </w:p>
        </w:tc>
        <w:tc>
          <w:tcPr>
            <w:tcW w:w="220" w:type="dxa"/>
            <w:vAlign w:val="bottom"/>
            <w:tcBorders>
              <w:right w:val="single" w:sz="8" w:color="auto"/>
            </w:tcBorders>
          </w:tcPr>
          <w:p>
            <w:pPr>
              <w:spacing w:after="0"/>
              <w:rPr>
                <w:sz w:val="20"/>
                <w:szCs w:val="20"/>
                <w:color w:val="auto"/>
              </w:rPr>
            </w:pPr>
          </w:p>
        </w:tc>
      </w:tr>
      <w:tr>
        <w:trPr>
          <w:trHeight w:val="201"/>
        </w:trPr>
        <w:tc>
          <w:tcPr>
            <w:tcW w:w="240" w:type="dxa"/>
            <w:vAlign w:val="bottom"/>
            <w:tcBorders>
              <w:left w:val="single" w:sz="8" w:color="auto"/>
            </w:tcBorders>
          </w:tcPr>
          <w:p>
            <w:pPr>
              <w:spacing w:after="0"/>
              <w:rPr>
                <w:sz w:val="17"/>
                <w:szCs w:val="17"/>
                <w:color w:val="auto"/>
              </w:rPr>
            </w:pPr>
          </w:p>
        </w:tc>
        <w:tc>
          <w:tcPr>
            <w:tcW w:w="4640" w:type="dxa"/>
            <w:vAlign w:val="bottom"/>
            <w:shd w:val="clear" w:color="auto" w:fill="E5FFFF"/>
          </w:tcPr>
          <w:p>
            <w:pPr>
              <w:spacing w:after="0" w:line="201" w:lineRule="exact"/>
              <w:rPr>
                <w:sz w:val="20"/>
                <w:szCs w:val="20"/>
                <w:color w:val="auto"/>
              </w:rPr>
            </w:pPr>
            <w:r>
              <w:rPr>
                <w:rFonts w:ascii="Arial" w:cs="Arial" w:eastAsia="Arial" w:hAnsi="Arial"/>
                <w:sz w:val="18"/>
                <w:szCs w:val="18"/>
                <w:b w:val="1"/>
                <w:bCs w:val="1"/>
                <w:color w:val="auto"/>
              </w:rPr>
              <w:t>EARNINGS PER UNIT ATTRIBUTABLE TO THE</w:t>
            </w: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33"/>
        </w:trPr>
        <w:tc>
          <w:tcPr>
            <w:tcW w:w="240" w:type="dxa"/>
            <w:vAlign w:val="bottom"/>
            <w:tcBorders>
              <w:left w:val="single" w:sz="8" w:color="auto"/>
            </w:tcBorders>
          </w:tcPr>
          <w:p>
            <w:pPr>
              <w:spacing w:after="0"/>
              <w:rPr>
                <w:sz w:val="20"/>
                <w:szCs w:val="20"/>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PARTNERSHIP:</w:t>
            </w:r>
            <w:r>
              <w:rPr>
                <w:rFonts w:ascii="Arial" w:cs="Arial" w:eastAsia="Arial" w:hAnsi="Arial"/>
                <w:sz w:val="9"/>
                <w:szCs w:val="9"/>
                <w:b w:val="1"/>
                <w:bCs w:val="1"/>
                <w:color w:val="auto"/>
              </w:rPr>
              <w:t>(2)</w:t>
            </w:r>
          </w:p>
        </w:tc>
        <w:tc>
          <w:tcPr>
            <w:tcW w:w="7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Common units (basic)</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0.75</w:t>
            </w:r>
          </w:p>
        </w:tc>
        <w:tc>
          <w:tcPr>
            <w:tcW w:w="12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center"/>
              <w:ind w:left="11"/>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0.54</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Common units (diluted)</w:t>
            </w: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w w:val="96"/>
              </w:rPr>
              <w:t>0.75</w:t>
            </w:r>
          </w:p>
        </w:tc>
        <w:tc>
          <w:tcPr>
            <w:tcW w:w="120" w:type="dxa"/>
            <w:vAlign w:val="bottom"/>
            <w:shd w:val="clear" w:color="auto" w:fill="E5FFFF"/>
          </w:tcPr>
          <w:p>
            <w:pPr>
              <w:spacing w:after="0"/>
              <w:rPr>
                <w:sz w:val="21"/>
                <w:szCs w:val="21"/>
                <w:color w:val="auto"/>
              </w:rPr>
            </w:pPr>
          </w:p>
        </w:tc>
        <w:tc>
          <w:tcPr>
            <w:tcW w:w="28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2.17</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center"/>
              <w:ind w:left="11"/>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0.49</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0.54</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Subordinated units</w:t>
            </w:r>
            <w:r>
              <w:rPr>
                <w:rFonts w:ascii="Arial" w:cs="Arial" w:eastAsia="Arial" w:hAnsi="Arial"/>
                <w:sz w:val="9"/>
                <w:szCs w:val="9"/>
                <w:color w:val="auto"/>
              </w:rPr>
              <w:t>(3)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0.56</w:t>
            </w:r>
          </w:p>
        </w:tc>
        <w:tc>
          <w:tcPr>
            <w:tcW w:w="12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center"/>
              <w:ind w:left="11"/>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0.52</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General partner units</w:t>
            </w: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w w:val="96"/>
              </w:rPr>
              <w:t>0.66</w:t>
            </w:r>
          </w:p>
        </w:tc>
        <w:tc>
          <w:tcPr>
            <w:tcW w:w="120" w:type="dxa"/>
            <w:vAlign w:val="bottom"/>
            <w:shd w:val="clear" w:color="auto" w:fill="E5FFFF"/>
          </w:tcPr>
          <w:p>
            <w:pPr>
              <w:spacing w:after="0"/>
              <w:rPr>
                <w:sz w:val="21"/>
                <w:szCs w:val="21"/>
                <w:color w:val="auto"/>
              </w:rPr>
            </w:pPr>
          </w:p>
        </w:tc>
        <w:tc>
          <w:tcPr>
            <w:tcW w:w="28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2.31</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center"/>
              <w:ind w:left="11"/>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0.50</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0.56</w:t>
            </w:r>
          </w:p>
        </w:tc>
        <w:tc>
          <w:tcPr>
            <w:tcW w:w="220" w:type="dxa"/>
            <w:vAlign w:val="bottom"/>
            <w:tcBorders>
              <w:right w:val="single" w:sz="8" w:color="auto"/>
            </w:tcBorders>
          </w:tcPr>
          <w:p>
            <w:pPr>
              <w:spacing w:after="0"/>
              <w:rPr>
                <w:sz w:val="21"/>
                <w:szCs w:val="2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Historical</w:t>
            </w: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145"/>
        </w:trPr>
        <w:tc>
          <w:tcPr>
            <w:tcW w:w="240" w:type="dxa"/>
            <w:vAlign w:val="bottom"/>
            <w:tcBorders>
              <w:left w:val="single" w:sz="8" w:color="auto"/>
            </w:tcBorders>
          </w:tcPr>
          <w:p>
            <w:pPr>
              <w:spacing w:after="0"/>
              <w:rPr>
                <w:sz w:val="12"/>
                <w:szCs w:val="12"/>
                <w:color w:val="auto"/>
              </w:rPr>
            </w:pPr>
          </w:p>
        </w:tc>
        <w:tc>
          <w:tcPr>
            <w:tcW w:w="4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72"/>
              <w:spacing w:after="0" w:line="145" w:lineRule="exact"/>
              <w:rPr>
                <w:sz w:val="20"/>
                <w:szCs w:val="20"/>
                <w:color w:val="auto"/>
              </w:rPr>
            </w:pPr>
            <w:r>
              <w:rPr>
                <w:rFonts w:ascii="Arial" w:cs="Arial" w:eastAsia="Arial" w:hAnsi="Arial"/>
                <w:sz w:val="16"/>
                <w:szCs w:val="16"/>
                <w:b w:val="1"/>
                <w:bCs w:val="1"/>
                <w:color w:val="auto"/>
                <w:w w:val="89"/>
              </w:rPr>
              <w:t>As of</w:t>
            </w:r>
          </w:p>
        </w:tc>
        <w:tc>
          <w:tcPr>
            <w:tcW w:w="220" w:type="dxa"/>
            <w:vAlign w:val="bottom"/>
            <w:tcBorders>
              <w:right w:val="single" w:sz="8" w:color="auto"/>
            </w:tcBorders>
          </w:tcPr>
          <w:p>
            <w:pPr>
              <w:spacing w:after="0"/>
              <w:rPr>
                <w:sz w:val="12"/>
                <w:szCs w:val="12"/>
                <w:color w:val="auto"/>
              </w:rPr>
            </w:pPr>
          </w:p>
        </w:tc>
      </w:tr>
      <w:tr>
        <w:trPr>
          <w:trHeight w:val="199"/>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gridSpan w:val="12"/>
          </w:tcPr>
          <w:p>
            <w:pPr>
              <w:jc w:val="center"/>
              <w:ind w:right="220"/>
              <w:spacing w:after="0"/>
              <w:rPr>
                <w:sz w:val="20"/>
                <w:szCs w:val="20"/>
                <w:color w:val="auto"/>
              </w:rPr>
            </w:pPr>
            <w:r>
              <w:rPr>
                <w:rFonts w:ascii="Arial" w:cs="Arial" w:eastAsia="Arial" w:hAnsi="Arial"/>
                <w:sz w:val="16"/>
                <w:szCs w:val="16"/>
                <w:b w:val="1"/>
                <w:bCs w:val="1"/>
                <w:color w:val="auto"/>
                <w:w w:val="87"/>
              </w:rPr>
              <w:t>As of December 31,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gridSpan w:val="5"/>
          </w:tcPr>
          <w:p>
            <w:pPr>
              <w:jc w:val="center"/>
              <w:ind w:right="380"/>
              <w:spacing w:after="0"/>
              <w:rPr>
                <w:sz w:val="20"/>
                <w:szCs w:val="20"/>
                <w:color w:val="auto"/>
              </w:rPr>
            </w:pPr>
            <w:r>
              <w:rPr>
                <w:rFonts w:ascii="Arial" w:cs="Arial" w:eastAsia="Arial" w:hAnsi="Arial"/>
                <w:sz w:val="16"/>
                <w:szCs w:val="16"/>
                <w:b w:val="1"/>
                <w:bCs w:val="1"/>
                <w:color w:val="auto"/>
                <w:w w:val="92"/>
              </w:rPr>
              <w:t>March 31,</w:t>
            </w:r>
          </w:p>
        </w:tc>
      </w:tr>
      <w:tr>
        <w:trPr>
          <w:trHeight w:val="169"/>
        </w:trPr>
        <w:tc>
          <w:tcPr>
            <w:tcW w:w="240" w:type="dxa"/>
            <w:vAlign w:val="bottom"/>
            <w:tcBorders>
              <w:left w:val="single" w:sz="8" w:color="auto"/>
            </w:tcBorders>
          </w:tcPr>
          <w:p>
            <w:pPr>
              <w:spacing w:after="0"/>
              <w:rPr>
                <w:sz w:val="14"/>
                <w:szCs w:val="14"/>
                <w:color w:val="auto"/>
              </w:rPr>
            </w:pPr>
          </w:p>
        </w:tc>
        <w:tc>
          <w:tcPr>
            <w:tcW w:w="4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jc w:val="right"/>
              <w:ind w:right="40"/>
              <w:spacing w:after="0" w:line="169" w:lineRule="exact"/>
              <w:rPr>
                <w:sz w:val="20"/>
                <w:szCs w:val="20"/>
                <w:color w:val="auto"/>
              </w:rPr>
            </w:pPr>
            <w:r>
              <w:rPr>
                <w:rFonts w:ascii="Arial" w:cs="Arial" w:eastAsia="Arial" w:hAnsi="Arial"/>
                <w:sz w:val="16"/>
                <w:szCs w:val="16"/>
                <w:b w:val="1"/>
                <w:bCs w:val="1"/>
                <w:color w:val="auto"/>
              </w:rPr>
              <w:t>2014</w:t>
            </w: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6"/>
          </w:tcPr>
          <w:p>
            <w:pPr>
              <w:jc w:val="center"/>
              <w:ind w:left="572"/>
              <w:spacing w:after="0" w:line="169" w:lineRule="exact"/>
              <w:rPr>
                <w:sz w:val="20"/>
                <w:szCs w:val="20"/>
                <w:color w:val="auto"/>
              </w:rPr>
            </w:pPr>
            <w:r>
              <w:rPr>
                <w:rFonts w:ascii="Arial" w:cs="Arial" w:eastAsia="Arial" w:hAnsi="Arial"/>
                <w:sz w:val="16"/>
                <w:szCs w:val="16"/>
                <w:b w:val="1"/>
                <w:bCs w:val="1"/>
                <w:color w:val="auto"/>
                <w:w w:val="89"/>
              </w:rPr>
              <w:t>2015</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3"/>
          </w:tcPr>
          <w:p>
            <w:pPr>
              <w:jc w:val="center"/>
              <w:ind w:left="11"/>
              <w:spacing w:after="0" w:line="169" w:lineRule="exact"/>
              <w:rPr>
                <w:sz w:val="20"/>
                <w:szCs w:val="20"/>
                <w:color w:val="auto"/>
              </w:rPr>
            </w:pPr>
            <w:r>
              <w:rPr>
                <w:rFonts w:ascii="Arial" w:cs="Arial" w:eastAsia="Arial" w:hAnsi="Arial"/>
                <w:sz w:val="16"/>
                <w:szCs w:val="16"/>
                <w:b w:val="1"/>
                <w:bCs w:val="1"/>
                <w:color w:val="auto"/>
                <w:w w:val="89"/>
              </w:rPr>
              <w:t>2016</w:t>
            </w:r>
          </w:p>
        </w:tc>
        <w:tc>
          <w:tcPr>
            <w:tcW w:w="3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ind w:right="312"/>
              <w:spacing w:after="0" w:line="169" w:lineRule="exact"/>
              <w:rPr>
                <w:sz w:val="20"/>
                <w:szCs w:val="20"/>
                <w:color w:val="auto"/>
              </w:rPr>
            </w:pPr>
            <w:r>
              <w:rPr>
                <w:rFonts w:ascii="Arial" w:cs="Arial" w:eastAsia="Arial" w:hAnsi="Arial"/>
                <w:sz w:val="16"/>
                <w:szCs w:val="16"/>
                <w:b w:val="1"/>
                <w:bCs w:val="1"/>
                <w:color w:val="auto"/>
                <w:w w:val="89"/>
              </w:rPr>
              <w:t>2017</w:t>
            </w:r>
          </w:p>
        </w:tc>
        <w:tc>
          <w:tcPr>
            <w:tcW w:w="220" w:type="dxa"/>
            <w:vAlign w:val="bottom"/>
            <w:tcBorders>
              <w:right w:val="single" w:sz="8" w:color="auto"/>
            </w:tcBorders>
          </w:tcPr>
          <w:p>
            <w:pPr>
              <w:spacing w:after="0"/>
              <w:rPr>
                <w:sz w:val="14"/>
                <w:szCs w:val="14"/>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6"/>
          </w:tcPr>
          <w:p>
            <w:pPr>
              <w:jc w:val="right"/>
              <w:ind w:right="41"/>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Borders>
              <w:top w:val="single" w:sz="8" w:color="auto"/>
            </w:tcBorders>
            <w:gridSpan w:val="5"/>
          </w:tcPr>
          <w:p>
            <w:pPr>
              <w:jc w:val="center"/>
              <w:ind w:left="81"/>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1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16"/>
          </w:tcPr>
          <w:p>
            <w:pPr>
              <w:jc w:val="center"/>
              <w:ind w:right="121"/>
              <w:spacing w:after="0"/>
              <w:rPr>
                <w:sz w:val="20"/>
                <w:szCs w:val="20"/>
                <w:color w:val="auto"/>
              </w:rPr>
            </w:pPr>
            <w:r>
              <w:rPr>
                <w:rFonts w:ascii="Arial" w:cs="Arial" w:eastAsia="Arial" w:hAnsi="Arial"/>
                <w:sz w:val="16"/>
                <w:szCs w:val="16"/>
                <w:b w:val="1"/>
                <w:bCs w:val="1"/>
                <w:color w:val="auto"/>
                <w:w w:val="88"/>
              </w:rPr>
              <w:t>(in thousands of U.S dollars)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STATEMENT OF FINANCIAL POSITION DATA:</w:t>
            </w:r>
          </w:p>
        </w:tc>
        <w:tc>
          <w:tcPr>
            <w:tcW w:w="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50,629</w:t>
            </w:r>
          </w:p>
        </w:tc>
        <w:tc>
          <w:tcPr>
            <w:tcW w:w="68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8"/>
              </w:rPr>
              <w:t>62,677</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50,458</w:t>
            </w:r>
          </w:p>
        </w:tc>
        <w:tc>
          <w:tcPr>
            <w:tcW w:w="300" w:type="dxa"/>
            <w:vAlign w:val="bottom"/>
          </w:tcPr>
          <w:p>
            <w:pPr>
              <w:spacing w:after="0"/>
              <w:rPr>
                <w:sz w:val="21"/>
                <w:szCs w:val="21"/>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129,380</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Short-term investments</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21,700</w:t>
            </w: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Vessels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w w:val="99"/>
              </w:rPr>
              <w:t>1,507,541</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1,464,763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89"/>
              </w:rPr>
              <w:t>1,419,833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1,407,471</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w w:val="99"/>
              </w:rPr>
              <w:t>1,587,261</w:t>
            </w:r>
          </w:p>
        </w:tc>
        <w:tc>
          <w:tcPr>
            <w:tcW w:w="1320" w:type="dxa"/>
            <w:vAlign w:val="bottom"/>
            <w:gridSpan w:val="8"/>
            <w:shd w:val="clear" w:color="auto" w:fill="E5FFFF"/>
          </w:tcPr>
          <w:p>
            <w:pPr>
              <w:jc w:val="right"/>
              <w:spacing w:after="0"/>
              <w:rPr>
                <w:sz w:val="20"/>
                <w:szCs w:val="20"/>
                <w:color w:val="auto"/>
              </w:rPr>
            </w:pPr>
            <w:r>
              <w:rPr>
                <w:rFonts w:ascii="Arial" w:cs="Arial" w:eastAsia="Arial" w:hAnsi="Arial"/>
                <w:sz w:val="18"/>
                <w:szCs w:val="18"/>
                <w:color w:val="auto"/>
              </w:rPr>
              <w:t>1,538,215</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w w:val="89"/>
              </w:rPr>
              <w:t>1,489,139</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96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1,553,765</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Borrowings—current portion</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28,356</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333,147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45,122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104,277</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Borrowings—non-current portion</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900,749</w:t>
            </w:r>
          </w:p>
        </w:tc>
        <w:tc>
          <w:tcPr>
            <w:tcW w:w="1320" w:type="dxa"/>
            <w:vAlign w:val="bottom"/>
            <w:gridSpan w:val="8"/>
            <w:shd w:val="clear" w:color="auto" w:fill="E5FFFF"/>
          </w:tcPr>
          <w:p>
            <w:pPr>
              <w:jc w:val="right"/>
              <w:spacing w:after="0"/>
              <w:rPr>
                <w:sz w:val="20"/>
                <w:szCs w:val="20"/>
                <w:color w:val="auto"/>
              </w:rPr>
            </w:pPr>
            <w:r>
              <w:rPr>
                <w:rFonts w:ascii="Arial" w:cs="Arial" w:eastAsia="Arial" w:hAnsi="Arial"/>
                <w:sz w:val="18"/>
                <w:szCs w:val="18"/>
                <w:color w:val="auto"/>
              </w:rPr>
              <w:t>533,555</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768,630</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696,566</w:t>
            </w:r>
          </w:p>
        </w:tc>
        <w:tc>
          <w:tcPr>
            <w:tcW w:w="220" w:type="dxa"/>
            <w:vAlign w:val="bottom"/>
            <w:tcBorders>
              <w:right w:val="single" w:sz="8" w:color="auto"/>
            </w:tcBorders>
          </w:tcPr>
          <w:p>
            <w:pPr>
              <w:spacing w:after="0"/>
              <w:rPr>
                <w:sz w:val="21"/>
                <w:szCs w:val="21"/>
                <w:color w:val="auto"/>
              </w:rPr>
            </w:pPr>
          </w:p>
        </w:tc>
      </w:tr>
      <w:tr>
        <w:trPr>
          <w:trHeight w:val="241"/>
        </w:trPr>
        <w:tc>
          <w:tcPr>
            <w:tcW w:w="240" w:type="dxa"/>
            <w:vAlign w:val="bottom"/>
            <w:tcBorders>
              <w:left w:val="single" w:sz="8" w:color="auto"/>
            </w:tcBorders>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590,220</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612,492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642,370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723,580</w:t>
            </w:r>
          </w:p>
        </w:tc>
        <w:tc>
          <w:tcPr>
            <w:tcW w:w="220" w:type="dxa"/>
            <w:vAlign w:val="bottom"/>
            <w:tcBorders>
              <w:right w:val="single" w:sz="8" w:color="auto"/>
            </w:tcBorders>
          </w:tcPr>
          <w:p>
            <w:pPr>
              <w:spacing w:after="0"/>
              <w:rPr>
                <w:sz w:val="20"/>
                <w:szCs w:val="20"/>
                <w:color w:val="auto"/>
              </w:rPr>
            </w:pPr>
          </w:p>
        </w:tc>
      </w:tr>
      <w:tr>
        <w:trPr>
          <w:trHeight w:val="181"/>
        </w:trPr>
        <w:tc>
          <w:tcPr>
            <w:tcW w:w="240" w:type="dxa"/>
            <w:vAlign w:val="bottom"/>
            <w:tcBorders>
              <w:left w:val="single" w:sz="8" w:color="auto"/>
            </w:tcBorders>
          </w:tcPr>
          <w:p>
            <w:pPr>
              <w:spacing w:after="0"/>
              <w:rPr>
                <w:sz w:val="15"/>
                <w:szCs w:val="15"/>
                <w:color w:val="auto"/>
              </w:rPr>
            </w:pPr>
          </w:p>
        </w:tc>
        <w:tc>
          <w:tcPr>
            <w:tcW w:w="4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right w:val="single" w:sz="8" w:color="auto"/>
            </w:tcBorders>
            <w:gridSpan w:val="10"/>
          </w:tcPr>
          <w:p>
            <w:pPr>
              <w:jc w:val="center"/>
              <w:ind w:right="420"/>
              <w:spacing w:after="0" w:line="181" w:lineRule="exact"/>
              <w:rPr>
                <w:sz w:val="20"/>
                <w:szCs w:val="20"/>
                <w:color w:val="auto"/>
              </w:rPr>
            </w:pPr>
            <w:r>
              <w:rPr>
                <w:rFonts w:ascii="Arial" w:cs="Arial" w:eastAsia="Arial" w:hAnsi="Arial"/>
                <w:sz w:val="16"/>
                <w:szCs w:val="16"/>
                <w:b w:val="1"/>
                <w:bCs w:val="1"/>
                <w:color w:val="auto"/>
                <w:w w:val="91"/>
              </w:rPr>
              <w:t>Three Months</w:t>
            </w:r>
          </w:p>
        </w:tc>
      </w:tr>
      <w:tr>
        <w:trPr>
          <w:trHeight w:val="199"/>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13"/>
          </w:tcPr>
          <w:p>
            <w:pPr>
              <w:jc w:val="center"/>
              <w:ind w:left="33"/>
              <w:spacing w:after="0"/>
              <w:rPr>
                <w:sz w:val="20"/>
                <w:szCs w:val="20"/>
                <w:color w:val="auto"/>
              </w:rPr>
            </w:pPr>
            <w:r>
              <w:rPr>
                <w:rFonts w:ascii="Arial" w:cs="Arial" w:eastAsia="Arial" w:hAnsi="Arial"/>
                <w:sz w:val="16"/>
                <w:szCs w:val="16"/>
                <w:b w:val="1"/>
                <w:bCs w:val="1"/>
                <w:color w:val="auto"/>
                <w:w w:val="89"/>
              </w:rPr>
              <w:t>Year Ended December 31,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Borders>
              <w:right w:val="single" w:sz="8" w:color="auto"/>
            </w:tcBorders>
            <w:gridSpan w:val="10"/>
          </w:tcPr>
          <w:p>
            <w:pPr>
              <w:jc w:val="center"/>
              <w:ind w:right="440"/>
              <w:spacing w:after="0"/>
              <w:rPr>
                <w:sz w:val="20"/>
                <w:szCs w:val="20"/>
                <w:color w:val="auto"/>
              </w:rPr>
            </w:pPr>
            <w:r>
              <w:rPr>
                <w:rFonts w:ascii="Arial" w:cs="Arial" w:eastAsia="Arial" w:hAnsi="Arial"/>
                <w:sz w:val="16"/>
                <w:szCs w:val="16"/>
                <w:b w:val="1"/>
                <w:bCs w:val="1"/>
                <w:color w:val="auto"/>
                <w:w w:val="92"/>
              </w:rPr>
              <w:t>Ended March 31,</w:t>
            </w:r>
          </w:p>
        </w:tc>
      </w:tr>
      <w:tr>
        <w:trPr>
          <w:trHeight w:val="169"/>
        </w:trPr>
        <w:tc>
          <w:tcPr>
            <w:tcW w:w="240" w:type="dxa"/>
            <w:vAlign w:val="bottom"/>
            <w:tcBorders>
              <w:left w:val="single" w:sz="8" w:color="auto"/>
            </w:tcBorders>
          </w:tcPr>
          <w:p>
            <w:pPr>
              <w:spacing w:after="0"/>
              <w:rPr>
                <w:sz w:val="14"/>
                <w:szCs w:val="14"/>
                <w:color w:val="auto"/>
              </w:rPr>
            </w:pPr>
          </w:p>
        </w:tc>
        <w:tc>
          <w:tcPr>
            <w:tcW w:w="4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ind w:right="213"/>
              <w:spacing w:after="0" w:line="169" w:lineRule="exact"/>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center"/>
              <w:ind w:right="161"/>
              <w:spacing w:after="0" w:line="169" w:lineRule="exact"/>
              <w:rPr>
                <w:sz w:val="20"/>
                <w:szCs w:val="20"/>
                <w:color w:val="auto"/>
              </w:rPr>
            </w:pPr>
            <w:r>
              <w:rPr>
                <w:rFonts w:ascii="Arial" w:cs="Arial" w:eastAsia="Arial" w:hAnsi="Arial"/>
                <w:sz w:val="16"/>
                <w:szCs w:val="16"/>
                <w:b w:val="1"/>
                <w:bCs w:val="1"/>
                <w:color w:val="auto"/>
                <w:w w:val="89"/>
              </w:rPr>
              <w:t>2015</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3"/>
          </w:tcPr>
          <w:p>
            <w:pPr>
              <w:jc w:val="center"/>
              <w:ind w:right="20"/>
              <w:spacing w:after="0" w:line="169" w:lineRule="exact"/>
              <w:rPr>
                <w:sz w:val="20"/>
                <w:szCs w:val="20"/>
                <w:color w:val="auto"/>
              </w:rPr>
            </w:pPr>
            <w:r>
              <w:rPr>
                <w:rFonts w:ascii="Arial" w:cs="Arial" w:eastAsia="Arial" w:hAnsi="Arial"/>
                <w:sz w:val="16"/>
                <w:szCs w:val="16"/>
                <w:b w:val="1"/>
                <w:bCs w:val="1"/>
                <w:color w:val="auto"/>
                <w:w w:val="84"/>
              </w:rPr>
              <w:t>2016</w:t>
            </w:r>
          </w:p>
        </w:tc>
        <w:tc>
          <w:tcPr>
            <w:tcW w:w="1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161"/>
              <w:spacing w:after="0" w:line="169" w:lineRule="exact"/>
              <w:rPr>
                <w:sz w:val="20"/>
                <w:szCs w:val="20"/>
                <w:color w:val="auto"/>
              </w:rPr>
            </w:pPr>
            <w:r>
              <w:rPr>
                <w:rFonts w:ascii="Arial" w:cs="Arial" w:eastAsia="Arial" w:hAnsi="Arial"/>
                <w:sz w:val="16"/>
                <w:szCs w:val="16"/>
                <w:b w:val="1"/>
                <w:bCs w:val="1"/>
                <w:color w:val="auto"/>
              </w:rPr>
              <w:t>2016</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2017</w:t>
            </w:r>
          </w:p>
        </w:tc>
        <w:tc>
          <w:tcPr>
            <w:tcW w:w="220" w:type="dxa"/>
            <w:vAlign w:val="bottom"/>
            <w:tcBorders>
              <w:right w:val="single" w:sz="8" w:color="auto"/>
            </w:tcBorders>
          </w:tcPr>
          <w:p>
            <w:pPr>
              <w:spacing w:after="0"/>
              <w:rPr>
                <w:sz w:val="14"/>
                <w:szCs w:val="14"/>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gridSpan w:val="7"/>
          </w:tcPr>
          <w:p>
            <w:pPr>
              <w:jc w:val="right"/>
              <w:ind w:right="340"/>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60" w:type="dxa"/>
            <w:vAlign w:val="bottom"/>
          </w:tcPr>
          <w:p>
            <w:pPr>
              <w:spacing w:after="0"/>
              <w:rPr>
                <w:sz w:val="21"/>
                <w:szCs w:val="21"/>
                <w:color w:val="auto"/>
              </w:rPr>
            </w:pPr>
          </w:p>
        </w:tc>
        <w:tc>
          <w:tcPr>
            <w:tcW w:w="98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14"/>
          </w:tcPr>
          <w:p>
            <w:pPr>
              <w:jc w:val="right"/>
              <w:spacing w:after="0"/>
              <w:rPr>
                <w:sz w:val="20"/>
                <w:szCs w:val="20"/>
                <w:color w:val="auto"/>
              </w:rPr>
            </w:pPr>
            <w:r>
              <w:rPr>
                <w:rFonts w:ascii="Arial" w:cs="Arial" w:eastAsia="Arial" w:hAnsi="Arial"/>
                <w:sz w:val="16"/>
                <w:szCs w:val="16"/>
                <w:b w:val="1"/>
                <w:bCs w:val="1"/>
                <w:color w:val="auto"/>
                <w:w w:val="89"/>
              </w:rPr>
              <w:t>(in thousands of U.S dollars)</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 DATA:</w:t>
            </w:r>
          </w:p>
        </w:tc>
        <w:tc>
          <w:tcPr>
            <w:tcW w:w="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42"/>
        </w:trPr>
        <w:tc>
          <w:tcPr>
            <w:tcW w:w="48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9"/>
              </w:rPr>
              <w:t>128,062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8"/>
                <w:szCs w:val="18"/>
                <w:color w:val="auto"/>
                <w:w w:val="89"/>
              </w:rPr>
              <w:t>125,933</w:t>
            </w:r>
          </w:p>
        </w:tc>
        <w:tc>
          <w:tcPr>
            <w:tcW w:w="80" w:type="dxa"/>
            <w:vAlign w:val="bottom"/>
          </w:tcPr>
          <w:p>
            <w:pPr>
              <w:spacing w:after="0"/>
              <w:rPr>
                <w:sz w:val="21"/>
                <w:szCs w:val="21"/>
                <w:color w:val="auto"/>
              </w:rPr>
            </w:pPr>
          </w:p>
        </w:tc>
        <w:tc>
          <w:tcPr>
            <w:tcW w:w="440" w:type="dxa"/>
            <w:vAlign w:val="bottom"/>
            <w:gridSpan w:val="3"/>
          </w:tcPr>
          <w:p>
            <w:pPr>
              <w:jc w:val="right"/>
              <w:ind w:right="36"/>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144,060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right"/>
              <w:ind w:right="21"/>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40,654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$ 30,728</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in)/provided by investing activities</w:t>
            </w:r>
          </w:p>
        </w:tc>
        <w:tc>
          <w:tcPr>
            <w:tcW w:w="168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(809,336)</w:t>
            </w: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3"/>
            <w:shd w:val="clear" w:color="auto" w:fill="E5FFFF"/>
          </w:tcPr>
          <w:p>
            <w:pPr>
              <w:jc w:val="right"/>
              <w:ind w:right="1"/>
              <w:spacing w:after="0"/>
              <w:rPr>
                <w:sz w:val="20"/>
                <w:szCs w:val="20"/>
                <w:color w:val="auto"/>
              </w:rPr>
            </w:pPr>
            <w:r>
              <w:rPr>
                <w:rFonts w:ascii="Arial" w:cs="Arial" w:eastAsia="Arial" w:hAnsi="Arial"/>
                <w:sz w:val="18"/>
                <w:szCs w:val="18"/>
                <w:color w:val="auto"/>
              </w:rPr>
              <w:t>14,421</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w w:val="91"/>
              </w:rPr>
              <w:t>(6,617)</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gridSpan w:val="4"/>
            <w:shd w:val="clear" w:color="auto" w:fill="E5FFFF"/>
          </w:tcPr>
          <w:p>
            <w:pPr>
              <w:jc w:val="right"/>
              <w:ind w:right="40"/>
              <w:spacing w:after="0"/>
              <w:rPr>
                <w:sz w:val="20"/>
                <w:szCs w:val="20"/>
                <w:color w:val="auto"/>
              </w:rPr>
            </w:pPr>
            <w:r>
              <w:rPr>
                <w:rFonts w:ascii="Arial" w:cs="Arial" w:eastAsia="Arial" w:hAnsi="Arial"/>
                <w:sz w:val="18"/>
                <w:szCs w:val="18"/>
                <w:color w:val="auto"/>
              </w:rPr>
              <w:t>(1,154)</w:t>
            </w: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Borders>
              <w:right w:val="single" w:sz="8" w:color="auto"/>
            </w:tcBorders>
          </w:tcPr>
          <w:p>
            <w:pPr>
              <w:spacing w:after="0"/>
              <w:rPr>
                <w:sz w:val="21"/>
                <w:szCs w:val="21"/>
                <w:color w:val="auto"/>
              </w:rPr>
            </w:pPr>
          </w:p>
        </w:tc>
      </w:tr>
      <w:tr>
        <w:trPr>
          <w:trHeight w:val="241"/>
        </w:trPr>
        <w:tc>
          <w:tcPr>
            <w:tcW w:w="48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Net cash provided by/(used in) financing activities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9"/>
              </w:rPr>
              <w:t>711,785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6"/>
          </w:tcPr>
          <w:p>
            <w:pPr>
              <w:jc w:val="right"/>
              <w:spacing w:after="0"/>
              <w:rPr>
                <w:sz w:val="20"/>
                <w:szCs w:val="20"/>
                <w:color w:val="auto"/>
              </w:rPr>
            </w:pPr>
            <w:r>
              <w:rPr>
                <w:rFonts w:ascii="Arial" w:cs="Arial" w:eastAsia="Arial" w:hAnsi="Arial"/>
                <w:sz w:val="18"/>
                <w:szCs w:val="18"/>
                <w:color w:val="auto"/>
              </w:rPr>
              <w:t>(128,306)</w:t>
            </w:r>
          </w:p>
        </w:tc>
        <w:tc>
          <w:tcPr>
            <w:tcW w:w="80" w:type="dxa"/>
            <w:vAlign w:val="bottom"/>
          </w:tcPr>
          <w:p>
            <w:pPr>
              <w:spacing w:after="0"/>
              <w:rPr>
                <w:sz w:val="20"/>
                <w:szCs w:val="20"/>
                <w:color w:val="auto"/>
              </w:rPr>
            </w:pP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(149,662)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(42,147)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46,577</w:t>
            </w:r>
          </w:p>
        </w:tc>
        <w:tc>
          <w:tcPr>
            <w:tcW w:w="220" w:type="dxa"/>
            <w:vAlign w:val="bottom"/>
            <w:tcBorders>
              <w:right w:val="single" w:sz="8" w:color="auto"/>
            </w:tcBorders>
          </w:tcPr>
          <w:p>
            <w:pPr>
              <w:spacing w:after="0"/>
              <w:rPr>
                <w:sz w:val="20"/>
                <w:szCs w:val="20"/>
                <w:color w:val="auto"/>
              </w:rPr>
            </w:pPr>
          </w:p>
        </w:tc>
      </w:tr>
      <w:tr>
        <w:trPr>
          <w:trHeight w:val="201"/>
        </w:trPr>
        <w:tc>
          <w:tcPr>
            <w:tcW w:w="240" w:type="dxa"/>
            <w:vAlign w:val="bottom"/>
            <w:tcBorders>
              <w:left w:val="single" w:sz="8" w:color="auto"/>
              <w:bottom w:val="single" w:sz="8" w:color="auto"/>
            </w:tcBorders>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r>
      <w:tr>
        <w:trPr>
          <w:trHeight w:val="338"/>
        </w:trPr>
        <w:tc>
          <w:tcPr>
            <w:tcW w:w="2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340" w:type="dxa"/>
            <w:vAlign w:val="bottom"/>
            <w:gridSpan w:val="5"/>
          </w:tcPr>
          <w:p>
            <w:pPr>
              <w:jc w:val="center"/>
              <w:ind w:left="250"/>
              <w:spacing w:after="0"/>
              <w:rPr>
                <w:sz w:val="20"/>
                <w:szCs w:val="20"/>
                <w:color w:val="auto"/>
              </w:rPr>
            </w:pPr>
            <w:r>
              <w:rPr>
                <w:rFonts w:ascii="Arial" w:cs="Arial" w:eastAsia="Arial" w:hAnsi="Arial"/>
                <w:sz w:val="19"/>
                <w:szCs w:val="19"/>
                <w:color w:val="auto"/>
                <w:w w:val="89"/>
              </w:rPr>
              <w:t>S-10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24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center"/>
              <w:ind w:left="341"/>
              <w:spacing w:after="0"/>
              <w:rPr>
                <w:sz w:val="20"/>
                <w:szCs w:val="20"/>
                <w:color w:val="auto"/>
              </w:rPr>
            </w:pPr>
            <w:r>
              <w:rPr>
                <w:rFonts w:ascii="Arial" w:cs="Arial" w:eastAsia="Arial" w:hAnsi="Arial"/>
                <w:sz w:val="16"/>
                <w:szCs w:val="16"/>
                <w:b w:val="1"/>
                <w:bCs w:val="1"/>
                <w:color w:val="auto"/>
                <w:w w:val="91"/>
              </w:rPr>
              <w:t>Three Months</w:t>
            </w:r>
          </w:p>
        </w:tc>
        <w:tc>
          <w:tcPr>
            <w:tcW w:w="420" w:type="dxa"/>
            <w:vAlign w:val="bottom"/>
          </w:tcPr>
          <w:p>
            <w:pPr>
              <w:spacing w:after="0"/>
              <w:rPr>
                <w:sz w:val="16"/>
                <w:szCs w:val="16"/>
                <w:color w:val="auto"/>
              </w:rPr>
            </w:pPr>
          </w:p>
        </w:tc>
      </w:tr>
      <w:tr>
        <w:trPr>
          <w:trHeight w:val="176"/>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3"/>
          </w:tcPr>
          <w:p>
            <w:pPr>
              <w:jc w:val="center"/>
              <w:ind w:left="341"/>
              <w:spacing w:after="0" w:line="176" w:lineRule="exact"/>
              <w:rPr>
                <w:sz w:val="20"/>
                <w:szCs w:val="20"/>
                <w:color w:val="auto"/>
              </w:rPr>
            </w:pPr>
            <w:r>
              <w:rPr>
                <w:rFonts w:ascii="Arial" w:cs="Arial" w:eastAsia="Arial" w:hAnsi="Arial"/>
                <w:sz w:val="16"/>
                <w:szCs w:val="16"/>
                <w:b w:val="1"/>
                <w:bCs w:val="1"/>
                <w:color w:val="auto"/>
                <w:w w:val="89"/>
              </w:rPr>
              <w:t>Ended</w:t>
            </w:r>
          </w:p>
        </w:tc>
        <w:tc>
          <w:tcPr>
            <w:tcW w:w="420" w:type="dxa"/>
            <w:vAlign w:val="bottom"/>
          </w:tcPr>
          <w:p>
            <w:pPr>
              <w:spacing w:after="0"/>
              <w:rPr>
                <w:sz w:val="15"/>
                <w:szCs w:val="15"/>
                <w:color w:val="auto"/>
              </w:rPr>
            </w:pPr>
          </w:p>
        </w:tc>
      </w:tr>
      <w:tr>
        <w:trPr>
          <w:trHeight w:val="199"/>
        </w:trPr>
        <w:tc>
          <w:tcPr>
            <w:tcW w:w="5780" w:type="dxa"/>
            <w:vAlign w:val="bottom"/>
          </w:tcPr>
          <w:p>
            <w:pPr>
              <w:spacing w:after="0"/>
              <w:rPr>
                <w:sz w:val="17"/>
                <w:szCs w:val="17"/>
                <w:color w:val="auto"/>
              </w:rPr>
            </w:pPr>
          </w:p>
        </w:tc>
        <w:tc>
          <w:tcPr>
            <w:tcW w:w="250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w w:val="92"/>
              </w:rPr>
              <w:t>Year Ended December 31,</w:t>
            </w:r>
          </w:p>
        </w:tc>
        <w:tc>
          <w:tcPr>
            <w:tcW w:w="5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6"/>
                <w:szCs w:val="16"/>
                <w:b w:val="1"/>
                <w:bCs w:val="1"/>
                <w:color w:val="auto"/>
                <w:w w:val="94"/>
              </w:rPr>
              <w:t>March 31,</w:t>
            </w:r>
          </w:p>
        </w:tc>
        <w:tc>
          <w:tcPr>
            <w:tcW w:w="420" w:type="dxa"/>
            <w:vAlign w:val="bottom"/>
            <w:tcBorders>
              <w:bottom w:val="single" w:sz="8" w:color="auto"/>
            </w:tcBorders>
          </w:tcPr>
          <w:p>
            <w:pPr>
              <w:spacing w:after="0"/>
              <w:rPr>
                <w:sz w:val="17"/>
                <w:szCs w:val="17"/>
                <w:color w:val="auto"/>
              </w:rPr>
            </w:pPr>
          </w:p>
        </w:tc>
      </w:tr>
      <w:tr>
        <w:trPr>
          <w:trHeight w:val="169"/>
        </w:trPr>
        <w:tc>
          <w:tcPr>
            <w:tcW w:w="578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940" w:type="dxa"/>
            <w:vAlign w:val="bottom"/>
            <w:tcBorders>
              <w:bottom w:val="single" w:sz="8" w:color="auto"/>
            </w:tcBorders>
          </w:tcPr>
          <w:p>
            <w:pPr>
              <w:jc w:val="right"/>
              <w:ind w:right="241"/>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52"/>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ind w:right="261"/>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2"/>
              <w:spacing w:after="0" w:line="169" w:lineRule="exact"/>
              <w:rPr>
                <w:sz w:val="20"/>
                <w:szCs w:val="20"/>
                <w:color w:val="auto"/>
              </w:rPr>
            </w:pPr>
            <w:r>
              <w:rPr>
                <w:rFonts w:ascii="Arial" w:cs="Arial" w:eastAsia="Arial" w:hAnsi="Arial"/>
                <w:sz w:val="16"/>
                <w:szCs w:val="16"/>
                <w:b w:val="1"/>
                <w:bCs w:val="1"/>
                <w:color w:val="auto"/>
                <w:w w:val="84"/>
              </w:rPr>
              <w:t>2017</w:t>
            </w:r>
          </w:p>
        </w:tc>
      </w:tr>
      <w:tr>
        <w:trPr>
          <w:trHeight w:val="237"/>
        </w:trPr>
        <w:tc>
          <w:tcPr>
            <w:tcW w:w="57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3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3"/>
          </w:tcPr>
          <w:p>
            <w:pPr>
              <w:ind w:left="140"/>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420" w:type="dxa"/>
            <w:vAlign w:val="bottom"/>
          </w:tcPr>
          <w:p>
            <w:pPr>
              <w:spacing w:after="0"/>
              <w:rPr>
                <w:sz w:val="20"/>
                <w:szCs w:val="20"/>
                <w:color w:val="auto"/>
              </w:rPr>
            </w:pPr>
          </w:p>
        </w:tc>
      </w:tr>
      <w:tr>
        <w:trPr>
          <w:trHeight w:val="216"/>
        </w:trPr>
        <w:tc>
          <w:tcPr>
            <w:tcW w:w="57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FLEET DATA*:</w:t>
            </w:r>
          </w:p>
        </w:tc>
        <w:tc>
          <w:tcPr>
            <w:tcW w:w="9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r>
      <w:tr>
        <w:trPr>
          <w:trHeight w:val="242"/>
        </w:trPr>
        <w:tc>
          <w:tcPr>
            <w:tcW w:w="5780" w:type="dxa"/>
            <w:vAlign w:val="bottom"/>
          </w:tcPr>
          <w:p>
            <w:pPr>
              <w:spacing w:after="0"/>
              <w:rPr>
                <w:sz w:val="20"/>
                <w:szCs w:val="20"/>
                <w:color w:val="auto"/>
              </w:rPr>
            </w:pPr>
            <w:r>
              <w:rPr>
                <w:rFonts w:ascii="Arial" w:cs="Arial" w:eastAsia="Arial" w:hAnsi="Arial"/>
                <w:sz w:val="18"/>
                <w:szCs w:val="18"/>
                <w:color w:val="auto"/>
              </w:rPr>
              <w:t>Number of LNG carriers at end of period</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4"/>
        </w:trPr>
        <w:tc>
          <w:tcPr>
            <w:tcW w:w="578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LNG carriers during period</w:t>
            </w:r>
          </w:p>
        </w:tc>
        <w:tc>
          <w:tcPr>
            <w:tcW w:w="94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7.1</w:t>
            </w:r>
          </w:p>
        </w:tc>
        <w:tc>
          <w:tcPr>
            <w:tcW w:w="126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9</w:t>
            </w:r>
          </w:p>
        </w:tc>
        <w:tc>
          <w:tcPr>
            <w:tcW w:w="30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9</w:t>
            </w:r>
          </w:p>
        </w:tc>
        <w:tc>
          <w:tcPr>
            <w:tcW w:w="3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w:t>
            </w:r>
          </w:p>
        </w:tc>
      </w:tr>
      <w:tr>
        <w:trPr>
          <w:trHeight w:val="242"/>
        </w:trPr>
        <w:tc>
          <w:tcPr>
            <w:tcW w:w="5780" w:type="dxa"/>
            <w:vAlign w:val="bottom"/>
          </w:tcPr>
          <w:p>
            <w:pPr>
              <w:spacing w:after="0"/>
              <w:rPr>
                <w:sz w:val="20"/>
                <w:szCs w:val="20"/>
                <w:color w:val="auto"/>
              </w:rPr>
            </w:pPr>
            <w:r>
              <w:rPr>
                <w:rFonts w:ascii="Arial" w:cs="Arial" w:eastAsia="Arial" w:hAnsi="Arial"/>
                <w:sz w:val="18"/>
                <w:szCs w:val="18"/>
                <w:color w:val="auto"/>
              </w:rPr>
              <w:t>Average age of LNG carriers (years)</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4"/>
        </w:trPr>
        <w:tc>
          <w:tcPr>
            <w:tcW w:w="5780" w:type="dxa"/>
            <w:vAlign w:val="bottom"/>
            <w:shd w:val="clear" w:color="auto" w:fill="E5FFFF"/>
          </w:tcPr>
          <w:p>
            <w:pPr>
              <w:spacing w:after="0"/>
              <w:rPr>
                <w:sz w:val="20"/>
                <w:szCs w:val="20"/>
                <w:color w:val="auto"/>
              </w:rPr>
            </w:pPr>
            <w:r>
              <w:rPr>
                <w:rFonts w:ascii="Arial" w:cs="Arial" w:eastAsia="Arial" w:hAnsi="Arial"/>
                <w:sz w:val="18"/>
                <w:szCs w:val="18"/>
                <w:color w:val="auto"/>
              </w:rPr>
              <w:t>Total calendar days of fleet for the period</w:t>
            </w:r>
          </w:p>
        </w:tc>
        <w:tc>
          <w:tcPr>
            <w:tcW w:w="94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2,595</w:t>
            </w:r>
          </w:p>
        </w:tc>
        <w:tc>
          <w:tcPr>
            <w:tcW w:w="126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3,285</w:t>
            </w:r>
          </w:p>
        </w:tc>
        <w:tc>
          <w:tcPr>
            <w:tcW w:w="30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3,294</w:t>
            </w:r>
          </w:p>
        </w:tc>
        <w:tc>
          <w:tcPr>
            <w:tcW w:w="13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819</w:t>
            </w:r>
          </w:p>
        </w:tc>
        <w:tc>
          <w:tcPr>
            <w:tcW w:w="3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810</w:t>
            </w:r>
          </w:p>
        </w:tc>
      </w:tr>
      <w:tr>
        <w:trPr>
          <w:trHeight w:val="241"/>
        </w:trPr>
        <w:tc>
          <w:tcPr>
            <w:tcW w:w="5780" w:type="dxa"/>
            <w:vAlign w:val="bottom"/>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9"/>
                <w:szCs w:val="9"/>
                <w:color w:val="auto"/>
              </w:rPr>
              <w:t>(4)</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2,586</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3,220</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3,249</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795</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810</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8013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80137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The Fleet Data above is calculated consistent with our IFRS Common Control Reported Results.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Three Months</w:t>
            </w:r>
          </w:p>
        </w:tc>
      </w:tr>
      <w:tr>
        <w:trPr>
          <w:trHeight w:val="176"/>
        </w:trPr>
        <w:tc>
          <w:tcPr>
            <w:tcW w:w="5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89"/>
              </w:rPr>
              <w:t>Ended</w:t>
            </w:r>
          </w:p>
        </w:tc>
      </w:tr>
      <w:tr>
        <w:trPr>
          <w:trHeight w:val="199"/>
        </w:trPr>
        <w:tc>
          <w:tcPr>
            <w:tcW w:w="5540" w:type="dxa"/>
            <w:vAlign w:val="bottom"/>
          </w:tcPr>
          <w:p>
            <w:pPr>
              <w:spacing w:after="0"/>
              <w:rPr>
                <w:sz w:val="17"/>
                <w:szCs w:val="17"/>
                <w:color w:val="auto"/>
              </w:rPr>
            </w:pPr>
          </w:p>
        </w:tc>
        <w:tc>
          <w:tcPr>
            <w:tcW w:w="31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w w:val="88"/>
              </w:rPr>
              <w:t>Year Ended December 31,</w:t>
            </w:r>
          </w:p>
        </w:tc>
        <w:tc>
          <w:tcPr>
            <w:tcW w:w="280" w:type="dxa"/>
            <w:vAlign w:val="bottom"/>
          </w:tcPr>
          <w:p>
            <w:pPr>
              <w:spacing w:after="0"/>
              <w:rPr>
                <w:sz w:val="17"/>
                <w:szCs w:val="17"/>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March 31,</w:t>
            </w:r>
          </w:p>
        </w:tc>
      </w:tr>
      <w:tr>
        <w:trPr>
          <w:trHeight w:val="169"/>
        </w:trPr>
        <w:tc>
          <w:tcPr>
            <w:tcW w:w="5540" w:type="dxa"/>
            <w:vAlign w:val="bottom"/>
          </w:tcPr>
          <w:p>
            <w:pPr>
              <w:spacing w:after="0"/>
              <w:rPr>
                <w:sz w:val="14"/>
                <w:szCs w:val="14"/>
                <w:color w:val="auto"/>
              </w:rPr>
            </w:pPr>
          </w:p>
        </w:tc>
        <w:tc>
          <w:tcPr>
            <w:tcW w:w="880" w:type="dxa"/>
            <w:vAlign w:val="bottom"/>
          </w:tcPr>
          <w:p>
            <w:pPr>
              <w:jc w:val="right"/>
              <w:ind w:right="215"/>
              <w:spacing w:after="0" w:line="169" w:lineRule="exact"/>
              <w:rPr>
                <w:sz w:val="20"/>
                <w:szCs w:val="20"/>
                <w:color w:val="auto"/>
              </w:rPr>
            </w:pPr>
            <w:r>
              <w:rPr>
                <w:rFonts w:ascii="Arial" w:cs="Arial" w:eastAsia="Arial" w:hAnsi="Arial"/>
                <w:sz w:val="16"/>
                <w:szCs w:val="16"/>
                <w:b w:val="1"/>
                <w:bCs w:val="1"/>
                <w:color w:val="auto"/>
              </w:rPr>
              <w:t>2014</w:t>
            </w:r>
          </w:p>
        </w:tc>
        <w:tc>
          <w:tcPr>
            <w:tcW w:w="1160" w:type="dxa"/>
            <w:vAlign w:val="bottom"/>
            <w:gridSpan w:val="2"/>
          </w:tcPr>
          <w:p>
            <w:pPr>
              <w:jc w:val="center"/>
              <w:ind w:left="172"/>
              <w:spacing w:after="0" w:line="169" w:lineRule="exact"/>
              <w:rPr>
                <w:sz w:val="20"/>
                <w:szCs w:val="20"/>
                <w:color w:val="auto"/>
              </w:rPr>
            </w:pPr>
            <w:r>
              <w:rPr>
                <w:rFonts w:ascii="Arial" w:cs="Arial" w:eastAsia="Arial" w:hAnsi="Arial"/>
                <w:sz w:val="16"/>
                <w:szCs w:val="16"/>
                <w:b w:val="1"/>
                <w:bCs w:val="1"/>
                <w:color w:val="auto"/>
                <w:w w:val="84"/>
              </w:rPr>
              <w:t>2015</w:t>
            </w:r>
          </w:p>
        </w:tc>
        <w:tc>
          <w:tcPr>
            <w:tcW w:w="1120" w:type="dxa"/>
            <w:vAlign w:val="bottom"/>
            <w:gridSpan w:val="2"/>
          </w:tcPr>
          <w:p>
            <w:pPr>
              <w:jc w:val="right"/>
              <w:ind w:right="280"/>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880" w:type="dxa"/>
            <w:vAlign w:val="bottom"/>
          </w:tcPr>
          <w:p>
            <w:pPr>
              <w:jc w:val="right"/>
              <w:ind w:right="221"/>
              <w:spacing w:after="0" w:line="169" w:lineRule="exact"/>
              <w:rPr>
                <w:sz w:val="20"/>
                <w:szCs w:val="20"/>
                <w:color w:val="auto"/>
              </w:rPr>
            </w:pPr>
            <w:r>
              <w:rPr>
                <w:rFonts w:ascii="Arial" w:cs="Arial" w:eastAsia="Arial" w:hAnsi="Arial"/>
                <w:sz w:val="16"/>
                <w:szCs w:val="16"/>
                <w:b w:val="1"/>
                <w:bCs w:val="1"/>
                <w:color w:val="auto"/>
              </w:rPr>
              <w:t>2016</w:t>
            </w:r>
          </w:p>
        </w:tc>
        <w:tc>
          <w:tcPr>
            <w:tcW w:w="1100" w:type="dxa"/>
            <w:vAlign w:val="bottom"/>
            <w:gridSpan w:val="2"/>
          </w:tcPr>
          <w:p>
            <w:pPr>
              <w:jc w:val="right"/>
              <w:ind w:right="171"/>
              <w:spacing w:after="0" w:line="169" w:lineRule="exact"/>
              <w:rPr>
                <w:sz w:val="20"/>
                <w:szCs w:val="20"/>
                <w:color w:val="auto"/>
              </w:rPr>
            </w:pPr>
            <w:r>
              <w:rPr>
                <w:rFonts w:ascii="Arial" w:cs="Arial" w:eastAsia="Arial" w:hAnsi="Arial"/>
                <w:sz w:val="16"/>
                <w:szCs w:val="16"/>
                <w:b w:val="1"/>
                <w:bCs w:val="1"/>
                <w:color w:val="auto"/>
              </w:rPr>
              <w:t>2017</w:t>
            </w:r>
          </w:p>
        </w:tc>
      </w:tr>
      <w:tr>
        <w:trPr>
          <w:trHeight w:val="242"/>
        </w:trPr>
        <w:tc>
          <w:tcPr>
            <w:tcW w:w="5540" w:type="dxa"/>
            <w:vAlign w:val="bottom"/>
          </w:tcPr>
          <w:p>
            <w:pPr>
              <w:spacing w:after="0"/>
              <w:rPr>
                <w:sz w:val="21"/>
                <w:szCs w:val="21"/>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280" w:type="dxa"/>
            <w:vAlign w:val="bottom"/>
          </w:tcPr>
          <w:p>
            <w:pPr>
              <w:spacing w:after="0"/>
              <w:rPr>
                <w:sz w:val="21"/>
                <w:szCs w:val="21"/>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28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2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38"/>
        </w:trPr>
        <w:tc>
          <w:tcPr>
            <w:tcW w:w="5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5"/>
          </w:tcPr>
          <w:p>
            <w:pPr>
              <w:jc w:val="right"/>
              <w:ind w:right="561"/>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55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OTHER FINANCIAL DATA:</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2"/>
        </w:trPr>
        <w:tc>
          <w:tcPr>
            <w:tcW w:w="5540" w:type="dxa"/>
            <w:vAlign w:val="bottom"/>
          </w:tcPr>
          <w:p>
            <w:pPr>
              <w:ind w:left="160"/>
              <w:spacing w:after="0"/>
              <w:rPr>
                <w:sz w:val="20"/>
                <w:szCs w:val="20"/>
                <w:color w:val="auto"/>
              </w:rPr>
            </w:pPr>
            <w:r>
              <w:rPr>
                <w:rFonts w:ascii="Arial" w:cs="Arial" w:eastAsia="Arial" w:hAnsi="Arial"/>
                <w:sz w:val="18"/>
                <w:szCs w:val="18"/>
                <w:color w:val="auto"/>
              </w:rPr>
              <w:t>EBITDA</w:t>
            </w:r>
            <w:r>
              <w:rPr>
                <w:rFonts w:ascii="Arial" w:cs="Arial" w:eastAsia="Arial" w:hAnsi="Arial"/>
                <w:sz w:val="9"/>
                <w:szCs w:val="9"/>
                <w:color w:val="auto"/>
              </w:rPr>
              <w:t>(5)</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w w:val="89"/>
              </w:rPr>
              <w:t>$ 139,191</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$ 161,947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$ 165,890</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  39,638</w:t>
            </w:r>
          </w:p>
        </w:tc>
        <w:tc>
          <w:tcPr>
            <w:tcW w:w="1100" w:type="dxa"/>
            <w:vAlign w:val="bottom"/>
            <w:gridSpan w:val="2"/>
          </w:tcPr>
          <w:p>
            <w:pPr>
              <w:jc w:val="right"/>
              <w:ind w:right="111"/>
              <w:spacing w:after="0"/>
              <w:rPr>
                <w:sz w:val="20"/>
                <w:szCs w:val="20"/>
                <w:color w:val="auto"/>
              </w:rPr>
            </w:pPr>
            <w:r>
              <w:rPr>
                <w:rFonts w:ascii="Arial" w:cs="Arial" w:eastAsia="Arial" w:hAnsi="Arial"/>
                <w:sz w:val="18"/>
                <w:szCs w:val="18"/>
                <w:color w:val="auto"/>
              </w:rPr>
              <w:t>$ 42,026</w:t>
            </w:r>
          </w:p>
        </w:tc>
      </w:tr>
      <w:tr>
        <w:trPr>
          <w:trHeight w:val="217"/>
        </w:trPr>
        <w:tc>
          <w:tcPr>
            <w:tcW w:w="55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Capital expenditures:</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2"/>
        </w:trPr>
        <w:tc>
          <w:tcPr>
            <w:tcW w:w="5540" w:type="dxa"/>
            <w:vAlign w:val="bottom"/>
          </w:tcPr>
          <w:p>
            <w:pPr>
              <w:ind w:left="320"/>
              <w:spacing w:after="0"/>
              <w:rPr>
                <w:sz w:val="20"/>
                <w:szCs w:val="20"/>
                <w:color w:val="auto"/>
              </w:rPr>
            </w:pPr>
            <w:r>
              <w:rPr>
                <w:rFonts w:ascii="Arial" w:cs="Arial" w:eastAsia="Arial" w:hAnsi="Arial"/>
                <w:sz w:val="18"/>
                <w:szCs w:val="18"/>
                <w:color w:val="auto"/>
              </w:rPr>
              <w:t>Payment for vessels and vessel additions</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789,178</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7,317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5,297</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1,172</w:t>
            </w:r>
          </w:p>
        </w:tc>
        <w:tc>
          <w:tcPr>
            <w:tcW w:w="280" w:type="dxa"/>
            <w:vAlign w:val="bottom"/>
          </w:tcPr>
          <w:p>
            <w:pPr>
              <w:spacing w:after="0"/>
              <w:rPr>
                <w:sz w:val="21"/>
                <w:szCs w:val="21"/>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44"/>
        </w:trPr>
        <w:tc>
          <w:tcPr>
            <w:tcW w:w="5540" w:type="dxa"/>
            <w:vAlign w:val="bottom"/>
            <w:shd w:val="clear" w:color="auto" w:fill="E5FFFF"/>
          </w:tcPr>
          <w:p>
            <w:pPr>
              <w:ind w:left="320"/>
              <w:spacing w:after="0"/>
              <w:rPr>
                <w:sz w:val="20"/>
                <w:szCs w:val="20"/>
                <w:color w:val="auto"/>
              </w:rPr>
            </w:pPr>
            <w:r>
              <w:rPr>
                <w:rFonts w:ascii="Arial" w:cs="Arial" w:eastAsia="Arial" w:hAnsi="Arial"/>
                <w:sz w:val="18"/>
                <w:szCs w:val="18"/>
                <w:color w:val="auto"/>
              </w:rPr>
              <w:t>Distributable cash flow</w:t>
            </w:r>
            <w:r>
              <w:rPr>
                <w:rFonts w:ascii="Arial" w:cs="Arial" w:eastAsia="Arial" w:hAnsi="Arial"/>
                <w:sz w:val="9"/>
                <w:szCs w:val="9"/>
                <w:color w:val="auto"/>
              </w:rPr>
              <w:t>(5)</w:t>
            </w:r>
          </w:p>
        </w:tc>
        <w:tc>
          <w:tcPr>
            <w:tcW w:w="880" w:type="dxa"/>
            <w:vAlign w:val="bottom"/>
            <w:shd w:val="clear" w:color="auto" w:fill="E5FFFF"/>
          </w:tcPr>
          <w:p>
            <w:pPr>
              <w:jc w:val="right"/>
              <w:ind w:right="55"/>
              <w:spacing w:after="0"/>
              <w:rPr>
                <w:sz w:val="20"/>
                <w:szCs w:val="20"/>
                <w:color w:val="auto"/>
              </w:rPr>
            </w:pPr>
            <w:r>
              <w:rPr>
                <w:rFonts w:ascii="Arial" w:cs="Arial" w:eastAsia="Arial" w:hAnsi="Arial"/>
                <w:sz w:val="18"/>
                <w:szCs w:val="18"/>
                <w:color w:val="auto"/>
              </w:rPr>
              <w:t>27,259</w:t>
            </w:r>
          </w:p>
        </w:tc>
        <w:tc>
          <w:tcPr>
            <w:tcW w:w="116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72,254</w:t>
            </w:r>
          </w:p>
        </w:tc>
        <w:tc>
          <w:tcPr>
            <w:tcW w:w="112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83,660</w:t>
            </w:r>
          </w:p>
        </w:tc>
        <w:tc>
          <w:tcPr>
            <w:tcW w:w="116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18,867</w:t>
            </w:r>
          </w:p>
        </w:tc>
        <w:tc>
          <w:tcPr>
            <w:tcW w:w="1100" w:type="dxa"/>
            <w:vAlign w:val="bottom"/>
            <w:gridSpan w:val="2"/>
            <w:shd w:val="clear" w:color="auto" w:fill="E5FFFF"/>
          </w:tcPr>
          <w:p>
            <w:pPr>
              <w:jc w:val="right"/>
              <w:ind w:right="111"/>
              <w:spacing w:after="0"/>
              <w:rPr>
                <w:sz w:val="20"/>
                <w:szCs w:val="20"/>
                <w:color w:val="auto"/>
              </w:rPr>
            </w:pPr>
            <w:r>
              <w:rPr>
                <w:rFonts w:ascii="Arial" w:cs="Arial" w:eastAsia="Arial" w:hAnsi="Arial"/>
                <w:sz w:val="18"/>
                <w:szCs w:val="18"/>
                <w:color w:val="auto"/>
              </w:rPr>
              <w:t>23,496</w:t>
            </w:r>
          </w:p>
        </w:tc>
      </w:tr>
      <w:tr>
        <w:trPr>
          <w:trHeight w:val="242"/>
        </w:trPr>
        <w:tc>
          <w:tcPr>
            <w:tcW w:w="5540" w:type="dxa"/>
            <w:vAlign w:val="bottom"/>
          </w:tcPr>
          <w:p>
            <w:pPr>
              <w:ind w:left="320"/>
              <w:spacing w:after="0"/>
              <w:rPr>
                <w:sz w:val="20"/>
                <w:szCs w:val="20"/>
                <w:color w:val="auto"/>
              </w:rPr>
            </w:pPr>
            <w:r>
              <w:rPr>
                <w:rFonts w:ascii="Arial" w:cs="Arial" w:eastAsia="Arial" w:hAnsi="Arial"/>
                <w:sz w:val="18"/>
                <w:szCs w:val="18"/>
                <w:color w:val="auto"/>
              </w:rPr>
              <w:t>Cash distributions declared</w:t>
            </w:r>
          </w:p>
        </w:tc>
        <w:tc>
          <w:tcPr>
            <w:tcW w:w="880" w:type="dxa"/>
            <w:vAlign w:val="bottom"/>
          </w:tcPr>
          <w:p>
            <w:pPr>
              <w:jc w:val="right"/>
              <w:spacing w:after="0"/>
              <w:rPr>
                <w:sz w:val="20"/>
                <w:szCs w:val="20"/>
                <w:color w:val="auto"/>
              </w:rPr>
            </w:pPr>
            <w:r>
              <w:rPr>
                <w:rFonts w:ascii="Arial" w:cs="Arial" w:eastAsia="Arial" w:hAnsi="Arial"/>
                <w:sz w:val="18"/>
                <w:szCs w:val="18"/>
                <w:color w:val="auto"/>
              </w:rPr>
              <w:t>22,179</w:t>
            </w:r>
            <w:r>
              <w:rPr>
                <w:rFonts w:ascii="Arial" w:cs="Arial" w:eastAsia="Arial" w:hAnsi="Arial"/>
                <w:sz w:val="9"/>
                <w:szCs w:val="9"/>
                <w:color w:val="auto"/>
              </w:rPr>
              <w:t>(6)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58,992</w:t>
            </w:r>
            <w:r>
              <w:rPr>
                <w:rFonts w:ascii="Arial" w:cs="Arial" w:eastAsia="Arial" w:hAnsi="Arial"/>
                <w:sz w:val="9"/>
                <w:szCs w:val="9"/>
                <w:color w:val="auto"/>
              </w:rPr>
              <w:t>(7)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65,577</w:t>
            </w:r>
            <w:r>
              <w:rPr>
                <w:rFonts w:ascii="Arial" w:cs="Arial" w:eastAsia="Arial" w:hAnsi="Arial"/>
                <w:sz w:val="9"/>
                <w:szCs w:val="9"/>
                <w:color w:val="auto"/>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r>
        <w:trPr>
          <w:trHeight w:val="244"/>
        </w:trPr>
        <w:tc>
          <w:tcPr>
            <w:tcW w:w="5540" w:type="dxa"/>
            <w:vAlign w:val="bottom"/>
            <w:shd w:val="clear" w:color="auto" w:fill="E5FFFF"/>
          </w:tcPr>
          <w:p>
            <w:pPr>
              <w:ind w:left="320"/>
              <w:spacing w:after="0"/>
              <w:rPr>
                <w:sz w:val="20"/>
                <w:szCs w:val="20"/>
                <w:color w:val="auto"/>
              </w:rPr>
            </w:pPr>
            <w:r>
              <w:rPr>
                <w:rFonts w:ascii="Arial" w:cs="Arial" w:eastAsia="Arial" w:hAnsi="Arial"/>
                <w:sz w:val="18"/>
                <w:szCs w:val="18"/>
                <w:color w:val="auto"/>
              </w:rPr>
              <w:t>Cash distributions paid</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23,169</w:t>
            </w:r>
            <w:r>
              <w:rPr>
                <w:rFonts w:ascii="Arial" w:cs="Arial" w:eastAsia="Arial" w:hAnsi="Arial"/>
                <w:sz w:val="9"/>
                <w:szCs w:val="9"/>
                <w:color w:val="auto"/>
              </w:rPr>
              <w:t>(6)</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60,002</w:t>
            </w:r>
            <w:r>
              <w:rPr>
                <w:rFonts w:ascii="Arial" w:cs="Arial" w:eastAsia="Arial" w:hAnsi="Arial"/>
                <w:sz w:val="9"/>
                <w:szCs w:val="9"/>
                <w:color w:val="auto"/>
              </w:rPr>
              <w:t>(7)</w:t>
            </w:r>
          </w:p>
        </w:tc>
        <w:tc>
          <w:tcPr>
            <w:tcW w:w="11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73,377</w:t>
            </w:r>
            <w:r>
              <w:rPr>
                <w:rFonts w:ascii="Arial" w:cs="Arial" w:eastAsia="Arial" w:hAnsi="Arial"/>
                <w:sz w:val="9"/>
                <w:szCs w:val="9"/>
                <w:color w:val="auto"/>
              </w:rPr>
              <w:t>(8)</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Partnership Performance Results</w:t>
      </w:r>
    </w:p>
    <w:p>
      <w:pPr>
        <w:spacing w:after="0" w:line="125" w:lineRule="exact"/>
        <w:rPr>
          <w:sz w:val="20"/>
          <w:szCs w:val="20"/>
          <w:color w:val="auto"/>
        </w:rPr>
      </w:pPr>
    </w:p>
    <w:p>
      <w:pPr>
        <w:ind w:right="200" w:firstLine="357"/>
        <w:spacing w:after="0" w:line="269" w:lineRule="auto"/>
        <w:rPr>
          <w:sz w:val="20"/>
          <w:szCs w:val="20"/>
          <w:color w:val="auto"/>
        </w:rPr>
      </w:pPr>
      <w:r>
        <w:rPr>
          <w:rFonts w:ascii="Arial" w:cs="Arial" w:eastAsia="Arial" w:hAnsi="Arial"/>
          <w:sz w:val="18"/>
          <w:szCs w:val="18"/>
          <w:color w:val="auto"/>
        </w:rPr>
        <w:t>The financial and operating data below exclude amounts related to vessels currently owned by the Partnership for the periods prior to their respective transfer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w:t>
      </w:r>
    </w:p>
    <w:tbl>
      <w:tblPr>
        <w:tblLayout w:type="fixed"/>
        <w:tblInd w:w="0" w:type="dxa"/>
        <w:tblCellMar>
          <w:top w:w="0" w:type="dxa"/>
          <w:left w:w="0" w:type="dxa"/>
          <w:bottom w:w="0" w:type="dxa"/>
          <w:right w:w="0" w:type="dxa"/>
        </w:tblCellMar>
      </w:tblPr>
      <w:tr>
        <w:trPr>
          <w:trHeight w:val="178"/>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4"/>
          </w:tcPr>
          <w:p>
            <w:pPr>
              <w:jc w:val="right"/>
              <w:ind w:right="392"/>
              <w:spacing w:after="0" w:line="178" w:lineRule="exact"/>
              <w:rPr>
                <w:sz w:val="20"/>
                <w:szCs w:val="20"/>
                <w:color w:val="auto"/>
              </w:rPr>
            </w:pPr>
            <w:r>
              <w:rPr>
                <w:rFonts w:ascii="Arial" w:cs="Arial" w:eastAsia="Arial" w:hAnsi="Arial"/>
                <w:sz w:val="16"/>
                <w:szCs w:val="16"/>
                <w:b w:val="1"/>
                <w:bCs w:val="1"/>
                <w:color w:val="auto"/>
              </w:rPr>
              <w:t>Three Months</w:t>
            </w:r>
          </w:p>
        </w:tc>
      </w:tr>
      <w:tr>
        <w:trPr>
          <w:trHeight w:val="199"/>
        </w:trPr>
        <w:tc>
          <w:tcPr>
            <w:tcW w:w="5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7"/>
          </w:tcPr>
          <w:p>
            <w:pPr>
              <w:jc w:val="right"/>
              <w:ind w:right="492"/>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6"/>
                <w:szCs w:val="16"/>
                <w:b w:val="1"/>
                <w:bCs w:val="1"/>
                <w:color w:val="auto"/>
              </w:rPr>
              <w:t>Ended March 31,</w:t>
            </w:r>
          </w:p>
        </w:tc>
      </w:tr>
      <w:tr>
        <w:trPr>
          <w:trHeight w:val="169"/>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2"/>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2"/>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7"/>
          </w:tcPr>
          <w:p>
            <w:pPr>
              <w:jc w:val="right"/>
              <w:ind w:right="393"/>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99"/>
        </w:trPr>
        <w:tc>
          <w:tcPr>
            <w:tcW w:w="5860" w:type="dxa"/>
            <w:vAlign w:val="bottom"/>
            <w:shd w:val="clear" w:color="auto" w:fill="E5FFFF"/>
          </w:tcPr>
          <w:p>
            <w:pPr>
              <w:spacing w:after="0" w:line="199" w:lineRule="exact"/>
              <w:rPr>
                <w:sz w:val="20"/>
                <w:szCs w:val="20"/>
                <w:color w:val="auto"/>
              </w:rPr>
            </w:pPr>
            <w:r>
              <w:rPr>
                <w:rFonts w:ascii="Arial" w:cs="Arial" w:eastAsia="Arial" w:hAnsi="Arial"/>
                <w:sz w:val="18"/>
                <w:szCs w:val="18"/>
                <w:b w:val="1"/>
                <w:bCs w:val="1"/>
                <w:color w:val="auto"/>
              </w:rPr>
              <w:t>PARTNERSHIP PERFORMANCE STATEMENT OF PROFIT OR</w:t>
            </w:r>
          </w:p>
        </w:tc>
        <w:tc>
          <w:tcPr>
            <w:tcW w:w="1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r>
      <w:tr>
        <w:trPr>
          <w:trHeight w:val="233"/>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LOSS</w:t>
            </w:r>
            <w:r>
              <w:rPr>
                <w:rFonts w:ascii="Arial" w:cs="Arial" w:eastAsia="Arial" w:hAnsi="Arial"/>
                <w:sz w:val="9"/>
                <w:szCs w:val="9"/>
                <w:b w:val="1"/>
                <w:bCs w:val="1"/>
                <w:color w:val="auto"/>
              </w:rPr>
              <w:t>(5)</w:t>
            </w:r>
          </w:p>
        </w:tc>
        <w:tc>
          <w:tcPr>
            <w:tcW w:w="12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r>
      <w:tr>
        <w:trPr>
          <w:trHeight w:val="242"/>
        </w:trPr>
        <w:tc>
          <w:tcPr>
            <w:tcW w:w="586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65,931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168,927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206,424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8"/>
              </w:rPr>
              <w:t>49,358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56,993</w:t>
            </w:r>
          </w:p>
        </w:tc>
      </w:tr>
      <w:tr>
        <w:trPr>
          <w:trHeight w:val="244"/>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Vessel operating costs</w:t>
            </w: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(12,226)</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(33,656)</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(43,479)</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(11,394)</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2"/>
              </w:rPr>
              <w:t>(11,168)</w:t>
            </w:r>
          </w:p>
        </w:tc>
      </w:tr>
      <w:tr>
        <w:trPr>
          <w:trHeight w:val="242"/>
        </w:trPr>
        <w:tc>
          <w:tcPr>
            <w:tcW w:w="5860" w:type="dxa"/>
            <w:vAlign w:val="bottom"/>
          </w:tcPr>
          <w:p>
            <w:pPr>
              <w:ind w:left="160"/>
              <w:spacing w:after="0"/>
              <w:rPr>
                <w:sz w:val="20"/>
                <w:szCs w:val="20"/>
                <w:color w:val="auto"/>
              </w:rPr>
            </w:pPr>
            <w:r>
              <w:rPr>
                <w:rFonts w:ascii="Arial" w:cs="Arial" w:eastAsia="Arial" w:hAnsi="Arial"/>
                <w:sz w:val="18"/>
                <w:szCs w:val="18"/>
                <w:color w:val="auto"/>
              </w:rPr>
              <w:t>Voyage expenses and commissions</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44"/>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(13,352)</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(35,981)</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(45,230)</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(11,103)</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2"/>
              </w:rPr>
              <w:t>(12,362)</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(10,383)</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(11,219)</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r>
      <w:tr>
        <w:trPr>
          <w:trHeight w:val="242"/>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Profit from operations</w:t>
            </w:r>
          </w:p>
        </w:tc>
        <w:tc>
          <w:tcPr>
            <w:tcW w:w="12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8"/>
              </w:rPr>
              <w:t>34,945</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86,805</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103,655</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b w:val="1"/>
                <w:bCs w:val="1"/>
                <w:color w:val="auto"/>
                <w:w w:val="98"/>
              </w:rPr>
              <w:t>23,354</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b w:val="1"/>
                <w:bCs w:val="1"/>
                <w:color w:val="auto"/>
              </w:rPr>
              <w:t>29,664</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color w:val="auto"/>
              </w:rPr>
              <w:t>Financial costs</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(15,206)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(21,789)</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(30,187)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(8,782)</w:t>
            </w:r>
          </w:p>
        </w:tc>
      </w:tr>
      <w:tr>
        <w:trPr>
          <w:trHeight w:val="244"/>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Financial income</w:t>
            </w: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18</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117</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color w:val="auto"/>
              </w:rPr>
              <w:t>(Loss)/gain on interest rate swaps</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r>
      <w:tr>
        <w:trPr>
          <w:trHeight w:val="242"/>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Total other expenses, net</w:t>
            </w:r>
          </w:p>
        </w:tc>
        <w:tc>
          <w:tcPr>
            <w:tcW w:w="12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(20,401)</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5"/>
              </w:rPr>
              <w:t>(21,765)</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5"/>
              </w:rPr>
              <w:t>(26,385)</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(7,163)</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(8,642)</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b w:val="1"/>
                <w:bCs w:val="1"/>
                <w:color w:val="auto"/>
              </w:rPr>
              <w:t>Partnership’s profit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8"/>
              </w:rPr>
              <w:t>14,544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65,040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77,270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w w:val="98"/>
              </w:rPr>
              <w:t>16,191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21,022</w:t>
            </w:r>
          </w:p>
        </w:tc>
      </w:tr>
      <w:tr>
        <w:trPr>
          <w:trHeight w:val="20"/>
        </w:trPr>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07" w:right="4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Three Months</w:t>
            </w:r>
          </w:p>
        </w:tc>
      </w:tr>
      <w:tr>
        <w:trPr>
          <w:trHeight w:val="176"/>
        </w:trPr>
        <w:tc>
          <w:tcPr>
            <w:tcW w:w="7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gridSpan w:val="3"/>
          </w:tcPr>
          <w:p>
            <w:pPr>
              <w:jc w:val="center"/>
              <w:ind w:left="55"/>
              <w:spacing w:after="0" w:line="176" w:lineRule="exact"/>
              <w:rPr>
                <w:sz w:val="20"/>
                <w:szCs w:val="20"/>
                <w:color w:val="auto"/>
              </w:rPr>
            </w:pPr>
            <w:r>
              <w:rPr>
                <w:rFonts w:ascii="Arial" w:cs="Arial" w:eastAsia="Arial" w:hAnsi="Arial"/>
                <w:sz w:val="16"/>
                <w:szCs w:val="16"/>
                <w:b w:val="1"/>
                <w:bCs w:val="1"/>
                <w:color w:val="auto"/>
                <w:w w:val="90"/>
              </w:rPr>
              <w:t>Year Ended</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3"/>
          </w:tcPr>
          <w:p>
            <w:pPr>
              <w:jc w:val="center"/>
              <w:ind w:right="380"/>
              <w:spacing w:after="0" w:line="176" w:lineRule="exact"/>
              <w:rPr>
                <w:sz w:val="20"/>
                <w:szCs w:val="20"/>
                <w:color w:val="auto"/>
              </w:rPr>
            </w:pPr>
            <w:r>
              <w:rPr>
                <w:rFonts w:ascii="Arial" w:cs="Arial" w:eastAsia="Arial" w:hAnsi="Arial"/>
                <w:sz w:val="16"/>
                <w:szCs w:val="16"/>
                <w:b w:val="1"/>
                <w:bCs w:val="1"/>
                <w:color w:val="auto"/>
                <w:w w:val="89"/>
              </w:rPr>
              <w:t>Ended</w:t>
            </w:r>
          </w:p>
        </w:tc>
      </w:tr>
      <w:tr>
        <w:trPr>
          <w:trHeight w:val="199"/>
        </w:trPr>
        <w:tc>
          <w:tcPr>
            <w:tcW w:w="7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6"/>
                <w:szCs w:val="16"/>
                <w:b w:val="1"/>
                <w:bCs w:val="1"/>
                <w:color w:val="auto"/>
                <w:w w:val="88"/>
              </w:rPr>
              <w:t>December 31,</w:t>
            </w:r>
          </w:p>
        </w:tc>
        <w:tc>
          <w:tcPr>
            <w:tcW w:w="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2"/>
              </w:rPr>
              <w:t>March 31,</w:t>
            </w:r>
          </w:p>
        </w:tc>
      </w:tr>
      <w:tr>
        <w:trPr>
          <w:trHeight w:val="169"/>
        </w:trPr>
        <w:tc>
          <w:tcPr>
            <w:tcW w:w="728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95"/>
              </w:rPr>
              <w:t>2014</w:t>
            </w:r>
          </w:p>
        </w:tc>
        <w:tc>
          <w:tcPr>
            <w:tcW w:w="860" w:type="dxa"/>
            <w:vAlign w:val="bottom"/>
            <w:gridSpan w:val="2"/>
          </w:tcPr>
          <w:p>
            <w:pPr>
              <w:jc w:val="right"/>
              <w:ind w:right="120"/>
              <w:spacing w:after="0" w:line="169" w:lineRule="exact"/>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4"/>
                <w:szCs w:val="14"/>
                <w:color w:val="auto"/>
              </w:rPr>
            </w:pPr>
          </w:p>
        </w:tc>
        <w:tc>
          <w:tcPr>
            <w:tcW w:w="560" w:type="dxa"/>
            <w:vAlign w:val="bottom"/>
          </w:tcPr>
          <w:p>
            <w:pPr>
              <w:jc w:val="right"/>
              <w:ind w:right="32"/>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95"/>
              </w:rPr>
              <w:t>2016</w:t>
            </w:r>
          </w:p>
        </w:tc>
        <w:tc>
          <w:tcPr>
            <w:tcW w:w="860" w:type="dxa"/>
            <w:vAlign w:val="bottom"/>
            <w:gridSpan w:val="3"/>
          </w:tcPr>
          <w:p>
            <w:pPr>
              <w:jc w:val="right"/>
              <w:ind w:right="100"/>
              <w:spacing w:after="0" w:line="169" w:lineRule="exact"/>
              <w:rPr>
                <w:sz w:val="20"/>
                <w:szCs w:val="20"/>
                <w:color w:val="auto"/>
              </w:rPr>
            </w:pPr>
            <w:r>
              <w:rPr>
                <w:rFonts w:ascii="Arial" w:cs="Arial" w:eastAsia="Arial" w:hAnsi="Arial"/>
                <w:sz w:val="16"/>
                <w:szCs w:val="16"/>
                <w:b w:val="1"/>
                <w:bCs w:val="1"/>
                <w:color w:val="auto"/>
              </w:rPr>
              <w:t>2017</w:t>
            </w:r>
          </w:p>
        </w:tc>
      </w:tr>
      <w:tr>
        <w:trPr>
          <w:trHeight w:val="210"/>
        </w:trPr>
        <w:tc>
          <w:tcPr>
            <w:tcW w:w="7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PARTNERSHIP PERFORMANCE FLEET DATA*:</w:t>
            </w:r>
          </w:p>
        </w:tc>
        <w:tc>
          <w:tcPr>
            <w:tcW w:w="40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4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6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80" w:type="dxa"/>
            <w:vAlign w:val="bottom"/>
            <w:tcBorders>
              <w:top w:val="single" w:sz="8" w:color="auto"/>
            </w:tcBorders>
            <w:shd w:val="clear" w:color="auto" w:fill="E5FFFF"/>
          </w:tcPr>
          <w:p>
            <w:pPr>
              <w:spacing w:after="0"/>
              <w:rPr>
                <w:sz w:val="18"/>
                <w:szCs w:val="18"/>
                <w:color w:val="auto"/>
              </w:rPr>
            </w:pPr>
          </w:p>
        </w:tc>
      </w:tr>
      <w:tr>
        <w:trPr>
          <w:trHeight w:val="242"/>
        </w:trPr>
        <w:tc>
          <w:tcPr>
            <w:tcW w:w="7280" w:type="dxa"/>
            <w:vAlign w:val="bottom"/>
          </w:tcPr>
          <w:p>
            <w:pPr>
              <w:spacing w:after="0"/>
              <w:rPr>
                <w:sz w:val="20"/>
                <w:szCs w:val="20"/>
                <w:color w:val="auto"/>
              </w:rPr>
            </w:pPr>
            <w:r>
              <w:rPr>
                <w:rFonts w:ascii="Arial" w:cs="Arial" w:eastAsia="Arial" w:hAnsi="Arial"/>
                <w:sz w:val="18"/>
                <w:szCs w:val="18"/>
                <w:color w:val="auto"/>
              </w:rPr>
              <w:t>Number of LNG carriers at end of period</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r>
      <w:tr>
        <w:trPr>
          <w:trHeight w:val="244"/>
        </w:trPr>
        <w:tc>
          <w:tcPr>
            <w:tcW w:w="728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LNG carriers during period</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8.2</w:t>
            </w: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86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9</w:t>
            </w:r>
          </w:p>
        </w:tc>
      </w:tr>
      <w:tr>
        <w:trPr>
          <w:trHeight w:val="242"/>
        </w:trPr>
        <w:tc>
          <w:tcPr>
            <w:tcW w:w="7280" w:type="dxa"/>
            <w:vAlign w:val="bottom"/>
          </w:tcPr>
          <w:p>
            <w:pPr>
              <w:spacing w:after="0"/>
              <w:rPr>
                <w:sz w:val="20"/>
                <w:szCs w:val="20"/>
                <w:color w:val="auto"/>
              </w:rPr>
            </w:pPr>
            <w:r>
              <w:rPr>
                <w:rFonts w:ascii="Arial" w:cs="Arial" w:eastAsia="Arial" w:hAnsi="Arial"/>
                <w:sz w:val="18"/>
                <w:szCs w:val="18"/>
                <w:color w:val="auto"/>
              </w:rPr>
              <w:t>Average age of LNG carriers (years)</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7.4</w:t>
            </w:r>
          </w:p>
        </w:tc>
      </w:tr>
      <w:tr>
        <w:trPr>
          <w:trHeight w:val="244"/>
        </w:trPr>
        <w:tc>
          <w:tcPr>
            <w:tcW w:w="7280" w:type="dxa"/>
            <w:vAlign w:val="bottom"/>
            <w:shd w:val="clear" w:color="auto" w:fill="E5FFFF"/>
          </w:tcPr>
          <w:p>
            <w:pPr>
              <w:spacing w:after="0"/>
              <w:rPr>
                <w:sz w:val="20"/>
                <w:szCs w:val="20"/>
                <w:color w:val="auto"/>
              </w:rPr>
            </w:pPr>
            <w:r>
              <w:rPr>
                <w:rFonts w:ascii="Arial" w:cs="Arial" w:eastAsia="Arial" w:hAnsi="Arial"/>
                <w:sz w:val="18"/>
                <w:szCs w:val="18"/>
                <w:color w:val="auto"/>
              </w:rPr>
              <w:t>Total calendar days of fleet for the period</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885</w:t>
            </w: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2,377</w:t>
            </w:r>
          </w:p>
        </w:tc>
        <w:tc>
          <w:tcPr>
            <w:tcW w:w="3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2,989</w:t>
            </w: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728</w:t>
            </w:r>
          </w:p>
        </w:tc>
        <w:tc>
          <w:tcPr>
            <w:tcW w:w="86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810</w:t>
            </w:r>
          </w:p>
        </w:tc>
      </w:tr>
      <w:tr>
        <w:trPr>
          <w:trHeight w:val="241"/>
        </w:trPr>
        <w:tc>
          <w:tcPr>
            <w:tcW w:w="7280" w:type="dxa"/>
            <w:vAlign w:val="bottom"/>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9"/>
                <w:szCs w:val="9"/>
                <w:color w:val="auto"/>
              </w:rPr>
              <w:t>(4)</w:t>
            </w:r>
          </w:p>
        </w:tc>
        <w:tc>
          <w:tcPr>
            <w:tcW w:w="400" w:type="dxa"/>
            <w:vAlign w:val="bottom"/>
          </w:tcPr>
          <w:p>
            <w:pPr>
              <w:jc w:val="right"/>
              <w:spacing w:after="0"/>
              <w:rPr>
                <w:sz w:val="20"/>
                <w:szCs w:val="20"/>
                <w:color w:val="auto"/>
              </w:rPr>
            </w:pPr>
            <w:r>
              <w:rPr>
                <w:rFonts w:ascii="Arial" w:cs="Arial" w:eastAsia="Arial" w:hAnsi="Arial"/>
                <w:sz w:val="18"/>
                <w:szCs w:val="18"/>
                <w:color w:val="auto"/>
              </w:rPr>
              <w:t>885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2,377</w:t>
            </w:r>
          </w:p>
        </w:tc>
        <w:tc>
          <w:tcPr>
            <w:tcW w:w="3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810</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6879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76879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The Partnership Performance Fleet Data above is calculated consistent with our Partnership Performance Results.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Three Months</w:t>
            </w:r>
          </w:p>
        </w:tc>
      </w:tr>
      <w:tr>
        <w:trPr>
          <w:trHeight w:val="176"/>
        </w:trPr>
        <w:tc>
          <w:tcPr>
            <w:tcW w:w="5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200"/>
              <w:spacing w:after="0" w:line="176" w:lineRule="exact"/>
              <w:rPr>
                <w:sz w:val="20"/>
                <w:szCs w:val="20"/>
                <w:color w:val="auto"/>
              </w:rPr>
            </w:pPr>
            <w:r>
              <w:rPr>
                <w:rFonts w:ascii="Arial" w:cs="Arial" w:eastAsia="Arial" w:hAnsi="Arial"/>
                <w:sz w:val="16"/>
                <w:szCs w:val="16"/>
                <w:b w:val="1"/>
                <w:bCs w:val="1"/>
                <w:color w:val="auto"/>
                <w:w w:val="90"/>
              </w:rPr>
              <w:t>Year Ended</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89"/>
              </w:rPr>
              <w:t>Ended</w:t>
            </w:r>
          </w:p>
        </w:tc>
      </w:tr>
      <w:tr>
        <w:trPr>
          <w:trHeight w:val="199"/>
        </w:trPr>
        <w:tc>
          <w:tcPr>
            <w:tcW w:w="57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c>
          <w:tcPr>
            <w:tcW w:w="8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r>
      <w:tr>
        <w:trPr>
          <w:trHeight w:val="169"/>
        </w:trPr>
        <w:tc>
          <w:tcPr>
            <w:tcW w:w="5720" w:type="dxa"/>
            <w:vAlign w:val="bottom"/>
          </w:tcPr>
          <w:p>
            <w:pPr>
              <w:spacing w:after="0"/>
              <w:rPr>
                <w:sz w:val="14"/>
                <w:szCs w:val="14"/>
                <w:color w:val="auto"/>
              </w:rPr>
            </w:pPr>
          </w:p>
        </w:tc>
        <w:tc>
          <w:tcPr>
            <w:tcW w:w="800" w:type="dxa"/>
            <w:vAlign w:val="bottom"/>
            <w:tcBorders>
              <w:bottom w:val="single" w:sz="8" w:color="auto"/>
            </w:tcBorders>
          </w:tcPr>
          <w:p>
            <w:pPr>
              <w:jc w:val="right"/>
              <w:ind w:right="153"/>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22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213"/>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ind w:right="141"/>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5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5"/>
          </w:tcPr>
          <w:p>
            <w:pPr>
              <w:jc w:val="right"/>
              <w:ind w:right="481"/>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57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OTHER PARTNERSHIP PERFORMANCE FINANCIAL DATA:</w:t>
            </w:r>
          </w:p>
        </w:tc>
        <w:tc>
          <w:tcPr>
            <w:tcW w:w="8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1"/>
        </w:trPr>
        <w:tc>
          <w:tcPr>
            <w:tcW w:w="572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9"/>
                <w:szCs w:val="9"/>
                <w:color w:val="auto"/>
              </w:rPr>
              <w:t>(5)</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w w:val="85"/>
              </w:rPr>
              <w:t>$ 48,297</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$ 122,786</w:t>
            </w:r>
          </w:p>
        </w:tc>
        <w:tc>
          <w:tcPr>
            <w:tcW w:w="280" w:type="dxa"/>
            <w:vAlign w:val="bottom"/>
          </w:tcPr>
          <w:p>
            <w:pPr>
              <w:spacing w:after="0"/>
              <w:rPr>
                <w:sz w:val="20"/>
                <w:szCs w:val="20"/>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w w:val="82"/>
              </w:rPr>
              <w:t>$ 148,885</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$ 34,457</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$ 42,026</w:t>
            </w:r>
          </w:p>
        </w:tc>
      </w:tr>
      <w:tr>
        <w:trPr>
          <w:trHeight w:val="218"/>
        </w:trPr>
        <w:tc>
          <w:tcPr>
            <w:tcW w:w="5720" w:type="dxa"/>
            <w:vAlign w:val="bottom"/>
            <w:shd w:val="clear" w:color="auto" w:fill="E5FFFF"/>
          </w:tcPr>
          <w:p>
            <w:pPr>
              <w:spacing w:after="0"/>
              <w:rPr>
                <w:sz w:val="20"/>
                <w:szCs w:val="20"/>
                <w:color w:val="auto"/>
              </w:rPr>
            </w:pPr>
            <w:r>
              <w:rPr>
                <w:rFonts w:ascii="Arial" w:cs="Arial" w:eastAsia="Arial" w:hAnsi="Arial"/>
                <w:sz w:val="18"/>
                <w:szCs w:val="18"/>
                <w:color w:val="auto"/>
              </w:rPr>
              <w:t>Capital expenditures:</w:t>
            </w:r>
          </w:p>
        </w:tc>
        <w:tc>
          <w:tcPr>
            <w:tcW w:w="8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2"/>
        </w:trPr>
        <w:tc>
          <w:tcPr>
            <w:tcW w:w="5720" w:type="dxa"/>
            <w:vAlign w:val="bottom"/>
          </w:tcPr>
          <w:p>
            <w:pPr>
              <w:ind w:left="160"/>
              <w:spacing w:after="0"/>
              <w:rPr>
                <w:sz w:val="20"/>
                <w:szCs w:val="20"/>
                <w:color w:val="auto"/>
              </w:rPr>
            </w:pPr>
            <w:r>
              <w:rPr>
                <w:rFonts w:ascii="Arial" w:cs="Arial" w:eastAsia="Arial" w:hAnsi="Arial"/>
                <w:sz w:val="18"/>
                <w:szCs w:val="18"/>
                <w:color w:val="auto"/>
              </w:rPr>
              <w:t>Distributable cash flow</w:t>
            </w:r>
            <w:r>
              <w:rPr>
                <w:rFonts w:ascii="Arial" w:cs="Arial" w:eastAsia="Arial" w:hAnsi="Arial"/>
                <w:sz w:val="9"/>
                <w:szCs w:val="9"/>
                <w:color w:val="auto"/>
              </w:rPr>
              <w:t>(5)</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27,259</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72,254</w:t>
            </w:r>
          </w:p>
        </w:tc>
        <w:tc>
          <w:tcPr>
            <w:tcW w:w="280" w:type="dxa"/>
            <w:vAlign w:val="bottom"/>
          </w:tcPr>
          <w:p>
            <w:pPr>
              <w:spacing w:after="0"/>
              <w:rPr>
                <w:sz w:val="21"/>
                <w:szCs w:val="21"/>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83,660</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18,867</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23,496</w:t>
            </w:r>
          </w:p>
        </w:tc>
      </w:tr>
      <w:tr>
        <w:trPr>
          <w:trHeight w:val="244"/>
        </w:trPr>
        <w:tc>
          <w:tcPr>
            <w:tcW w:w="57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Cash distributions declared</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13,369</w:t>
            </w:r>
            <w:r>
              <w:rPr>
                <w:rFonts w:ascii="Arial" w:cs="Arial" w:eastAsia="Arial" w:hAnsi="Arial"/>
                <w:sz w:val="9"/>
                <w:szCs w:val="9"/>
                <w:color w:val="auto"/>
              </w:rPr>
              <w:t>(11)</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51,192</w:t>
            </w:r>
            <w:r>
              <w:rPr>
                <w:rFonts w:ascii="Arial" w:cs="Arial" w:eastAsia="Arial" w:hAnsi="Arial"/>
                <w:sz w:val="9"/>
                <w:szCs w:val="9"/>
                <w:color w:val="auto"/>
              </w:rPr>
              <w:t>(12)</w:t>
            </w:r>
          </w:p>
        </w:tc>
        <w:tc>
          <w:tcPr>
            <w:tcW w:w="28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65,577</w:t>
            </w:r>
            <w:r>
              <w:rPr>
                <w:rFonts w:ascii="Arial" w:cs="Arial" w:eastAsia="Arial" w:hAnsi="Arial"/>
                <w:sz w:val="9"/>
                <w:szCs w:val="9"/>
                <w:color w:val="auto"/>
              </w:rPr>
              <w:t>(13)</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r>
        <w:trPr>
          <w:trHeight w:val="241"/>
        </w:trPr>
        <w:tc>
          <w:tcPr>
            <w:tcW w:w="5720" w:type="dxa"/>
            <w:vAlign w:val="bottom"/>
          </w:tcPr>
          <w:p>
            <w:pPr>
              <w:ind w:left="160"/>
              <w:spacing w:after="0"/>
              <w:rPr>
                <w:sz w:val="20"/>
                <w:szCs w:val="20"/>
                <w:color w:val="auto"/>
              </w:rPr>
            </w:pPr>
            <w:r>
              <w:rPr>
                <w:rFonts w:ascii="Arial" w:cs="Arial" w:eastAsia="Arial" w:hAnsi="Arial"/>
                <w:sz w:val="18"/>
                <w:szCs w:val="18"/>
                <w:color w:val="auto"/>
              </w:rPr>
              <w:t>Cash distributions paid</w:t>
            </w:r>
          </w:p>
        </w:tc>
        <w:tc>
          <w:tcPr>
            <w:tcW w:w="800" w:type="dxa"/>
            <w:vAlign w:val="bottom"/>
          </w:tcPr>
          <w:p>
            <w:pPr>
              <w:jc w:val="right"/>
              <w:spacing w:after="0"/>
              <w:rPr>
                <w:sz w:val="20"/>
                <w:szCs w:val="20"/>
                <w:color w:val="auto"/>
              </w:rPr>
            </w:pPr>
            <w:r>
              <w:rPr>
                <w:rFonts w:ascii="Arial" w:cs="Arial" w:eastAsia="Arial" w:hAnsi="Arial"/>
                <w:sz w:val="18"/>
                <w:szCs w:val="18"/>
                <w:color w:val="auto"/>
              </w:rPr>
              <w:t>13,369</w:t>
            </w:r>
            <w:r>
              <w:rPr>
                <w:rFonts w:ascii="Arial" w:cs="Arial" w:eastAsia="Arial" w:hAnsi="Arial"/>
                <w:sz w:val="9"/>
                <w:szCs w:val="9"/>
                <w:color w:val="auto"/>
              </w:rPr>
              <w:t>(11)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51,192</w:t>
            </w:r>
            <w:r>
              <w:rPr>
                <w:rFonts w:ascii="Arial" w:cs="Arial" w:eastAsia="Arial" w:hAnsi="Arial"/>
                <w:sz w:val="9"/>
                <w:szCs w:val="9"/>
                <w:color w:val="auto"/>
              </w:rPr>
              <w:t>(12)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65,577</w:t>
            </w:r>
            <w:r>
              <w:rPr>
                <w:rFonts w:ascii="Arial" w:cs="Arial" w:eastAsia="Arial" w:hAnsi="Arial"/>
                <w:sz w:val="9"/>
                <w:szCs w:val="9"/>
                <w:color w:val="auto"/>
              </w:rPr>
              <w:t>(13)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bl>
    <w:p>
      <w:pPr>
        <w:spacing w:after="0" w:line="306" w:lineRule="exact"/>
        <w:rPr>
          <w:sz w:val="20"/>
          <w:szCs w:val="20"/>
          <w:color w:val="auto"/>
        </w:rPr>
      </w:pPr>
    </w:p>
    <w:p>
      <w:pPr>
        <w:ind w:left="260" w:hanging="197"/>
        <w:spacing w:after="0"/>
        <w:tabs>
          <w:tab w:leader="none" w:pos="260" w:val="left"/>
        </w:tabs>
        <w:numPr>
          <w:ilvl w:val="0"/>
          <w:numId w:val="6"/>
        </w:numPr>
        <w:rPr>
          <w:rFonts w:ascii="Arial" w:cs="Arial" w:eastAsia="Arial" w:hAnsi="Arial"/>
          <w:sz w:val="9"/>
          <w:szCs w:val="9"/>
          <w:color w:val="auto"/>
        </w:rPr>
      </w:pPr>
      <w:r>
        <w:rPr>
          <w:rFonts w:ascii="Arial" w:cs="Arial" w:eastAsia="Arial" w:hAnsi="Arial"/>
          <w:sz w:val="16"/>
          <w:szCs w:val="16"/>
          <w:color w:val="auto"/>
        </w:rPr>
        <w:t>Restated so as to reflect the historical financial statements of Gas-seven Ltd. acquired on November 1, 2016 from GasLog.</w:t>
      </w:r>
    </w:p>
    <w:p>
      <w:pPr>
        <w:spacing w:after="0" w:line="72" w:lineRule="exact"/>
        <w:rPr>
          <w:rFonts w:ascii="Arial" w:cs="Arial" w:eastAsia="Arial" w:hAnsi="Arial"/>
          <w:sz w:val="9"/>
          <w:szCs w:val="9"/>
          <w:color w:val="auto"/>
        </w:rPr>
      </w:pPr>
    </w:p>
    <w:p>
      <w:pPr>
        <w:ind w:left="260" w:right="20" w:hanging="197"/>
        <w:spacing w:after="0" w:line="290" w:lineRule="auto"/>
        <w:tabs>
          <w:tab w:leader="none" w:pos="260" w:val="left"/>
        </w:tabs>
        <w:numPr>
          <w:ilvl w:val="0"/>
          <w:numId w:val="6"/>
        </w:numPr>
        <w:rPr>
          <w:rFonts w:ascii="Arial" w:cs="Arial" w:eastAsia="Arial" w:hAnsi="Arial"/>
          <w:sz w:val="8"/>
          <w:szCs w:val="8"/>
          <w:color w:val="auto"/>
        </w:rPr>
      </w:pPr>
      <w:r>
        <w:rPr>
          <w:rFonts w:ascii="Arial" w:cs="Arial" w:eastAsia="Arial" w:hAnsi="Arial"/>
          <w:sz w:val="13"/>
          <w:szCs w:val="13"/>
          <w:color w:val="auto"/>
        </w:rPr>
        <w:t>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shares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 On May 15, 2017, the Partnership completed an equity offering of 5,750,000 Series A Preference Units. On May 16, 2017 the subordination period expired, and the subordinated units held by GasLog converted on a one-for-one basis into common units, which participate pro rata with other common units in distributions for available cash.</w:t>
      </w:r>
    </w:p>
    <w:p>
      <w:pPr>
        <w:spacing w:after="0" w:line="219" w:lineRule="exact"/>
        <w:rPr>
          <w:rFonts w:ascii="Arial" w:cs="Arial" w:eastAsia="Arial" w:hAnsi="Arial"/>
          <w:sz w:val="8"/>
          <w:szCs w:val="8"/>
          <w:color w:val="auto"/>
        </w:rPr>
      </w:pPr>
    </w:p>
    <w:p>
      <w:pPr>
        <w:ind w:left="260" w:right="40" w:hanging="197"/>
        <w:spacing w:after="0"/>
        <w:tabs>
          <w:tab w:leader="none" w:pos="260" w:val="left"/>
        </w:tabs>
        <w:numPr>
          <w:ilvl w:val="0"/>
          <w:numId w:val="6"/>
        </w:numPr>
        <w:rPr>
          <w:rFonts w:ascii="Arial" w:cs="Arial" w:eastAsia="Arial" w:hAnsi="Arial"/>
          <w:sz w:val="9"/>
          <w:szCs w:val="9"/>
          <w:color w:val="auto"/>
        </w:rPr>
      </w:pPr>
      <w:r>
        <w:rPr>
          <w:rFonts w:ascii="Arial" w:cs="Arial" w:eastAsia="Arial" w:hAnsi="Arial"/>
          <w:sz w:val="16"/>
          <w:szCs w:val="16"/>
          <w:color w:val="auto"/>
        </w:rPr>
        <w:t>Upon the expiration of the subordination period, which occured on May 16, 2017, all of the subordinated units held by GasLog converted on a one-for-one basis into common units which participate pro rata with other common units in distributions of available cash. For further discussion, see “Item 8. Financial Information-Our Cash Distribution Policy-Subordination Period” in our Annual Report on Form 20-F.</w:t>
      </w:r>
    </w:p>
    <w:p>
      <w:pPr>
        <w:spacing w:after="0" w:line="69" w:lineRule="exact"/>
        <w:rPr>
          <w:rFonts w:ascii="Arial" w:cs="Arial" w:eastAsia="Arial" w:hAnsi="Arial"/>
          <w:sz w:val="9"/>
          <w:szCs w:val="9"/>
          <w:color w:val="auto"/>
        </w:rPr>
      </w:pPr>
    </w:p>
    <w:p>
      <w:pPr>
        <w:ind w:left="260" w:right="40" w:hanging="197"/>
        <w:spacing w:after="0" w:line="235" w:lineRule="auto"/>
        <w:tabs>
          <w:tab w:leader="none" w:pos="260" w:val="left"/>
        </w:tabs>
        <w:numPr>
          <w:ilvl w:val="0"/>
          <w:numId w:val="6"/>
        </w:numPr>
        <w:rPr>
          <w:rFonts w:ascii="Arial" w:cs="Arial" w:eastAsia="Arial" w:hAnsi="Arial"/>
          <w:sz w:val="9"/>
          <w:szCs w:val="9"/>
          <w:color w:val="auto"/>
        </w:rPr>
      </w:pPr>
      <w:r>
        <w:rPr>
          <w:rFonts w:ascii="Arial" w:cs="Arial" w:eastAsia="Arial" w:hAnsi="Arial"/>
          <w:sz w:val="16"/>
          <w:szCs w:val="16"/>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67" w:lineRule="exact"/>
        <w:rPr>
          <w:rFonts w:ascii="Arial" w:cs="Arial" w:eastAsia="Arial" w:hAnsi="Arial"/>
          <w:sz w:val="9"/>
          <w:szCs w:val="9"/>
          <w:color w:val="auto"/>
        </w:rPr>
      </w:pPr>
    </w:p>
    <w:p>
      <w:pPr>
        <w:ind w:left="260" w:hanging="197"/>
        <w:spacing w:after="0"/>
        <w:tabs>
          <w:tab w:leader="none" w:pos="260" w:val="left"/>
        </w:tabs>
        <w:numPr>
          <w:ilvl w:val="0"/>
          <w:numId w:val="6"/>
        </w:numPr>
        <w:rPr>
          <w:rFonts w:ascii="Arial" w:cs="Arial" w:eastAsia="Arial" w:hAnsi="Arial"/>
          <w:sz w:val="9"/>
          <w:szCs w:val="9"/>
          <w:color w:val="auto"/>
        </w:rPr>
      </w:pPr>
      <w:r>
        <w:rPr>
          <w:rFonts w:ascii="Arial" w:cs="Arial" w:eastAsia="Arial" w:hAnsi="Arial"/>
          <w:sz w:val="16"/>
          <w:szCs w:val="16"/>
          <w:b w:val="1"/>
          <w:bCs w:val="1"/>
          <w:color w:val="auto"/>
        </w:rPr>
        <w:t>Non-GAAP Financial Measures</w:t>
      </w:r>
    </w:p>
    <w:p>
      <w:pPr>
        <w:spacing w:after="0" w:line="90" w:lineRule="exact"/>
        <w:rPr>
          <w:rFonts w:ascii="Arial" w:cs="Arial" w:eastAsia="Arial" w:hAnsi="Arial"/>
          <w:sz w:val="9"/>
          <w:szCs w:val="9"/>
          <w:color w:val="auto"/>
        </w:rPr>
      </w:pPr>
    </w:p>
    <w:p>
      <w:pPr>
        <w:ind w:left="260" w:right="400"/>
        <w:spacing w:after="0" w:line="251" w:lineRule="auto"/>
        <w:rPr>
          <w:rFonts w:ascii="Arial" w:cs="Arial" w:eastAsia="Arial" w:hAnsi="Arial"/>
          <w:sz w:val="9"/>
          <w:szCs w:val="9"/>
          <w:color w:val="auto"/>
        </w:rPr>
      </w:pPr>
      <w:r>
        <w:rPr>
          <w:rFonts w:ascii="Arial" w:cs="Arial" w:eastAsia="Arial" w:hAnsi="Arial"/>
          <w:sz w:val="16"/>
          <w:szCs w:val="16"/>
          <w:b w:val="1"/>
          <w:bCs w:val="1"/>
          <w:i w:val="1"/>
          <w:iCs w:val="1"/>
          <w:color w:val="auto"/>
        </w:rPr>
        <w:t>Partnership Performance Results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above, our IFRS Common Control Reported Results are derived from the consolidated financial statements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w:t>
      </w:r>
    </w:p>
    <w:p>
      <w:pPr>
        <w:spacing w:after="0" w:line="74" w:lineRule="exact"/>
        <w:rPr>
          <w:rFonts w:ascii="Arial" w:cs="Arial" w:eastAsia="Arial" w:hAnsi="Arial"/>
          <w:sz w:val="9"/>
          <w:szCs w:val="9"/>
          <w:color w:val="auto"/>
        </w:rPr>
      </w:pPr>
    </w:p>
    <w:p>
      <w:pPr>
        <w:ind w:left="260" w:right="60"/>
        <w:spacing w:after="0" w:line="264" w:lineRule="auto"/>
        <w:rPr>
          <w:rFonts w:ascii="Arial" w:cs="Arial" w:eastAsia="Arial" w:hAnsi="Arial"/>
          <w:sz w:val="9"/>
          <w:szCs w:val="9"/>
          <w:color w:val="auto"/>
        </w:rPr>
      </w:pPr>
      <w:r>
        <w:rPr>
          <w:rFonts w:ascii="Arial" w:cs="Arial" w:eastAsia="Arial" w:hAnsi="Arial"/>
          <w:sz w:val="14"/>
          <w:szCs w:val="14"/>
          <w:color w:val="auto"/>
        </w:rPr>
        <w:t xml:space="preserve">Our Partnership Performance Results presented below are non-GAAP measures and exclude amounts related to GAS-three Ltd., GAS-four Ltd. and GAS-five Ltd. (the owners of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respectively) for the period prior to the closing of the IPO, GAS-sixteen Ltd. and GAS-seventeen Ltd. (the owners of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respectively) for the period prior to their transfer to the Partnership on September 29, 2014, the amounts related to GAS-nineteen Ltd., GAS-twenty Ltd. and GAS-twenty one Ltd. (the owners of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Shirley Elisabeth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Heather Sally</w:t>
      </w:r>
      <w:r>
        <w:rPr>
          <w:rFonts w:ascii="Arial" w:cs="Arial" w:eastAsia="Arial" w:hAnsi="Arial"/>
          <w:sz w:val="14"/>
          <w:szCs w:val="14"/>
          <w:color w:val="auto"/>
        </w:rPr>
        <w:t xml:space="preserve">, respectively) for the period prior to their transfer to the Partnership on July 1, 2015 and the amounts related to GAS-seven Ltd. (the owner of the </w:t>
      </w:r>
      <w:r>
        <w:rPr>
          <w:rFonts w:ascii="Arial" w:cs="Arial" w:eastAsia="Arial" w:hAnsi="Arial"/>
          <w:sz w:val="14"/>
          <w:szCs w:val="14"/>
          <w:i w:val="1"/>
          <w:iCs w:val="1"/>
          <w:color w:val="auto"/>
        </w:rPr>
        <w:t>GasLog Seattle</w:t>
      </w:r>
      <w:r>
        <w:rPr>
          <w:rFonts w:ascii="Arial" w:cs="Arial" w:eastAsia="Arial" w:hAnsi="Arial"/>
          <w:sz w:val="14"/>
          <w:szCs w:val="14"/>
          <w:color w:val="auto"/>
        </w:rPr>
        <w:t>) for the period prior to its transfer to the Partnership on November 1, 2016. While such amounts are reflected in the Partnership’s reported financial statements because the transfers to the Partnership were accounted for as a reorganization of entities under common control under IFRS,</w:t>
      </w:r>
    </w:p>
    <w:p>
      <w:pPr>
        <w:spacing w:after="0" w:line="3" w:lineRule="exact"/>
        <w:rPr>
          <w:rFonts w:ascii="Arial" w:cs="Arial" w:eastAsia="Arial" w:hAnsi="Arial"/>
          <w:sz w:val="9"/>
          <w:szCs w:val="9"/>
          <w:color w:val="auto"/>
        </w:rPr>
      </w:pPr>
    </w:p>
    <w:p>
      <w:pPr>
        <w:ind w:left="260"/>
        <w:spacing w:after="0"/>
        <w:rPr>
          <w:rFonts w:ascii="Arial" w:cs="Arial" w:eastAsia="Arial" w:hAnsi="Arial"/>
          <w:sz w:val="9"/>
          <w:szCs w:val="9"/>
          <w:color w:val="auto"/>
        </w:rPr>
      </w:pPr>
      <w:r>
        <w:rPr>
          <w:rFonts w:ascii="Arial" w:cs="Arial" w:eastAsia="Arial" w:hAnsi="Arial"/>
          <w:sz w:val="16"/>
          <w:szCs w:val="16"/>
          <w:color w:val="auto"/>
        </w:rPr>
        <w:t>(i) GAS-three Ltd., GAS-four Ltd.</w:t>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81915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07" w:right="459" w:bottom="1440" w:gutter="0" w:footer="0" w:header="0"/>
        </w:sectPr>
      </w:pPr>
    </w:p>
    <w:bookmarkStart w:id="16" w:name="page17"/>
    <w:bookmarkEnd w:id="16"/>
    <w:p>
      <w:pPr>
        <w:ind w:left="100" w:right="80"/>
        <w:spacing w:after="0" w:line="2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038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038090"/>
                    </a:xfrm>
                    <a:prstGeom prst="rect">
                      <a:avLst/>
                    </a:prstGeom>
                    <a:noFill/>
                  </pic:spPr>
                </pic:pic>
              </a:graphicData>
            </a:graphic>
          </wp:anchor>
        </w:drawing>
        <w:t>and GAS-five Ltd. were not owned by the Partnership prior to the closing of the IPO, (ii) GAS-sixteen Ltd. and GAS-seventeen Ltd. were not owned by the Partnership prior to their transfer to the Partnership in September 2014, (iii) GAS-nineteen Ltd., GAS-twenty Ltd. and GAS-twenty one Ltd. were not owned by the Partnership prior to their transfer to the Partnership in July 2015 and (iv) GAS-seven Ltd. was not owned by the Partnership prior to its transfer to the Partnership in November 2016, and accordingly the Partnership was not entitled to the cash or results generated in the period prior to such transfers.</w:t>
      </w:r>
    </w:p>
    <w:p>
      <w:pPr>
        <w:spacing w:after="0" w:line="44" w:lineRule="exact"/>
        <w:rPr>
          <w:sz w:val="20"/>
          <w:szCs w:val="20"/>
          <w:color w:val="auto"/>
        </w:rPr>
      </w:pPr>
    </w:p>
    <w:p>
      <w:pPr>
        <w:ind w:left="100" w:right="160"/>
        <w:spacing w:after="0" w:line="254" w:lineRule="auto"/>
        <w:rPr>
          <w:sz w:val="20"/>
          <w:szCs w:val="20"/>
          <w:color w:val="auto"/>
        </w:rPr>
      </w:pPr>
      <w:r>
        <w:rPr>
          <w:rFonts w:ascii="Arial" w:cs="Arial" w:eastAsia="Arial" w:hAnsi="Arial"/>
          <w:sz w:val="15"/>
          <w:szCs w:val="15"/>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Partnership Performance Results to IFRS Common Control Reported Results in our Financial Statements:</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December 31, 2015</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20"/>
        </w:trPr>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23"/>
              <w:spacing w:after="0" w:line="121" w:lineRule="exact"/>
              <w:rPr>
                <w:sz w:val="20"/>
                <w:szCs w:val="20"/>
                <w:color w:val="auto"/>
              </w:rPr>
            </w:pPr>
            <w:r>
              <w:rPr>
                <w:rFonts w:ascii="Arial" w:cs="Arial" w:eastAsia="Arial" w:hAnsi="Arial"/>
                <w:sz w:val="13"/>
                <w:szCs w:val="13"/>
                <w:b w:val="1"/>
                <w:bCs w:val="1"/>
                <w:color w:val="auto"/>
              </w:rPr>
              <w:t>IFRS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43"/>
              <w:spacing w:after="0" w:line="121" w:lineRule="exact"/>
              <w:rPr>
                <w:sz w:val="20"/>
                <w:szCs w:val="20"/>
                <w:color w:val="auto"/>
              </w:rPr>
            </w:pPr>
            <w:r>
              <w:rPr>
                <w:rFonts w:ascii="Arial" w:cs="Arial" w:eastAsia="Arial" w:hAnsi="Arial"/>
                <w:sz w:val="13"/>
                <w:szCs w:val="13"/>
                <w:b w:val="1"/>
                <w:bCs w:val="1"/>
                <w:color w:val="auto"/>
              </w:rPr>
              <w:t>IFRS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43"/>
              <w:spacing w:after="0" w:line="121" w:lineRule="exact"/>
              <w:rPr>
                <w:sz w:val="20"/>
                <w:szCs w:val="20"/>
                <w:color w:val="auto"/>
              </w:rPr>
            </w:pPr>
            <w:r>
              <w:rPr>
                <w:rFonts w:ascii="Arial" w:cs="Arial" w:eastAsia="Arial" w:hAnsi="Arial"/>
                <w:sz w:val="13"/>
                <w:szCs w:val="13"/>
                <w:b w:val="1"/>
                <w:bCs w:val="1"/>
                <w:color w:val="auto"/>
              </w:rPr>
              <w:t>IFRS</w:t>
            </w:r>
          </w:p>
        </w:tc>
      </w:tr>
      <w:tr>
        <w:trPr>
          <w:trHeight w:val="149"/>
        </w:trPr>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r>
      <w:tr>
        <w:trPr>
          <w:trHeight w:val="149"/>
        </w:trPr>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Partnership</w:t>
            </w:r>
          </w:p>
        </w:tc>
        <w:tc>
          <w:tcPr>
            <w:tcW w:w="120" w:type="dxa"/>
            <w:vAlign w:val="bottom"/>
          </w:tcPr>
          <w:p>
            <w:pPr>
              <w:spacing w:after="0"/>
              <w:rPr>
                <w:sz w:val="12"/>
                <w:szCs w:val="12"/>
                <w:color w:val="auto"/>
              </w:rPr>
            </w:pPr>
          </w:p>
        </w:tc>
        <w:tc>
          <w:tcPr>
            <w:tcW w:w="6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6"/>
              </w:rPr>
              <w:t>Control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2"/>
                <w:szCs w:val="12"/>
                <w:color w:val="auto"/>
              </w:rPr>
            </w:pP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Partnership</w:t>
            </w:r>
          </w:p>
        </w:tc>
        <w:tc>
          <w:tcPr>
            <w:tcW w:w="120" w:type="dxa"/>
            <w:vAlign w:val="bottom"/>
          </w:tcPr>
          <w:p>
            <w:pPr>
              <w:spacing w:after="0"/>
              <w:rPr>
                <w:sz w:val="12"/>
                <w:szCs w:val="12"/>
                <w:color w:val="auto"/>
              </w:rPr>
            </w:pPr>
          </w:p>
        </w:tc>
        <w:tc>
          <w:tcPr>
            <w:tcW w:w="6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2"/>
              </w:rPr>
              <w:t>Control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Partnership</w:t>
            </w:r>
          </w:p>
        </w:tc>
        <w:tc>
          <w:tcPr>
            <w:tcW w:w="100" w:type="dxa"/>
            <w:vAlign w:val="bottom"/>
          </w:tcPr>
          <w:p>
            <w:pPr>
              <w:spacing w:after="0"/>
              <w:rPr>
                <w:sz w:val="12"/>
                <w:szCs w:val="12"/>
                <w:color w:val="auto"/>
              </w:rPr>
            </w:pPr>
          </w:p>
        </w:tc>
        <w:tc>
          <w:tcPr>
            <w:tcW w:w="6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Control</w:t>
            </w:r>
          </w:p>
        </w:tc>
      </w:tr>
      <w:tr>
        <w:trPr>
          <w:trHeight w:val="149"/>
        </w:trPr>
        <w:tc>
          <w:tcPr>
            <w:tcW w:w="20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2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Reported</w:t>
            </w: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22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Performance</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Reported</w:t>
            </w: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2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Reported</w:t>
            </w:r>
          </w:p>
        </w:tc>
      </w:tr>
      <w:tr>
        <w:trPr>
          <w:trHeight w:val="170"/>
        </w:trPr>
        <w:tc>
          <w:tcPr>
            <w:tcW w:w="20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to GasLog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Results</w:t>
            </w:r>
          </w:p>
        </w:tc>
        <w:tc>
          <w:tcPr>
            <w:tcW w:w="120" w:type="dxa"/>
            <w:vAlign w:val="bottom"/>
          </w:tcPr>
          <w:p>
            <w:pPr>
              <w:spacing w:after="0"/>
              <w:rPr>
                <w:sz w:val="14"/>
                <w:szCs w:val="14"/>
                <w:color w:val="auto"/>
              </w:rPr>
            </w:pPr>
          </w:p>
        </w:tc>
        <w:tc>
          <w:tcPr>
            <w:tcW w:w="620" w:type="dxa"/>
            <w:vAlign w:val="bottom"/>
          </w:tcPr>
          <w:p>
            <w:pPr>
              <w:jc w:val="center"/>
              <w:ind w:right="23"/>
              <w:spacing w:after="0"/>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to GasLog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Results</w:t>
            </w:r>
          </w:p>
        </w:tc>
        <w:tc>
          <w:tcPr>
            <w:tcW w:w="120" w:type="dxa"/>
            <w:vAlign w:val="bottom"/>
          </w:tcPr>
          <w:p>
            <w:pPr>
              <w:spacing w:after="0"/>
              <w:rPr>
                <w:sz w:val="14"/>
                <w:szCs w:val="14"/>
                <w:color w:val="auto"/>
              </w:rPr>
            </w:pPr>
          </w:p>
        </w:tc>
        <w:tc>
          <w:tcPr>
            <w:tcW w:w="620" w:type="dxa"/>
            <w:vAlign w:val="bottom"/>
          </w:tcPr>
          <w:p>
            <w:pPr>
              <w:jc w:val="center"/>
              <w:ind w:right="43"/>
              <w:spacing w:after="0"/>
              <w:rPr>
                <w:sz w:val="20"/>
                <w:szCs w:val="20"/>
                <w:color w:val="auto"/>
              </w:rPr>
            </w:pPr>
            <w:r>
              <w:rPr>
                <w:rFonts w:ascii="Arial" w:cs="Arial" w:eastAsia="Arial" w:hAnsi="Arial"/>
                <w:sz w:val="14"/>
                <w:szCs w:val="14"/>
                <w:b w:val="1"/>
                <w:bCs w:val="1"/>
                <w:color w:val="auto"/>
                <w:w w:val="90"/>
              </w:rPr>
              <w:t>Results</w:t>
            </w:r>
          </w:p>
        </w:tc>
        <w:tc>
          <w:tcPr>
            <w:tcW w:w="2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to GasLog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22"/>
              <w:spacing w:after="0"/>
              <w:rPr>
                <w:sz w:val="20"/>
                <w:szCs w:val="20"/>
                <w:color w:val="auto"/>
              </w:rPr>
            </w:pPr>
            <w:r>
              <w:rPr>
                <w:rFonts w:ascii="Arial" w:cs="Arial" w:eastAsia="Arial" w:hAnsi="Arial"/>
                <w:sz w:val="14"/>
                <w:szCs w:val="14"/>
                <w:b w:val="1"/>
                <w:bCs w:val="1"/>
                <w:color w:val="auto"/>
                <w:w w:val="94"/>
              </w:rPr>
              <w:t>Results</w:t>
            </w:r>
          </w:p>
        </w:tc>
        <w:tc>
          <w:tcPr>
            <w:tcW w:w="100" w:type="dxa"/>
            <w:vAlign w:val="bottom"/>
          </w:tcPr>
          <w:p>
            <w:pPr>
              <w:spacing w:after="0"/>
              <w:rPr>
                <w:sz w:val="14"/>
                <w:szCs w:val="14"/>
                <w:color w:val="auto"/>
              </w:rPr>
            </w:pPr>
          </w:p>
        </w:tc>
        <w:tc>
          <w:tcPr>
            <w:tcW w:w="600" w:type="dxa"/>
            <w:vAlign w:val="bottom"/>
          </w:tcPr>
          <w:p>
            <w:pPr>
              <w:jc w:val="center"/>
              <w:ind w:right="43"/>
              <w:spacing w:after="0"/>
              <w:rPr>
                <w:sz w:val="20"/>
                <w:szCs w:val="20"/>
                <w:color w:val="auto"/>
              </w:rPr>
            </w:pPr>
            <w:r>
              <w:rPr>
                <w:rFonts w:ascii="Arial" w:cs="Arial" w:eastAsia="Arial" w:hAnsi="Arial"/>
                <w:sz w:val="14"/>
                <w:szCs w:val="14"/>
                <w:b w:val="1"/>
                <w:bCs w:val="1"/>
                <w:color w:val="auto"/>
                <w:w w:val="86"/>
              </w:rPr>
              <w:t>Results</w:t>
            </w:r>
          </w:p>
        </w:tc>
      </w:tr>
      <w:tr>
        <w:trPr>
          <w:trHeight w:val="252"/>
        </w:trPr>
        <w:tc>
          <w:tcPr>
            <w:tcW w:w="2020" w:type="dxa"/>
            <w:vAlign w:val="bottom"/>
          </w:tcPr>
          <w:p>
            <w:pPr>
              <w:spacing w:after="0"/>
              <w:rPr>
                <w:sz w:val="21"/>
                <w:szCs w:val="21"/>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Restated</w:t>
            </w:r>
            <w:r>
              <w:rPr>
                <w:rFonts w:ascii="Arial" w:cs="Arial" w:eastAsia="Arial" w:hAnsi="Arial"/>
                <w:sz w:val="8"/>
                <w:szCs w:val="8"/>
                <w:b w:val="1"/>
                <w:bCs w:val="1"/>
                <w:color w:val="auto"/>
                <w:w w:val="92"/>
              </w:rPr>
              <w:t>(1)</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Restated</w:t>
            </w:r>
            <w:r>
              <w:rPr>
                <w:rFonts w:ascii="Arial" w:cs="Arial" w:eastAsia="Arial" w:hAnsi="Arial"/>
                <w:sz w:val="8"/>
                <w:szCs w:val="8"/>
                <w:b w:val="1"/>
                <w:bCs w:val="1"/>
                <w:color w:val="auto"/>
                <w:w w:val="89"/>
              </w:rPr>
              <w:t>(1)</w:t>
            </w:r>
          </w:p>
        </w:tc>
        <w:tc>
          <w:tcPr>
            <w:tcW w:w="220" w:type="dxa"/>
            <w:vAlign w:val="bottom"/>
          </w:tcPr>
          <w:p>
            <w:pPr>
              <w:spacing w:after="0"/>
              <w:rPr>
                <w:sz w:val="21"/>
                <w:szCs w:val="21"/>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Restated</w:t>
            </w:r>
            <w:r>
              <w:rPr>
                <w:rFonts w:ascii="Arial" w:cs="Arial" w:eastAsia="Arial" w:hAnsi="Arial"/>
                <w:sz w:val="8"/>
                <w:szCs w:val="8"/>
                <w:b w:val="1"/>
                <w:bCs w:val="1"/>
                <w:color w:val="auto"/>
                <w:w w:val="92"/>
              </w:rPr>
              <w:t>(1)</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Restated</w:t>
            </w:r>
            <w:r>
              <w:rPr>
                <w:rFonts w:ascii="Arial" w:cs="Arial" w:eastAsia="Arial" w:hAnsi="Arial"/>
                <w:sz w:val="8"/>
                <w:szCs w:val="8"/>
                <w:b w:val="1"/>
                <w:bCs w:val="1"/>
                <w:color w:val="auto"/>
                <w:w w:val="89"/>
              </w:rPr>
              <w:t>(1)</w:t>
            </w: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r>
      <w:tr>
        <w:trPr>
          <w:trHeight w:val="228"/>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6"/>
          </w:tcPr>
          <w:p>
            <w:pPr>
              <w:jc w:val="right"/>
              <w:ind w:right="28"/>
              <w:spacing w:after="0"/>
              <w:rPr>
                <w:sz w:val="20"/>
                <w:szCs w:val="20"/>
                <w:color w:val="auto"/>
              </w:rPr>
            </w:pPr>
            <w:r>
              <w:rPr>
                <w:rFonts w:ascii="Arial" w:cs="Arial" w:eastAsia="Arial" w:hAnsi="Arial"/>
                <w:sz w:val="14"/>
                <w:szCs w:val="14"/>
                <w:b w:val="1"/>
                <w:bCs w:val="1"/>
                <w:color w:val="auto"/>
              </w:rPr>
              <w:t>(in thousands of U.S. dollars)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152"/>
        </w:trPr>
        <w:tc>
          <w:tcPr>
            <w:tcW w:w="2020" w:type="dxa"/>
            <w:vAlign w:val="bottom"/>
            <w:shd w:val="clear" w:color="auto" w:fill="E5FFFF"/>
          </w:tcPr>
          <w:p>
            <w:pPr>
              <w:ind w:left="20"/>
              <w:spacing w:after="0" w:line="152" w:lineRule="exact"/>
              <w:rPr>
                <w:sz w:val="20"/>
                <w:szCs w:val="20"/>
                <w:color w:val="auto"/>
              </w:rPr>
            </w:pPr>
            <w:r>
              <w:rPr>
                <w:rFonts w:ascii="Arial" w:cs="Arial" w:eastAsia="Arial" w:hAnsi="Arial"/>
                <w:sz w:val="16"/>
                <w:szCs w:val="16"/>
                <w:b w:val="1"/>
                <w:bCs w:val="1"/>
                <w:color w:val="auto"/>
              </w:rPr>
              <w:t>STATEMENT OF</w:t>
            </w:r>
          </w:p>
        </w:tc>
        <w:tc>
          <w:tcPr>
            <w:tcW w:w="140" w:type="dxa"/>
            <w:vAlign w:val="bottom"/>
            <w:shd w:val="clear" w:color="auto" w:fill="E5FFFF"/>
          </w:tcPr>
          <w:p>
            <w:pPr>
              <w:spacing w:after="0"/>
              <w:rPr>
                <w:sz w:val="13"/>
                <w:szCs w:val="13"/>
                <w:color w:val="auto"/>
              </w:rPr>
            </w:pPr>
          </w:p>
        </w:tc>
        <w:tc>
          <w:tcPr>
            <w:tcW w:w="6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60" w:type="dxa"/>
            <w:vAlign w:val="bottom"/>
            <w:shd w:val="clear" w:color="auto" w:fill="E5FFFF"/>
          </w:tcPr>
          <w:p>
            <w:pPr>
              <w:spacing w:after="0"/>
              <w:rPr>
                <w:sz w:val="13"/>
                <w:szCs w:val="13"/>
                <w:color w:val="auto"/>
              </w:rPr>
            </w:pPr>
          </w:p>
        </w:tc>
        <w:tc>
          <w:tcPr>
            <w:tcW w:w="7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6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40" w:type="dxa"/>
            <w:vAlign w:val="bottom"/>
            <w:shd w:val="clear" w:color="auto" w:fill="E5FFFF"/>
          </w:tcPr>
          <w:p>
            <w:pPr>
              <w:spacing w:after="0"/>
              <w:rPr>
                <w:sz w:val="13"/>
                <w:szCs w:val="13"/>
                <w:color w:val="auto"/>
              </w:rPr>
            </w:pPr>
          </w:p>
        </w:tc>
        <w:tc>
          <w:tcPr>
            <w:tcW w:w="6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60" w:type="dxa"/>
            <w:vAlign w:val="bottom"/>
            <w:shd w:val="clear" w:color="auto" w:fill="E5FFFF"/>
          </w:tcPr>
          <w:p>
            <w:pPr>
              <w:spacing w:after="0"/>
              <w:rPr>
                <w:sz w:val="13"/>
                <w:szCs w:val="13"/>
                <w:color w:val="auto"/>
              </w:rPr>
            </w:pPr>
          </w:p>
        </w:tc>
        <w:tc>
          <w:tcPr>
            <w:tcW w:w="72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6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6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40" w:type="dxa"/>
            <w:vAlign w:val="bottom"/>
            <w:shd w:val="clear" w:color="auto" w:fill="E5FFFF"/>
          </w:tcPr>
          <w:p>
            <w:pPr>
              <w:spacing w:after="0"/>
              <w:rPr>
                <w:sz w:val="13"/>
                <w:szCs w:val="13"/>
                <w:color w:val="auto"/>
              </w:rPr>
            </w:pPr>
          </w:p>
        </w:tc>
        <w:tc>
          <w:tcPr>
            <w:tcW w:w="70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600" w:type="dxa"/>
            <w:vAlign w:val="bottom"/>
            <w:shd w:val="clear" w:color="auto" w:fill="E5FFFF"/>
          </w:tcPr>
          <w:p>
            <w:pPr>
              <w:spacing w:after="0"/>
              <w:rPr>
                <w:sz w:val="13"/>
                <w:szCs w:val="13"/>
                <w:color w:val="auto"/>
              </w:rPr>
            </w:pPr>
          </w:p>
        </w:tc>
      </w:tr>
      <w:tr>
        <w:trPr>
          <w:trHeight w:val="199"/>
        </w:trPr>
        <w:tc>
          <w:tcPr>
            <w:tcW w:w="202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PROFIT OR LOSS</w:t>
            </w:r>
          </w:p>
        </w:tc>
        <w:tc>
          <w:tcPr>
            <w:tcW w:w="14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w w:val="96"/>
              </w:rPr>
              <w:t>118,291</w:t>
            </w:r>
          </w:p>
        </w:tc>
        <w:tc>
          <w:tcPr>
            <w:tcW w:w="3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65,931</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184,222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55,263</w:t>
            </w:r>
          </w:p>
        </w:tc>
        <w:tc>
          <w:tcPr>
            <w:tcW w:w="3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168,927</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224,190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22,313</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206,424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3"/>
              <w:spacing w:after="0"/>
              <w:rPr>
                <w:sz w:val="20"/>
                <w:szCs w:val="20"/>
                <w:color w:val="auto"/>
              </w:rPr>
            </w:pPr>
            <w:r>
              <w:rPr>
                <w:rFonts w:ascii="Arial" w:cs="Arial" w:eastAsia="Arial" w:hAnsi="Arial"/>
                <w:sz w:val="16"/>
                <w:szCs w:val="16"/>
                <w:color w:val="auto"/>
                <w:w w:val="86"/>
              </w:rPr>
              <w:t>228,737</w:t>
            </w: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Vessel operating costs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(23,505)</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(12,226)</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(35,731)</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(14,084)</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(33,656)</w:t>
            </w: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7"/>
              </w:rPr>
              <w:t>(47,740)</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(4,531)</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(43,479)</w:t>
            </w: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(48,010)</w:t>
            </w:r>
          </w:p>
        </w:tc>
      </w:tr>
      <w:tr>
        <w:trPr>
          <w:trHeight w:val="156"/>
        </w:trPr>
        <w:tc>
          <w:tcPr>
            <w:tcW w:w="2020" w:type="dxa"/>
            <w:vAlign w:val="bottom"/>
          </w:tcPr>
          <w:p>
            <w:pPr>
              <w:ind w:left="20"/>
              <w:spacing w:after="0" w:line="156" w:lineRule="exact"/>
              <w:rPr>
                <w:sz w:val="20"/>
                <w:szCs w:val="20"/>
                <w:color w:val="auto"/>
              </w:rPr>
            </w:pPr>
            <w:r>
              <w:rPr>
                <w:rFonts w:ascii="Arial" w:cs="Arial" w:eastAsia="Arial" w:hAnsi="Arial"/>
                <w:sz w:val="16"/>
                <w:szCs w:val="16"/>
                <w:color w:val="auto"/>
              </w:rPr>
              <w:t>Voyage expenses and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95"/>
        </w:trPr>
        <w:tc>
          <w:tcPr>
            <w:tcW w:w="2020" w:type="dxa"/>
            <w:vAlign w:val="bottom"/>
          </w:tcPr>
          <w:p>
            <w:pPr>
              <w:ind w:left="160"/>
              <w:spacing w:after="0"/>
              <w:rPr>
                <w:sz w:val="20"/>
                <w:szCs w:val="20"/>
                <w:color w:val="auto"/>
              </w:rPr>
            </w:pPr>
            <w:r>
              <w:rPr>
                <w:rFonts w:ascii="Arial" w:cs="Arial" w:eastAsia="Arial" w:hAnsi="Arial"/>
                <w:sz w:val="16"/>
                <w:szCs w:val="16"/>
                <w:color w:val="auto"/>
              </w:rPr>
              <w:t>commissions</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(1,551)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(2,368)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(877)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(2,102)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(2,979)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(2,841)</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(3,125)</w:t>
            </w: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(26,217)</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(13,352)</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(39,569)</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(13,990)</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(35,981)</w:t>
            </w: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7"/>
              </w:rPr>
              <w:t>(49,971)</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(4,784)</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(45,230)</w:t>
            </w: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(50,014)</w:t>
            </w:r>
          </w:p>
        </w:tc>
      </w:tr>
      <w:tr>
        <w:trPr>
          <w:trHeight w:val="156"/>
        </w:trPr>
        <w:tc>
          <w:tcPr>
            <w:tcW w:w="2020" w:type="dxa"/>
            <w:vAlign w:val="bottom"/>
          </w:tcPr>
          <w:p>
            <w:pPr>
              <w:ind w:left="20"/>
              <w:spacing w:after="0" w:line="156" w:lineRule="exact"/>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2"/>
        </w:trPr>
        <w:tc>
          <w:tcPr>
            <w:tcW w:w="2020" w:type="dxa"/>
            <w:vAlign w:val="bottom"/>
          </w:tcPr>
          <w:p>
            <w:pPr>
              <w:ind w:left="16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(6,932)</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(10,383)</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(11,524)</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(11,219)</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(11,712)</w:t>
            </w: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rPr>
              <w:t>64,677</w:t>
            </w:r>
          </w:p>
        </w:tc>
        <w:tc>
          <w:tcPr>
            <w:tcW w:w="2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rPr>
              <w:t>34,945</w:t>
            </w:r>
          </w:p>
        </w:tc>
        <w:tc>
          <w:tcPr>
            <w:tcW w:w="2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99,622</w:t>
            </w:r>
          </w:p>
        </w:tc>
        <w:tc>
          <w:tcPr>
            <w:tcW w:w="2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rPr>
              <w:t>25,171</w:t>
            </w:r>
          </w:p>
        </w:tc>
        <w:tc>
          <w:tcPr>
            <w:tcW w:w="2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rPr>
              <w:t>86,805</w:t>
            </w:r>
          </w:p>
        </w:tc>
        <w:tc>
          <w:tcPr>
            <w:tcW w:w="24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3"/>
              </w:rPr>
              <w:t>111,976</w:t>
            </w:r>
          </w:p>
        </w:tc>
        <w:tc>
          <w:tcPr>
            <w:tcW w:w="2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12,221</w:t>
            </w:r>
          </w:p>
        </w:tc>
        <w:tc>
          <w:tcPr>
            <w:tcW w:w="2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ind w:right="22"/>
              <w:spacing w:after="0"/>
              <w:rPr>
                <w:sz w:val="20"/>
                <w:szCs w:val="20"/>
                <w:color w:val="auto"/>
              </w:rPr>
            </w:pPr>
            <w:r>
              <w:rPr>
                <w:rFonts w:ascii="Arial" w:cs="Arial" w:eastAsia="Arial" w:hAnsi="Arial"/>
                <w:sz w:val="16"/>
                <w:szCs w:val="16"/>
                <w:b w:val="1"/>
                <w:bCs w:val="1"/>
                <w:color w:val="auto"/>
              </w:rPr>
              <w:t>103,655</w:t>
            </w:r>
          </w:p>
        </w:tc>
        <w:tc>
          <w:tcPr>
            <w:tcW w:w="10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6"/>
                <w:szCs w:val="16"/>
                <w:b w:val="1"/>
                <w:bCs w:val="1"/>
                <w:color w:val="auto"/>
                <w:w w:val="86"/>
              </w:rPr>
              <w:t>115,876</w:t>
            </w:r>
          </w:p>
        </w:tc>
      </w:tr>
      <w:tr>
        <w:trPr>
          <w:trHeight w:val="250"/>
        </w:trPr>
        <w:tc>
          <w:tcPr>
            <w:tcW w:w="2020" w:type="dxa"/>
            <w:vAlign w:val="bottom"/>
          </w:tcPr>
          <w:p>
            <w:pPr>
              <w:ind w:left="20"/>
              <w:spacing w:after="0"/>
              <w:rPr>
                <w:sz w:val="20"/>
                <w:szCs w:val="20"/>
                <w:color w:val="auto"/>
              </w:rPr>
            </w:pPr>
            <w:r>
              <w:rPr>
                <w:rFonts w:ascii="Arial" w:cs="Arial" w:eastAsia="Arial" w:hAnsi="Arial"/>
                <w:sz w:val="16"/>
                <w:szCs w:val="16"/>
                <w:color w:val="auto"/>
              </w:rPr>
              <w:t>Financial costs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(22,519)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(15,206)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(37,725)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(21,789)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(31,212)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(30,187)</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(36,202)</w:t>
            </w: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income</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26</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23</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5</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24</w:t>
            </w: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rPr>
              <w:t>180</w:t>
            </w:r>
          </w:p>
        </w:tc>
      </w:tr>
      <w:tr>
        <w:trPr>
          <w:trHeight w:val="156"/>
        </w:trPr>
        <w:tc>
          <w:tcPr>
            <w:tcW w:w="2020" w:type="dxa"/>
            <w:vAlign w:val="bottom"/>
          </w:tcPr>
          <w:p>
            <w:pPr>
              <w:ind w:left="20"/>
              <w:spacing w:after="0" w:line="156" w:lineRule="exact"/>
              <w:rPr>
                <w:sz w:val="20"/>
                <w:szCs w:val="20"/>
                <w:color w:val="auto"/>
              </w:rPr>
            </w:pPr>
            <w:r>
              <w:rPr>
                <w:rFonts w:ascii="Arial" w:cs="Arial" w:eastAsia="Arial" w:hAnsi="Arial"/>
                <w:sz w:val="16"/>
                <w:szCs w:val="16"/>
                <w:color w:val="auto"/>
              </w:rPr>
              <w:t>(Loss)/gain on interest rate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2"/>
        </w:trPr>
        <w:tc>
          <w:tcPr>
            <w:tcW w:w="2020" w:type="dxa"/>
            <w:vAlign w:val="bottom"/>
          </w:tcPr>
          <w:p>
            <w:pPr>
              <w:ind w:left="160"/>
              <w:spacing w:after="0"/>
              <w:rPr>
                <w:sz w:val="20"/>
                <w:szCs w:val="20"/>
                <w:color w:val="auto"/>
              </w:rPr>
            </w:pPr>
            <w:r>
              <w:rPr>
                <w:rFonts w:ascii="Arial" w:cs="Arial" w:eastAsia="Arial" w:hAnsi="Arial"/>
                <w:sz w:val="16"/>
                <w:szCs w:val="16"/>
                <w:color w:val="auto"/>
              </w:rPr>
              <w:t>swaps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(12,903)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(3,144)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(6,136)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3,623</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(2,513)</w:t>
            </w: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Total other expense</w:t>
            </w:r>
          </w:p>
        </w:tc>
        <w:tc>
          <w:tcPr>
            <w:tcW w:w="140" w:type="dxa"/>
            <w:vAlign w:val="bottom"/>
            <w:tcBorders>
              <w:top w:val="single" w:sz="8" w:color="auto"/>
              <w:bottom w:val="single" w:sz="8" w:color="auto"/>
            </w:tcBorders>
            <w:shd w:val="clear" w:color="auto" w:fill="E5FFFF"/>
          </w:tcPr>
          <w:p>
            <w:pPr>
              <w:spacing w:after="0"/>
              <w:rPr>
                <w:sz w:val="21"/>
                <w:szCs w:val="21"/>
                <w:color w:val="auto"/>
              </w:rPr>
            </w:pP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(30,178)</w:t>
            </w:r>
          </w:p>
        </w:tc>
        <w:tc>
          <w:tcPr>
            <w:tcW w:w="220" w:type="dxa"/>
            <w:vAlign w:val="bottom"/>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spacing w:after="0"/>
              <w:rPr>
                <w:sz w:val="21"/>
                <w:szCs w:val="21"/>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(20,401)</w:t>
            </w:r>
          </w:p>
        </w:tc>
        <w:tc>
          <w:tcPr>
            <w:tcW w:w="220" w:type="dxa"/>
            <w:vAlign w:val="bottom"/>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spacing w:after="0"/>
              <w:rPr>
                <w:sz w:val="21"/>
                <w:szCs w:val="21"/>
                <w:color w:val="auto"/>
              </w:rPr>
            </w:pPr>
          </w:p>
        </w:tc>
        <w:tc>
          <w:tcPr>
            <w:tcW w:w="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(50,579)</w:t>
            </w:r>
          </w:p>
        </w:tc>
        <w:tc>
          <w:tcPr>
            <w:tcW w:w="220" w:type="dxa"/>
            <w:vAlign w:val="bottom"/>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spacing w:after="0"/>
              <w:rPr>
                <w:sz w:val="21"/>
                <w:szCs w:val="21"/>
                <w:color w:val="auto"/>
              </w:rPr>
            </w:pP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(12,562)</w:t>
            </w:r>
          </w:p>
        </w:tc>
        <w:tc>
          <w:tcPr>
            <w:tcW w:w="220" w:type="dxa"/>
            <w:vAlign w:val="bottom"/>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spacing w:after="0"/>
              <w:rPr>
                <w:sz w:val="21"/>
                <w:szCs w:val="21"/>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(21,765)</w:t>
            </w:r>
          </w:p>
        </w:tc>
        <w:tc>
          <w:tcPr>
            <w:tcW w:w="240" w:type="dxa"/>
            <w:vAlign w:val="bottom"/>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spacing w:after="0"/>
              <w:rPr>
                <w:sz w:val="21"/>
                <w:szCs w:val="21"/>
                <w:color w:val="auto"/>
              </w:rPr>
            </w:pPr>
          </w:p>
        </w:tc>
        <w:tc>
          <w:tcPr>
            <w:tcW w:w="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7"/>
              </w:rPr>
              <w:t>(34,327)</w:t>
            </w:r>
          </w:p>
        </w:tc>
        <w:tc>
          <w:tcPr>
            <w:tcW w:w="220" w:type="dxa"/>
            <w:vAlign w:val="bottom"/>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spacing w:after="0"/>
              <w:rPr>
                <w:sz w:val="21"/>
                <w:szCs w:val="21"/>
                <w:color w:val="auto"/>
              </w:rPr>
            </w:pP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(12,150)</w:t>
            </w:r>
          </w:p>
        </w:tc>
        <w:tc>
          <w:tcPr>
            <w:tcW w:w="220" w:type="dxa"/>
            <w:vAlign w:val="bottom"/>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spacing w:after="0"/>
              <w:rPr>
                <w:sz w:val="21"/>
                <w:szCs w:val="21"/>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(26,385)</w:t>
            </w:r>
          </w:p>
        </w:tc>
        <w:tc>
          <w:tcPr>
            <w:tcW w:w="100" w:type="dxa"/>
            <w:vAlign w:val="bottom"/>
            <w:tcBorders>
              <w:top w:val="single" w:sz="8" w:color="auto"/>
              <w:bottom w:val="single" w:sz="8" w:color="auto"/>
            </w:tcBorders>
            <w:shd w:val="clear" w:color="auto" w:fill="E5FFFF"/>
          </w:tcPr>
          <w:p>
            <w:pPr>
              <w:spacing w:after="0"/>
              <w:rPr>
                <w:sz w:val="21"/>
                <w:szCs w:val="21"/>
                <w:color w:val="auto"/>
              </w:rPr>
            </w:pPr>
          </w:p>
        </w:tc>
        <w:tc>
          <w:tcPr>
            <w:tcW w:w="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3"/>
              </w:rPr>
              <w:t>(38,535)</w:t>
            </w:r>
          </w:p>
        </w:tc>
      </w:tr>
      <w:tr>
        <w:trPr>
          <w:trHeight w:val="250"/>
        </w:trPr>
        <w:tc>
          <w:tcPr>
            <w:tcW w:w="2020" w:type="dxa"/>
            <w:vAlign w:val="bottom"/>
          </w:tcPr>
          <w:p>
            <w:pPr>
              <w:ind w:left="20"/>
              <w:spacing w:after="0"/>
              <w:rPr>
                <w:sz w:val="20"/>
                <w:szCs w:val="20"/>
                <w:color w:val="auto"/>
              </w:rPr>
            </w:pPr>
            <w:r>
              <w:rPr>
                <w:rFonts w:ascii="Arial" w:cs="Arial" w:eastAsia="Arial" w:hAnsi="Arial"/>
                <w:sz w:val="16"/>
                <w:szCs w:val="16"/>
                <w:b w:val="1"/>
                <w:bCs w:val="1"/>
                <w:color w:val="auto"/>
              </w:rPr>
              <w:t>Profit for the year</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b w:val="1"/>
                <w:bCs w:val="1"/>
                <w:color w:val="auto"/>
              </w:rPr>
              <w:t>34,499</w:t>
            </w:r>
          </w:p>
        </w:tc>
        <w:tc>
          <w:tcPr>
            <w:tcW w:w="380" w:type="dxa"/>
            <w:vAlign w:val="bottom"/>
            <w:gridSpan w:val="2"/>
          </w:tcPr>
          <w:p>
            <w:pPr>
              <w:jc w:val="right"/>
              <w:ind w:right="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b w:val="1"/>
                <w:bCs w:val="1"/>
                <w:color w:val="auto"/>
              </w:rPr>
              <w:t>14,544</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49,043</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b w:val="1"/>
                <w:bCs w:val="1"/>
                <w:color w:val="auto"/>
              </w:rPr>
              <w:t>12,609</w:t>
            </w:r>
          </w:p>
        </w:tc>
        <w:tc>
          <w:tcPr>
            <w:tcW w:w="380" w:type="dxa"/>
            <w:vAlign w:val="bottom"/>
            <w:gridSpan w:val="2"/>
          </w:tcPr>
          <w:p>
            <w:pPr>
              <w:jc w:val="right"/>
              <w:ind w:right="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b w:val="1"/>
                <w:bCs w:val="1"/>
                <w:color w:val="auto"/>
              </w:rPr>
              <w:t>65,040</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77,649</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360" w:type="dxa"/>
            <w:vAlign w:val="bottom"/>
            <w:gridSpan w:val="2"/>
          </w:tcPr>
          <w:p>
            <w:pPr>
              <w:ind w:left="2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2"/>
              <w:spacing w:after="0"/>
              <w:rPr>
                <w:sz w:val="20"/>
                <w:szCs w:val="20"/>
                <w:color w:val="auto"/>
              </w:rPr>
            </w:pPr>
            <w:r>
              <w:rPr>
                <w:rFonts w:ascii="Arial" w:cs="Arial" w:eastAsia="Arial" w:hAnsi="Arial"/>
                <w:sz w:val="16"/>
                <w:szCs w:val="16"/>
                <w:b w:val="1"/>
                <w:bCs w:val="1"/>
                <w:color w:val="auto"/>
              </w:rPr>
              <w:t>77,270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ind w:right="3"/>
              <w:spacing w:after="0"/>
              <w:rPr>
                <w:sz w:val="20"/>
                <w:szCs w:val="20"/>
                <w:color w:val="auto"/>
              </w:rPr>
            </w:pPr>
            <w:r>
              <w:rPr>
                <w:rFonts w:ascii="Arial" w:cs="Arial" w:eastAsia="Arial" w:hAnsi="Arial"/>
                <w:sz w:val="16"/>
                <w:szCs w:val="16"/>
                <w:b w:val="1"/>
                <w:bCs w:val="1"/>
                <w:color w:val="auto"/>
              </w:rPr>
              <w:t>77,341</w:t>
            </w:r>
          </w:p>
        </w:tc>
      </w:tr>
      <w:tr>
        <w:trPr>
          <w:trHeight w:val="20"/>
        </w:trPr>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150495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640" w:top="808" w:right="45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88"/>
              </w:rPr>
              <w:t>For the three months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ind w:left="860"/>
              <w:spacing w:after="0"/>
              <w:rPr>
                <w:sz w:val="20"/>
                <w:szCs w:val="20"/>
                <w:color w:val="auto"/>
              </w:rPr>
            </w:pPr>
            <w:r>
              <w:rPr>
                <w:rFonts w:ascii="Arial" w:cs="Arial" w:eastAsia="Arial" w:hAnsi="Arial"/>
                <w:sz w:val="16"/>
                <w:szCs w:val="16"/>
                <w:b w:val="1"/>
                <w:bCs w:val="1"/>
                <w:color w:val="auto"/>
              </w:rPr>
              <w:t>For the three months</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39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ind w:right="861"/>
              <w:spacing w:after="0"/>
              <w:rPr>
                <w:sz w:val="20"/>
                <w:szCs w:val="20"/>
                <w:color w:val="auto"/>
              </w:rPr>
            </w:pPr>
            <w:r>
              <w:rPr>
                <w:rFonts w:ascii="Arial" w:cs="Arial" w:eastAsia="Arial" w:hAnsi="Arial"/>
                <w:sz w:val="16"/>
                <w:szCs w:val="16"/>
                <w:b w:val="1"/>
                <w:bCs w:val="1"/>
                <w:color w:val="auto"/>
                <w:w w:val="89"/>
              </w:rPr>
              <w:t>ended March 31, 2016</w:t>
            </w:r>
          </w:p>
        </w:tc>
        <w:tc>
          <w:tcPr>
            <w:tcW w:w="280" w:type="dxa"/>
            <w:vAlign w:val="bottom"/>
          </w:tcPr>
          <w:p>
            <w:pPr>
              <w:spacing w:after="0"/>
              <w:rPr>
                <w:sz w:val="17"/>
                <w:szCs w:val="17"/>
                <w:color w:val="auto"/>
              </w:rPr>
            </w:pPr>
          </w:p>
        </w:tc>
        <w:tc>
          <w:tcPr>
            <w:tcW w:w="2520" w:type="dxa"/>
            <w:vAlign w:val="bottom"/>
            <w:tcBorders>
              <w:bottom w:val="single" w:sz="8" w:color="auto"/>
            </w:tcBorders>
            <w:gridSpan w:val="4"/>
          </w:tcPr>
          <w:p>
            <w:pPr>
              <w:ind w:left="820"/>
              <w:spacing w:after="0"/>
              <w:rPr>
                <w:sz w:val="20"/>
                <w:szCs w:val="20"/>
                <w:color w:val="auto"/>
              </w:rPr>
            </w:pPr>
            <w:r>
              <w:rPr>
                <w:rFonts w:ascii="Arial" w:cs="Arial" w:eastAsia="Arial" w:hAnsi="Arial"/>
                <w:sz w:val="16"/>
                <w:szCs w:val="16"/>
                <w:b w:val="1"/>
                <w:bCs w:val="1"/>
                <w:color w:val="auto"/>
              </w:rPr>
              <w:t>ended March 31, 2017</w:t>
            </w: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45"/>
        </w:trPr>
        <w:tc>
          <w:tcPr>
            <w:tcW w:w="3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98"/>
              </w:rPr>
              <w:t>IFRS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98"/>
              </w:rPr>
              <w:t>IFRS</w:t>
            </w:r>
          </w:p>
        </w:tc>
        <w:tc>
          <w:tcPr>
            <w:tcW w:w="20" w:type="dxa"/>
            <w:vAlign w:val="bottom"/>
          </w:tcPr>
          <w:p>
            <w:pPr>
              <w:spacing w:after="0"/>
              <w:rPr>
                <w:sz w:val="12"/>
                <w:szCs w:val="12"/>
                <w:color w:val="auto"/>
              </w:rPr>
            </w:pPr>
          </w:p>
        </w:tc>
      </w:tr>
      <w:tr>
        <w:trPr>
          <w:trHeight w:val="176"/>
        </w:trPr>
        <w:tc>
          <w:tcPr>
            <w:tcW w:w="3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Common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jc w:val="center"/>
              <w:ind w:right="40"/>
              <w:spacing w:after="0" w:line="176" w:lineRule="exact"/>
              <w:rPr>
                <w:sz w:val="20"/>
                <w:szCs w:val="20"/>
                <w:color w:val="auto"/>
              </w:rPr>
            </w:pPr>
            <w:r>
              <w:rPr>
                <w:rFonts w:ascii="Arial" w:cs="Arial" w:eastAsia="Arial" w:hAnsi="Arial"/>
                <w:sz w:val="16"/>
                <w:szCs w:val="16"/>
                <w:b w:val="1"/>
                <w:bCs w:val="1"/>
                <w:color w:val="auto"/>
                <w:w w:val="89"/>
              </w:rPr>
              <w:t>Common</w:t>
            </w:r>
          </w:p>
        </w:tc>
      </w:tr>
      <w:tr>
        <w:trPr>
          <w:trHeight w:val="176"/>
        </w:trPr>
        <w:tc>
          <w:tcPr>
            <w:tcW w:w="392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Results</w:t>
            </w:r>
          </w:p>
        </w:tc>
        <w:tc>
          <w:tcPr>
            <w:tcW w:w="260" w:type="dxa"/>
            <w:vAlign w:val="bottom"/>
          </w:tcPr>
          <w:p>
            <w:pPr>
              <w:spacing w:after="0"/>
              <w:rPr>
                <w:sz w:val="15"/>
                <w:szCs w:val="15"/>
                <w:color w:val="auto"/>
              </w:rPr>
            </w:pPr>
          </w:p>
        </w:tc>
        <w:tc>
          <w:tcPr>
            <w:tcW w:w="1220" w:type="dxa"/>
            <w:vAlign w:val="bottom"/>
            <w:gridSpan w:val="2"/>
          </w:tcPr>
          <w:p>
            <w:pPr>
              <w:jc w:val="center"/>
              <w:ind w:right="160"/>
              <w:spacing w:after="0" w:line="176" w:lineRule="exact"/>
              <w:rPr>
                <w:sz w:val="20"/>
                <w:szCs w:val="20"/>
                <w:color w:val="auto"/>
              </w:rPr>
            </w:pPr>
            <w:r>
              <w:rPr>
                <w:rFonts w:ascii="Arial" w:cs="Arial" w:eastAsia="Arial" w:hAnsi="Arial"/>
                <w:sz w:val="16"/>
                <w:szCs w:val="16"/>
                <w:b w:val="1"/>
                <w:bCs w:val="1"/>
                <w:color w:val="auto"/>
                <w:w w:val="92"/>
              </w:rPr>
              <w:t>Partnership</w:t>
            </w:r>
          </w:p>
        </w:tc>
        <w:tc>
          <w:tcPr>
            <w:tcW w:w="1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Control</w:t>
            </w:r>
          </w:p>
        </w:tc>
        <w:tc>
          <w:tcPr>
            <w:tcW w:w="2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Results</w:t>
            </w:r>
          </w:p>
        </w:tc>
        <w:tc>
          <w:tcPr>
            <w:tcW w:w="26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Partnership</w:t>
            </w:r>
          </w:p>
        </w:tc>
        <w:tc>
          <w:tcPr>
            <w:tcW w:w="660" w:type="dxa"/>
            <w:vAlign w:val="bottom"/>
            <w:gridSpan w:val="2"/>
          </w:tcPr>
          <w:p>
            <w:pPr>
              <w:jc w:val="center"/>
              <w:ind w:right="20"/>
              <w:spacing w:after="0" w:line="176" w:lineRule="exact"/>
              <w:rPr>
                <w:sz w:val="20"/>
                <w:szCs w:val="20"/>
                <w:color w:val="auto"/>
              </w:rPr>
            </w:pPr>
            <w:r>
              <w:rPr>
                <w:rFonts w:ascii="Arial" w:cs="Arial" w:eastAsia="Arial" w:hAnsi="Arial"/>
                <w:sz w:val="16"/>
                <w:szCs w:val="16"/>
                <w:b w:val="1"/>
                <w:bCs w:val="1"/>
                <w:color w:val="auto"/>
                <w:w w:val="91"/>
              </w:rPr>
              <w:t>Control</w:t>
            </w:r>
          </w:p>
        </w:tc>
      </w:tr>
      <w:tr>
        <w:trPr>
          <w:trHeight w:val="176"/>
        </w:trPr>
        <w:tc>
          <w:tcPr>
            <w:tcW w:w="392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attributable</w:t>
            </w:r>
          </w:p>
        </w:tc>
        <w:tc>
          <w:tcPr>
            <w:tcW w:w="260" w:type="dxa"/>
            <w:vAlign w:val="bottom"/>
          </w:tcPr>
          <w:p>
            <w:pPr>
              <w:spacing w:after="0"/>
              <w:rPr>
                <w:sz w:val="15"/>
                <w:szCs w:val="15"/>
                <w:color w:val="auto"/>
              </w:rPr>
            </w:pPr>
          </w:p>
        </w:tc>
        <w:tc>
          <w:tcPr>
            <w:tcW w:w="1220" w:type="dxa"/>
            <w:vAlign w:val="bottom"/>
            <w:gridSpan w:val="2"/>
          </w:tcPr>
          <w:p>
            <w:pPr>
              <w:jc w:val="center"/>
              <w:ind w:right="160"/>
              <w:spacing w:after="0" w:line="176" w:lineRule="exact"/>
              <w:rPr>
                <w:sz w:val="20"/>
                <w:szCs w:val="20"/>
                <w:color w:val="auto"/>
              </w:rPr>
            </w:pPr>
            <w:r>
              <w:rPr>
                <w:rFonts w:ascii="Arial" w:cs="Arial" w:eastAsia="Arial" w:hAnsi="Arial"/>
                <w:sz w:val="16"/>
                <w:szCs w:val="16"/>
                <w:b w:val="1"/>
                <w:bCs w:val="1"/>
                <w:color w:val="auto"/>
                <w:w w:val="87"/>
              </w:rPr>
              <w:t>Performance</w:t>
            </w:r>
          </w:p>
        </w:tc>
        <w:tc>
          <w:tcPr>
            <w:tcW w:w="1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Reported</w:t>
            </w:r>
          </w:p>
        </w:tc>
        <w:tc>
          <w:tcPr>
            <w:tcW w:w="2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attributable</w:t>
            </w:r>
          </w:p>
        </w:tc>
        <w:tc>
          <w:tcPr>
            <w:tcW w:w="26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87"/>
              </w:rPr>
              <w:t>Performance</w:t>
            </w:r>
          </w:p>
        </w:tc>
        <w:tc>
          <w:tcPr>
            <w:tcW w:w="660" w:type="dxa"/>
            <w:vAlign w:val="bottom"/>
            <w:gridSpan w:val="2"/>
          </w:tcPr>
          <w:p>
            <w:pPr>
              <w:jc w:val="center"/>
              <w:ind w:right="20"/>
              <w:spacing w:after="0" w:line="176" w:lineRule="exact"/>
              <w:rPr>
                <w:sz w:val="20"/>
                <w:szCs w:val="20"/>
                <w:color w:val="auto"/>
              </w:rPr>
            </w:pPr>
            <w:r>
              <w:rPr>
                <w:rFonts w:ascii="Arial" w:cs="Arial" w:eastAsia="Arial" w:hAnsi="Arial"/>
                <w:sz w:val="16"/>
                <w:szCs w:val="16"/>
                <w:b w:val="1"/>
                <w:bCs w:val="1"/>
                <w:color w:val="auto"/>
                <w:w w:val="91"/>
              </w:rPr>
              <w:t>Reported</w:t>
            </w:r>
          </w:p>
        </w:tc>
      </w:tr>
      <w:tr>
        <w:trPr>
          <w:trHeight w:val="199"/>
        </w:trPr>
        <w:tc>
          <w:tcPr>
            <w:tcW w:w="39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to GasLog</w:t>
            </w:r>
          </w:p>
        </w:tc>
        <w:tc>
          <w:tcPr>
            <w:tcW w:w="26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Results</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6"/>
              </w:rPr>
              <w:t>Results</w:t>
            </w:r>
          </w:p>
        </w:tc>
        <w:tc>
          <w:tcPr>
            <w:tcW w:w="2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to GasLog</w:t>
            </w:r>
          </w:p>
        </w:tc>
        <w:tc>
          <w:tcPr>
            <w:tcW w:w="2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Results</w:t>
            </w:r>
          </w:p>
        </w:tc>
        <w:tc>
          <w:tcPr>
            <w:tcW w:w="6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2"/>
              </w:rPr>
              <w:t>Results</w:t>
            </w:r>
          </w:p>
        </w:tc>
      </w:tr>
      <w:tr>
        <w:trPr>
          <w:trHeight w:val="242"/>
        </w:trPr>
        <w:tc>
          <w:tcPr>
            <w:tcW w:w="3920" w:type="dxa"/>
            <w:vAlign w:val="bottom"/>
          </w:tcPr>
          <w:p>
            <w:pPr>
              <w:spacing w:after="0"/>
              <w:rPr>
                <w:sz w:val="21"/>
                <w:szCs w:val="21"/>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26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28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3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4"/>
          </w:tcPr>
          <w:p>
            <w:pPr>
              <w:ind w:left="20"/>
              <w:spacing w:after="0"/>
              <w:rPr>
                <w:sz w:val="20"/>
                <w:szCs w:val="20"/>
                <w:color w:val="auto"/>
              </w:rPr>
            </w:pPr>
            <w:r>
              <w:rPr>
                <w:rFonts w:ascii="Arial" w:cs="Arial" w:eastAsia="Arial" w:hAnsi="Arial"/>
                <w:sz w:val="16"/>
                <w:szCs w:val="16"/>
                <w:b w:val="1"/>
                <w:bCs w:val="1"/>
                <w:color w:val="auto"/>
                <w:w w:val="96"/>
              </w:rPr>
              <w:t>(in thousands of U.S. dollars)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3920" w:type="dxa"/>
            <w:vAlign w:val="bottom"/>
            <w:shd w:val="clear" w:color="auto" w:fill="E5FFFF"/>
          </w:tcPr>
          <w:p>
            <w:pPr>
              <w:ind w:left="20"/>
              <w:spacing w:after="0" w:line="176" w:lineRule="exact"/>
              <w:rPr>
                <w:sz w:val="20"/>
                <w:szCs w:val="20"/>
                <w:color w:val="auto"/>
              </w:rPr>
            </w:pPr>
            <w:r>
              <w:rPr>
                <w:rFonts w:ascii="Arial" w:cs="Arial" w:eastAsia="Arial" w:hAnsi="Arial"/>
                <w:sz w:val="16"/>
                <w:szCs w:val="16"/>
                <w:b w:val="1"/>
                <w:bCs w:val="1"/>
                <w:color w:val="auto"/>
              </w:rPr>
              <w:t>STATEMENT OF PROFIT OR LOSS</w:t>
            </w:r>
          </w:p>
        </w:tc>
        <w:tc>
          <w:tcPr>
            <w:tcW w:w="94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04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86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94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04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6"/>
                <w:szCs w:val="16"/>
                <w:color w:val="auto"/>
              </w:rPr>
              <w:t>Revenues</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6,769</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color w:val="auto"/>
              </w:rPr>
              <w:t>49,358</w:t>
            </w:r>
          </w:p>
        </w:tc>
        <w:tc>
          <w:tcPr>
            <w:tcW w:w="180" w:type="dxa"/>
            <w:vAlign w:val="bottom"/>
          </w:tcPr>
          <w:p>
            <w:pPr>
              <w:spacing w:after="0"/>
              <w:rPr>
                <w:sz w:val="21"/>
                <w:szCs w:val="21"/>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6"/>
                <w:szCs w:val="16"/>
                <w:color w:val="auto"/>
              </w:rPr>
              <w:t>56,127</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color w:val="auto"/>
              </w:rPr>
              <w:t>56,993</w:t>
            </w:r>
          </w:p>
        </w:tc>
        <w:tc>
          <w:tcPr>
            <w:tcW w:w="28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56,993</w:t>
            </w:r>
          </w:p>
        </w:tc>
        <w:tc>
          <w:tcPr>
            <w:tcW w:w="20" w:type="dxa"/>
            <w:vAlign w:val="bottom"/>
          </w:tcPr>
          <w:p>
            <w:pPr>
              <w:spacing w:after="0"/>
              <w:rPr>
                <w:sz w:val="21"/>
                <w:szCs w:val="21"/>
                <w:color w:val="auto"/>
              </w:rPr>
            </w:pPr>
          </w:p>
        </w:tc>
      </w:tr>
      <w:tr>
        <w:trPr>
          <w:trHeight w:val="243"/>
        </w:trPr>
        <w:tc>
          <w:tcPr>
            <w:tcW w:w="3920" w:type="dxa"/>
            <w:vAlign w:val="bottom"/>
            <w:shd w:val="clear" w:color="auto" w:fill="E5FFFF"/>
          </w:tcPr>
          <w:p>
            <w:pPr>
              <w:ind w:left="20"/>
              <w:spacing w:after="0"/>
              <w:rPr>
                <w:sz w:val="20"/>
                <w:szCs w:val="20"/>
                <w:color w:val="auto"/>
              </w:rPr>
            </w:pPr>
            <w:r>
              <w:rPr>
                <w:rFonts w:ascii="Arial" w:cs="Arial" w:eastAsia="Arial" w:hAnsi="Arial"/>
                <w:sz w:val="16"/>
                <w:szCs w:val="16"/>
                <w:color w:val="auto"/>
              </w:rPr>
              <w:t>Vessel operating costs</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(1,354)</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(11,394)</w:t>
            </w:r>
          </w:p>
        </w:tc>
        <w:tc>
          <w:tcPr>
            <w:tcW w:w="18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(12,748)</w:t>
            </w: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(11,168)</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(11,168)</w:t>
            </w:r>
          </w:p>
        </w:tc>
        <w:tc>
          <w:tcPr>
            <w:tcW w:w="20" w:type="dxa"/>
            <w:vAlign w:val="bottom"/>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6"/>
                <w:szCs w:val="16"/>
                <w:color w:val="auto"/>
              </w:rPr>
              <w:t>Voyage expenses and commissions</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(714)</w:t>
            </w: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(799)</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(715)</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(715)</w:t>
            </w:r>
          </w:p>
        </w:tc>
        <w:tc>
          <w:tcPr>
            <w:tcW w:w="20" w:type="dxa"/>
            <w:vAlign w:val="bottom"/>
          </w:tcPr>
          <w:p>
            <w:pPr>
              <w:spacing w:after="0"/>
              <w:rPr>
                <w:sz w:val="21"/>
                <w:szCs w:val="21"/>
                <w:color w:val="auto"/>
              </w:rPr>
            </w:pPr>
          </w:p>
        </w:tc>
      </w:tr>
      <w:tr>
        <w:trPr>
          <w:trHeight w:val="243"/>
        </w:trPr>
        <w:tc>
          <w:tcPr>
            <w:tcW w:w="3920" w:type="dxa"/>
            <w:vAlign w:val="bottom"/>
            <w:shd w:val="clear" w:color="auto" w:fill="E5FFFF"/>
          </w:tcPr>
          <w:p>
            <w:pPr>
              <w:ind w:left="20"/>
              <w:spacing w:after="0"/>
              <w:rPr>
                <w:sz w:val="20"/>
                <w:szCs w:val="20"/>
                <w:color w:val="auto"/>
              </w:rPr>
            </w:pPr>
            <w:r>
              <w:rPr>
                <w:rFonts w:ascii="Arial" w:cs="Arial" w:eastAsia="Arial" w:hAnsi="Arial"/>
                <w:sz w:val="16"/>
                <w:szCs w:val="16"/>
                <w:color w:val="auto"/>
              </w:rPr>
              <w:t>Depreciation</w:t>
            </w: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(1,428)</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(11,103)</w:t>
            </w:r>
          </w:p>
        </w:tc>
        <w:tc>
          <w:tcPr>
            <w:tcW w:w="18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(12,531)</w:t>
            </w: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(12,362)</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(12,362)</w:t>
            </w:r>
          </w:p>
        </w:tc>
        <w:tc>
          <w:tcPr>
            <w:tcW w:w="20" w:type="dxa"/>
            <w:vAlign w:val="bottom"/>
          </w:tcPr>
          <w:p>
            <w:pPr>
              <w:spacing w:after="0"/>
              <w:rPr>
                <w:sz w:val="21"/>
                <w:szCs w:val="2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(149)</w:t>
            </w:r>
          </w:p>
        </w:tc>
        <w:tc>
          <w:tcPr>
            <w:tcW w:w="26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(2,942)</w:t>
            </w:r>
          </w:p>
        </w:tc>
        <w:tc>
          <w:tcPr>
            <w:tcW w:w="280" w:type="dxa"/>
            <w:vAlign w:val="bottom"/>
          </w:tcPr>
          <w:p>
            <w:pPr>
              <w:spacing w:after="0"/>
              <w:rPr>
                <w:sz w:val="21"/>
                <w:szCs w:val="21"/>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w:t>
            </w:r>
          </w:p>
        </w:tc>
        <w:tc>
          <w:tcPr>
            <w:tcW w:w="28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w:t>
            </w:r>
          </w:p>
        </w:tc>
        <w:tc>
          <w:tcPr>
            <w:tcW w:w="20" w:type="dxa"/>
            <w:vAlign w:val="bottom"/>
          </w:tcPr>
          <w:p>
            <w:pPr>
              <w:spacing w:after="0"/>
              <w:rPr>
                <w:sz w:val="21"/>
                <w:szCs w:val="21"/>
                <w:color w:val="auto"/>
              </w:rPr>
            </w:pPr>
          </w:p>
        </w:tc>
      </w:tr>
      <w:tr>
        <w:trPr>
          <w:trHeight w:val="243"/>
        </w:trPr>
        <w:tc>
          <w:tcPr>
            <w:tcW w:w="39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940" w:type="dxa"/>
            <w:vAlign w:val="bottom"/>
            <w:tcBorders>
              <w:bottom w:val="single" w:sz="8" w:color="auto"/>
            </w:tcBorders>
            <w:shd w:val="clear" w:color="auto" w:fill="E5FFFF"/>
          </w:tcPr>
          <w:p>
            <w:pPr>
              <w:jc w:val="right"/>
              <w:ind w:right="61"/>
              <w:spacing w:after="0"/>
              <w:rPr>
                <w:sz w:val="20"/>
                <w:szCs w:val="20"/>
                <w:color w:val="auto"/>
              </w:rPr>
            </w:pPr>
            <w:r>
              <w:rPr>
                <w:rFonts w:ascii="Arial" w:cs="Arial" w:eastAsia="Arial" w:hAnsi="Arial"/>
                <w:sz w:val="16"/>
                <w:szCs w:val="16"/>
                <w:b w:val="1"/>
                <w:bCs w:val="1"/>
                <w:color w:val="auto"/>
              </w:rPr>
              <w:t>3,753</w:t>
            </w:r>
          </w:p>
        </w:tc>
        <w:tc>
          <w:tcPr>
            <w:tcW w:w="260" w:type="dxa"/>
            <w:vAlign w:val="bottom"/>
            <w:shd w:val="clear" w:color="auto" w:fill="E5FFFF"/>
          </w:tcPr>
          <w:p>
            <w:pPr>
              <w:spacing w:after="0"/>
              <w:rPr>
                <w:sz w:val="21"/>
                <w:szCs w:val="21"/>
                <w:color w:val="auto"/>
              </w:rPr>
            </w:pPr>
          </w:p>
        </w:tc>
        <w:tc>
          <w:tcPr>
            <w:tcW w:w="1040" w:type="dxa"/>
            <w:vAlign w:val="bottom"/>
            <w:tcBorders>
              <w:bottom w:val="single" w:sz="8" w:color="auto"/>
            </w:tcBorders>
            <w:shd w:val="clear" w:color="auto" w:fill="E5FFFF"/>
          </w:tcPr>
          <w:p>
            <w:pPr>
              <w:jc w:val="right"/>
              <w:ind w:right="41"/>
              <w:spacing w:after="0"/>
              <w:rPr>
                <w:sz w:val="20"/>
                <w:szCs w:val="20"/>
                <w:color w:val="auto"/>
              </w:rPr>
            </w:pPr>
            <w:r>
              <w:rPr>
                <w:rFonts w:ascii="Arial" w:cs="Arial" w:eastAsia="Arial" w:hAnsi="Arial"/>
                <w:sz w:val="16"/>
                <w:szCs w:val="16"/>
                <w:b w:val="1"/>
                <w:bCs w:val="1"/>
                <w:color w:val="auto"/>
              </w:rPr>
              <w:t>23,354</w:t>
            </w: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ind w:right="21"/>
              <w:spacing w:after="0"/>
              <w:rPr>
                <w:sz w:val="20"/>
                <w:szCs w:val="20"/>
                <w:color w:val="auto"/>
              </w:rPr>
            </w:pPr>
            <w:r>
              <w:rPr>
                <w:rFonts w:ascii="Arial" w:cs="Arial" w:eastAsia="Arial" w:hAnsi="Arial"/>
                <w:sz w:val="16"/>
                <w:szCs w:val="16"/>
                <w:b w:val="1"/>
                <w:bCs w:val="1"/>
                <w:color w:val="auto"/>
              </w:rPr>
              <w:t>27,107</w:t>
            </w:r>
          </w:p>
        </w:tc>
        <w:tc>
          <w:tcPr>
            <w:tcW w:w="280" w:type="dxa"/>
            <w:vAlign w:val="bottom"/>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ind w:left="60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E5FFFF"/>
          </w:tcPr>
          <w:p>
            <w:pPr>
              <w:spacing w:after="0"/>
              <w:rPr>
                <w:sz w:val="21"/>
                <w:szCs w:val="21"/>
                <w:color w:val="auto"/>
              </w:rPr>
            </w:pPr>
          </w:p>
        </w:tc>
        <w:tc>
          <w:tcPr>
            <w:tcW w:w="1040" w:type="dxa"/>
            <w:vAlign w:val="bottom"/>
            <w:tcBorders>
              <w:bottom w:val="single" w:sz="8" w:color="auto"/>
            </w:tcBorders>
            <w:shd w:val="clear" w:color="auto" w:fill="E5FFFF"/>
          </w:tcPr>
          <w:p>
            <w:pPr>
              <w:jc w:val="right"/>
              <w:ind w:right="41"/>
              <w:spacing w:after="0"/>
              <w:rPr>
                <w:sz w:val="20"/>
                <w:szCs w:val="20"/>
                <w:color w:val="auto"/>
              </w:rPr>
            </w:pPr>
            <w:r>
              <w:rPr>
                <w:rFonts w:ascii="Arial" w:cs="Arial" w:eastAsia="Arial" w:hAnsi="Arial"/>
                <w:sz w:val="16"/>
                <w:szCs w:val="16"/>
                <w:b w:val="1"/>
                <w:bCs w:val="1"/>
                <w:color w:val="auto"/>
              </w:rPr>
              <w:t>29,664</w:t>
            </w:r>
          </w:p>
        </w:tc>
        <w:tc>
          <w:tcPr>
            <w:tcW w:w="280" w:type="dxa"/>
            <w:vAlign w:val="bottom"/>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29,664</w:t>
            </w:r>
          </w:p>
        </w:tc>
        <w:tc>
          <w:tcPr>
            <w:tcW w:w="20" w:type="dxa"/>
            <w:vAlign w:val="bottom"/>
          </w:tcPr>
          <w:p>
            <w:pPr>
              <w:spacing w:after="0"/>
              <w:rPr>
                <w:sz w:val="21"/>
                <w:szCs w:val="2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6"/>
                <w:szCs w:val="16"/>
                <w:color w:val="auto"/>
              </w:rPr>
              <w:t>Financial costs</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(1,029)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(7,181)</w:t>
            </w: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(8,210)</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(8,782)</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(8,782)</w:t>
            </w:r>
          </w:p>
        </w:tc>
        <w:tc>
          <w:tcPr>
            <w:tcW w:w="20" w:type="dxa"/>
            <w:vAlign w:val="bottom"/>
          </w:tcPr>
          <w:p>
            <w:pPr>
              <w:spacing w:after="0"/>
              <w:rPr>
                <w:sz w:val="21"/>
                <w:szCs w:val="21"/>
                <w:color w:val="auto"/>
              </w:rPr>
            </w:pPr>
          </w:p>
        </w:tc>
      </w:tr>
      <w:tr>
        <w:trPr>
          <w:trHeight w:val="243"/>
        </w:trPr>
        <w:tc>
          <w:tcPr>
            <w:tcW w:w="392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income</w:t>
            </w:r>
          </w:p>
        </w:tc>
        <w:tc>
          <w:tcPr>
            <w:tcW w:w="94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ind w:right="41"/>
              <w:spacing w:after="0"/>
              <w:rPr>
                <w:sz w:val="20"/>
                <w:szCs w:val="20"/>
                <w:color w:val="auto"/>
              </w:rPr>
            </w:pPr>
            <w:r>
              <w:rPr>
                <w:rFonts w:ascii="Arial" w:cs="Arial" w:eastAsia="Arial" w:hAnsi="Arial"/>
                <w:sz w:val="16"/>
                <w:szCs w:val="16"/>
                <w:color w:val="auto"/>
              </w:rPr>
              <w:t>18</w:t>
            </w:r>
          </w:p>
        </w:tc>
        <w:tc>
          <w:tcPr>
            <w:tcW w:w="18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18</w:t>
            </w: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ind w:right="41"/>
              <w:spacing w:after="0"/>
              <w:rPr>
                <w:sz w:val="20"/>
                <w:szCs w:val="20"/>
                <w:color w:val="auto"/>
              </w:rPr>
            </w:pPr>
            <w:r>
              <w:rPr>
                <w:rFonts w:ascii="Arial" w:cs="Arial" w:eastAsia="Arial" w:hAnsi="Arial"/>
                <w:sz w:val="16"/>
                <w:szCs w:val="16"/>
                <w:color w:val="auto"/>
              </w:rPr>
              <w:t>117</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117</w:t>
            </w:r>
          </w:p>
        </w:tc>
        <w:tc>
          <w:tcPr>
            <w:tcW w:w="20" w:type="dxa"/>
            <w:vAlign w:val="bottom"/>
          </w:tcPr>
          <w:p>
            <w:pPr>
              <w:spacing w:after="0"/>
              <w:rPr>
                <w:sz w:val="21"/>
                <w:szCs w:val="2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6"/>
                <w:szCs w:val="16"/>
                <w:color w:val="auto"/>
              </w:rPr>
              <w:t>(Loss)/gain on interest rate swaps</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(2,902)</w:t>
            </w:r>
          </w:p>
        </w:tc>
        <w:tc>
          <w:tcPr>
            <w:tcW w:w="260" w:type="dxa"/>
            <w:vAlign w:val="bottom"/>
          </w:tcPr>
          <w:p>
            <w:pPr>
              <w:spacing w:after="0"/>
              <w:rPr>
                <w:sz w:val="21"/>
                <w:szCs w:val="21"/>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(2,902)</w:t>
            </w:r>
          </w:p>
        </w:tc>
        <w:tc>
          <w:tcPr>
            <w:tcW w:w="280" w:type="dxa"/>
            <w:vAlign w:val="bottom"/>
          </w:tcPr>
          <w:p>
            <w:pPr>
              <w:spacing w:after="0"/>
              <w:rPr>
                <w:sz w:val="21"/>
                <w:szCs w:val="21"/>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21"/>
                <w:szCs w:val="21"/>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1"/>
                <w:szCs w:val="21"/>
                <w:color w:val="auto"/>
              </w:rPr>
            </w:pPr>
          </w:p>
        </w:tc>
      </w:tr>
      <w:tr>
        <w:trPr>
          <w:trHeight w:val="243"/>
        </w:trPr>
        <w:tc>
          <w:tcPr>
            <w:tcW w:w="39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Total other expenses, net</w:t>
            </w:r>
          </w:p>
        </w:tc>
        <w:tc>
          <w:tcPr>
            <w:tcW w:w="9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(3,931)</w:t>
            </w:r>
          </w:p>
        </w:tc>
        <w:tc>
          <w:tcPr>
            <w:tcW w:w="260" w:type="dxa"/>
            <w:vAlign w:val="bottom"/>
            <w:shd w:val="clear" w:color="auto" w:fill="E5FFFF"/>
          </w:tcPr>
          <w:p>
            <w:pPr>
              <w:spacing w:after="0"/>
              <w:rPr>
                <w:sz w:val="21"/>
                <w:szCs w:val="21"/>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(7,163)</w:t>
            </w: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(11,094)</w:t>
            </w:r>
          </w:p>
        </w:tc>
        <w:tc>
          <w:tcPr>
            <w:tcW w:w="280" w:type="dxa"/>
            <w:vAlign w:val="bottom"/>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ind w:left="60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E5FFFF"/>
          </w:tcPr>
          <w:p>
            <w:pPr>
              <w:spacing w:after="0"/>
              <w:rPr>
                <w:sz w:val="21"/>
                <w:szCs w:val="21"/>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(8,642)</w:t>
            </w:r>
          </w:p>
        </w:tc>
        <w:tc>
          <w:tcPr>
            <w:tcW w:w="280" w:type="dxa"/>
            <w:vAlign w:val="bottom"/>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(8,642)</w:t>
            </w:r>
          </w:p>
        </w:tc>
        <w:tc>
          <w:tcPr>
            <w:tcW w:w="20" w:type="dxa"/>
            <w:vAlign w:val="bottom"/>
          </w:tcPr>
          <w:p>
            <w:pPr>
              <w:spacing w:after="0"/>
              <w:rPr>
                <w:sz w:val="21"/>
                <w:szCs w:val="2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(Loss)/profit for the period</w:t>
            </w: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(178)</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16,191</w:t>
            </w:r>
          </w:p>
        </w:tc>
        <w:tc>
          <w:tcPr>
            <w:tcW w:w="180" w:type="dxa"/>
            <w:vAlign w:val="bottom"/>
          </w:tcPr>
          <w:p>
            <w:pPr>
              <w:spacing w:after="0"/>
              <w:rPr>
                <w:sz w:val="21"/>
                <w:szCs w:val="21"/>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16,013</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21,022</w:t>
            </w:r>
          </w:p>
        </w:tc>
        <w:tc>
          <w:tcPr>
            <w:tcW w:w="28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b w:val="1"/>
                <w:bCs w:val="1"/>
                <w:color w:val="auto"/>
              </w:rPr>
              <w:t>21,022</w:t>
            </w:r>
          </w:p>
        </w:tc>
        <w:tc>
          <w:tcPr>
            <w:tcW w:w="20" w:type="dxa"/>
            <w:vAlign w:val="bottom"/>
          </w:tcPr>
          <w:p>
            <w:pPr>
              <w:spacing w:after="0"/>
              <w:rPr>
                <w:sz w:val="21"/>
                <w:szCs w:val="21"/>
                <w:color w:val="auto"/>
              </w:rPr>
            </w:pPr>
          </w:p>
        </w:tc>
      </w:tr>
      <w:tr>
        <w:trPr>
          <w:trHeight w:val="20"/>
        </w:trPr>
        <w:tc>
          <w:tcPr>
            <w:tcW w:w="3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007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6007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EBITDA</w:t>
      </w:r>
    </w:p>
    <w:p>
      <w:pPr>
        <w:spacing w:after="0" w:line="100"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gain/losses on interest rate swaps, taxes, depreciation and amortization, which items are affected by various and possibly changing financing methods, capital structure and historical cost basis and which items may significantly affect results of operations between periods.</w:t>
      </w:r>
    </w:p>
    <w:p>
      <w:pPr>
        <w:spacing w:after="0" w:line="64"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EBITDA has limitations as an analytical tool and should not be considered an alternative to, or as a substitute for, or superior to profit, profit from operations, earnings per unit or any other 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85" w:lineRule="exact"/>
        <w:rPr>
          <w:sz w:val="20"/>
          <w:szCs w:val="20"/>
          <w:color w:val="auto"/>
        </w:rPr>
      </w:pPr>
    </w:p>
    <w:p>
      <w:pPr>
        <w:ind w:right="40"/>
        <w:spacing w:after="0"/>
        <w:rPr>
          <w:sz w:val="20"/>
          <w:szCs w:val="20"/>
          <w:color w:val="auto"/>
        </w:rPr>
      </w:pPr>
      <w:r>
        <w:rPr>
          <w:rFonts w:ascii="Arial" w:cs="Arial" w:eastAsia="Arial" w:hAnsi="Arial"/>
          <w:sz w:val="16"/>
          <w:szCs w:val="16"/>
          <w:color w:val="auto"/>
        </w:rPr>
        <w:t>EBITDA excludes some, but not all, items that affect profit/(loss) and these measures may vary among other companies. Therefore, EBITDA as presented herein may not be comparable to similarly titled measures of other companies. The following table reconciles EBITDA to profit, the most directly comparable FIRS financial measure, for the periods presented.</w:t>
      </w:r>
    </w:p>
    <w:p>
      <w:pPr>
        <w:spacing w:after="0" w:line="83" w:lineRule="exact"/>
        <w:rPr>
          <w:sz w:val="20"/>
          <w:szCs w:val="20"/>
          <w:color w:val="auto"/>
        </w:rPr>
      </w:pPr>
    </w:p>
    <w:p>
      <w:pPr>
        <w:ind w:right="300"/>
        <w:spacing w:after="0"/>
        <w:rPr>
          <w:sz w:val="20"/>
          <w:szCs w:val="20"/>
          <w:color w:val="auto"/>
        </w:rPr>
      </w:pPr>
      <w:r>
        <w:rPr>
          <w:rFonts w:ascii="Arial" w:cs="Arial" w:eastAsia="Arial" w:hAnsi="Arial"/>
          <w:sz w:val="16"/>
          <w:szCs w:val="16"/>
          <w:color w:val="auto"/>
        </w:rPr>
        <w:t>EBITDA is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below.</w:t>
      </w: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150495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640" w:top="607" w:right="4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5"/>
        </w:trPr>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Reconciliation of EBITDA to Profit: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IFRS Common Control Reported Results: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7"/>
            <w:vMerge w:val="restart"/>
          </w:tcPr>
          <w:p>
            <w:pPr>
              <w:jc w:val="right"/>
              <w:ind w:right="141"/>
              <w:spacing w:after="0"/>
              <w:rPr>
                <w:sz w:val="20"/>
                <w:szCs w:val="20"/>
                <w:color w:val="auto"/>
              </w:rPr>
            </w:pPr>
            <w:r>
              <w:rPr>
                <w:rFonts w:ascii="Arial" w:cs="Arial" w:eastAsia="Arial" w:hAnsi="Arial"/>
                <w:sz w:val="16"/>
                <w:szCs w:val="16"/>
                <w:b w:val="1"/>
                <w:bCs w:val="1"/>
                <w:color w:val="auto"/>
                <w:w w:val="97"/>
              </w:rPr>
              <w:t>Three Months Ended</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0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center"/>
              <w:ind w:right="61"/>
              <w:spacing w:after="0" w:line="169" w:lineRule="exact"/>
              <w:rPr>
                <w:sz w:val="20"/>
                <w:szCs w:val="20"/>
                <w:color w:val="auto"/>
              </w:rPr>
            </w:pPr>
            <w:r>
              <w:rPr>
                <w:rFonts w:ascii="Arial" w:cs="Arial" w:eastAsia="Arial" w:hAnsi="Arial"/>
                <w:sz w:val="16"/>
                <w:szCs w:val="16"/>
                <w:b w:val="1"/>
                <w:bCs w:val="1"/>
                <w:color w:val="auto"/>
                <w:w w:val="84"/>
              </w:rPr>
              <w:t>2016</w:t>
            </w: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01"/>
              <w:spacing w:after="0" w:line="169" w:lineRule="exact"/>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8"/>
                <w:szCs w:val="8"/>
                <w:b w:val="1"/>
                <w:bCs w:val="1"/>
                <w:color w:val="auto"/>
                <w:w w:val="87"/>
              </w:rPr>
              <w:t>(1)</w:t>
            </w:r>
          </w:p>
        </w:tc>
        <w:tc>
          <w:tcPr>
            <w:tcW w:w="280" w:type="dxa"/>
            <w:vAlign w:val="bottom"/>
          </w:tcPr>
          <w:p>
            <w:pPr>
              <w:spacing w:after="0"/>
              <w:rPr>
                <w:sz w:val="21"/>
                <w:szCs w:val="21"/>
                <w:color w:val="auto"/>
              </w:rPr>
            </w:pPr>
          </w:p>
        </w:tc>
        <w:tc>
          <w:tcPr>
            <w:tcW w:w="118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4"/>
          </w:tcPr>
          <w:p>
            <w:pPr>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15"/>
          </w:tcPr>
          <w:p>
            <w:pPr>
              <w:ind w:left="260"/>
              <w:spacing w:after="0"/>
              <w:rPr>
                <w:sz w:val="20"/>
                <w:szCs w:val="20"/>
                <w:color w:val="auto"/>
              </w:rPr>
            </w:pPr>
            <w:r>
              <w:rPr>
                <w:rFonts w:ascii="Arial" w:cs="Arial" w:eastAsia="Arial" w:hAnsi="Arial"/>
                <w:sz w:val="16"/>
                <w:szCs w:val="16"/>
                <w:b w:val="1"/>
                <w:bCs w:val="1"/>
                <w:color w:val="auto"/>
              </w:rPr>
              <w:t>(in thousands of U.S dollars)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Profit</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49,043</w:t>
            </w:r>
          </w:p>
        </w:tc>
        <w:tc>
          <w:tcPr>
            <w:tcW w:w="52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77,649</w:t>
            </w:r>
          </w:p>
        </w:tc>
        <w:tc>
          <w:tcPr>
            <w:tcW w:w="28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w w:val="98"/>
              </w:rPr>
              <w:t>77,341</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16,013</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89"/>
              </w:rPr>
              <w:t>21,022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39,569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6"/>
                <w:szCs w:val="16"/>
                <w:color w:val="auto"/>
              </w:rPr>
              <w:t>49,971</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w w:val="98"/>
              </w:rPr>
              <w:t>50,014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6"/>
                <w:szCs w:val="16"/>
                <w:color w:val="auto"/>
              </w:rPr>
              <w:t>12,531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w w:val="89"/>
              </w:rPr>
              <w:t>12,362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costs</w:t>
            </w:r>
          </w:p>
        </w:tc>
        <w:tc>
          <w:tcPr>
            <w:tcW w:w="10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37,725</w:t>
            </w:r>
          </w:p>
        </w:tc>
        <w:tc>
          <w:tcPr>
            <w:tcW w:w="2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31,212</w:t>
            </w:r>
          </w:p>
        </w:tc>
        <w:tc>
          <w:tcPr>
            <w:tcW w:w="2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w w:val="98"/>
              </w:rPr>
              <w:t>36,202</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8,210</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8,782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Financial income</w:t>
            </w:r>
          </w:p>
        </w:tc>
        <w:tc>
          <w:tcPr>
            <w:tcW w:w="1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(180)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Loss/(gain) on interest rate swaps</w:t>
            </w:r>
          </w:p>
        </w:tc>
        <w:tc>
          <w:tcPr>
            <w:tcW w:w="10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12,903</w:t>
            </w:r>
          </w:p>
        </w:tc>
        <w:tc>
          <w:tcPr>
            <w:tcW w:w="28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6"/>
                <w:szCs w:val="16"/>
                <w:color w:val="auto"/>
              </w:rPr>
              <w:t>3,144</w:t>
            </w:r>
          </w:p>
        </w:tc>
        <w:tc>
          <w:tcPr>
            <w:tcW w:w="28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2,513</w:t>
            </w:r>
          </w:p>
        </w:tc>
        <w:tc>
          <w:tcPr>
            <w:tcW w:w="30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2,902</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139,191</w:t>
            </w:r>
          </w:p>
        </w:tc>
        <w:tc>
          <w:tcPr>
            <w:tcW w:w="520" w:type="dxa"/>
            <w:vAlign w:val="bottom"/>
            <w:gridSpan w:val="2"/>
          </w:tcPr>
          <w:p>
            <w:pPr>
              <w:ind w:left="30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96"/>
              </w:rPr>
              <w:t>161,947</w:t>
            </w:r>
          </w:p>
        </w:tc>
        <w:tc>
          <w:tcPr>
            <w:tcW w:w="28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b w:val="1"/>
                <w:bCs w:val="1"/>
                <w:color w:val="auto"/>
                <w:w w:val="89"/>
              </w:rPr>
              <w:t>$ 165,890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39,638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42,026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Partnership Performance Results: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6"/>
            <w:vMerge w:val="restart"/>
          </w:tcPr>
          <w:p>
            <w:pPr>
              <w:jc w:val="right"/>
              <w:ind w:right="241"/>
              <w:spacing w:after="0"/>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11"/>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auto"/>
            </w:tcBorders>
            <w:gridSpan w:val="6"/>
          </w:tcPr>
          <w:p>
            <w:pPr>
              <w:jc w:val="right"/>
              <w:ind w:right="141"/>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81"/>
              <w:spacing w:after="0" w:line="169" w:lineRule="exact"/>
              <w:rPr>
                <w:sz w:val="20"/>
                <w:szCs w:val="20"/>
                <w:color w:val="auto"/>
              </w:rPr>
            </w:pPr>
            <w:r>
              <w:rPr>
                <w:rFonts w:ascii="Arial" w:cs="Arial" w:eastAsia="Arial" w:hAnsi="Arial"/>
                <w:sz w:val="16"/>
                <w:szCs w:val="16"/>
                <w:b w:val="1"/>
                <w:bCs w:val="1"/>
                <w:color w:val="auto"/>
                <w:w w:val="95"/>
              </w:rPr>
              <w:t>2014</w:t>
            </w: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81"/>
              <w:spacing w:after="0" w:line="169" w:lineRule="exact"/>
              <w:rPr>
                <w:sz w:val="20"/>
                <w:szCs w:val="20"/>
                <w:color w:val="auto"/>
              </w:rPr>
            </w:pPr>
            <w:r>
              <w:rPr>
                <w:rFonts w:ascii="Arial" w:cs="Arial" w:eastAsia="Arial" w:hAnsi="Arial"/>
                <w:sz w:val="16"/>
                <w:szCs w:val="16"/>
                <w:b w:val="1"/>
                <w:bCs w:val="1"/>
                <w:color w:val="auto"/>
              </w:rPr>
              <w:t>2015</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80"/>
              <w:spacing w:after="0" w:line="169" w:lineRule="exact"/>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14"/>
          </w:tcPr>
          <w:p>
            <w:pPr>
              <w:ind w:left="360"/>
              <w:spacing w:after="0"/>
              <w:rPr>
                <w:sz w:val="20"/>
                <w:szCs w:val="20"/>
                <w:color w:val="auto"/>
              </w:rPr>
            </w:pPr>
            <w:r>
              <w:rPr>
                <w:rFonts w:ascii="Arial" w:cs="Arial" w:eastAsia="Arial" w:hAnsi="Arial"/>
                <w:sz w:val="16"/>
                <w:szCs w:val="16"/>
                <w:b w:val="1"/>
                <w:bCs w:val="1"/>
                <w:color w:val="auto"/>
              </w:rPr>
              <w:t>(in thousands of U.S. dollars)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Profit</w:t>
            </w:r>
          </w:p>
        </w:tc>
        <w:tc>
          <w:tcPr>
            <w:tcW w:w="100" w:type="dxa"/>
            <w:vAlign w:val="bottom"/>
            <w:shd w:val="clear" w:color="auto" w:fill="E5FFFF"/>
          </w:tcPr>
          <w:p>
            <w:pPr>
              <w:spacing w:after="0"/>
              <w:rPr>
                <w:sz w:val="21"/>
                <w:szCs w:val="21"/>
                <w:color w:val="auto"/>
              </w:rPr>
            </w:pPr>
          </w:p>
        </w:tc>
        <w:tc>
          <w:tcPr>
            <w:tcW w:w="13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$ 14,544</w:t>
            </w:r>
          </w:p>
        </w:tc>
        <w:tc>
          <w:tcPr>
            <w:tcW w:w="9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  65,040</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60" w:type="dxa"/>
            <w:vAlign w:val="bottom"/>
            <w:gridSpan w:val="2"/>
            <w:shd w:val="clear" w:color="auto" w:fill="E5FFFF"/>
          </w:tcPr>
          <w:p>
            <w:pPr>
              <w:jc w:val="center"/>
              <w:ind w:left="61"/>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77,270</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$ 16,191</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89"/>
              </w:rPr>
              <w:t>21,022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89"/>
              </w:rPr>
              <w:t>13,352</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35,981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45,230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11,103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w w:val="89"/>
              </w:rPr>
              <w:t>12,362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costs</w:t>
            </w: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w w:val="89"/>
              </w:rPr>
              <w:t>15,206</w:t>
            </w:r>
          </w:p>
        </w:tc>
        <w:tc>
          <w:tcPr>
            <w:tcW w:w="9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21,789</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30,187</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7,181</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8,782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Financial income</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Loss/(gain) on interest rate swaps</w:t>
            </w: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5,218</w:t>
            </w:r>
          </w:p>
        </w:tc>
        <w:tc>
          <w:tcPr>
            <w:tcW w:w="260" w:type="dxa"/>
            <w:vAlign w:val="bottom"/>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spacing w:after="0"/>
              <w:rPr>
                <w:sz w:val="21"/>
                <w:szCs w:val="21"/>
                <w:color w:val="auto"/>
              </w:rPr>
            </w:pPr>
          </w:p>
        </w:tc>
        <w:tc>
          <w:tcPr>
            <w:tcW w:w="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(3,623)</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00" w:type="dxa"/>
            <w:vAlign w:val="bottom"/>
          </w:tcPr>
          <w:p>
            <w:pPr>
              <w:spacing w:after="0"/>
              <w:rPr>
                <w:sz w:val="21"/>
                <w:szCs w:val="21"/>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b w:val="1"/>
                <w:bCs w:val="1"/>
                <w:color w:val="auto"/>
              </w:rPr>
              <w:t>$ 48,297</w:t>
            </w: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$ 122,786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2"/>
          </w:tcPr>
          <w:p>
            <w:pPr>
              <w:jc w:val="center"/>
              <w:ind w:left="61"/>
              <w:spacing w:after="0"/>
              <w:rPr>
                <w:sz w:val="20"/>
                <w:szCs w:val="20"/>
                <w:color w:val="auto"/>
              </w:rPr>
            </w:pPr>
            <w:r>
              <w:rPr>
                <w:rFonts w:ascii="Arial" w:cs="Arial" w:eastAsia="Arial" w:hAnsi="Arial"/>
                <w:sz w:val="16"/>
                <w:szCs w:val="16"/>
                <w:b w:val="1"/>
                <w:bCs w:val="1"/>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148,885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$ 34,457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42,026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756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77565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Distributable Cash Flow</w:t>
      </w:r>
    </w:p>
    <w:p>
      <w:pPr>
        <w:spacing w:after="0" w:line="100" w:lineRule="exact"/>
        <w:rPr>
          <w:sz w:val="20"/>
          <w:szCs w:val="20"/>
          <w:color w:val="auto"/>
        </w:rPr>
      </w:pPr>
    </w:p>
    <w:p>
      <w:pPr>
        <w:ind w:right="100"/>
        <w:spacing w:after="0" w:line="276" w:lineRule="auto"/>
        <w:rPr>
          <w:sz w:val="20"/>
          <w:szCs w:val="20"/>
          <w:color w:val="auto"/>
        </w:rPr>
      </w:pPr>
      <w:r>
        <w:rPr>
          <w:rFonts w:ascii="Arial" w:cs="Arial" w:eastAsia="Arial" w:hAnsi="Arial"/>
          <w:sz w:val="14"/>
          <w:szCs w:val="14"/>
          <w:color w:val="auto"/>
        </w:rPr>
        <w:t>Distributable cash flow means EBITDA (Partnership Performance Results), after considering cash interest expense for the period, including realized loss on interest rate swaps and excluding amortization of loan fees, estimated dry-docking and replacement capital reserves established by the Partnership.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w:t>
      </w:r>
    </w:p>
    <w:p>
      <w:pPr>
        <w:spacing w:after="0" w:line="60"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Distributable cash flow has limitations as an analytical tool and should not be considered as an alternative to, or substitute for, or superior to profit/(loss), profit/(loss) from operations, earnings per unit or any other measure of operating performance presented in accordance with IFRS.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reconciles Distributable cash flow and Cash distributions declared to EBITDA (Partnership Performance Results).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gridSpan w:val="2"/>
          </w:tcPr>
          <w:p>
            <w:pPr>
              <w:spacing w:after="0"/>
              <w:rPr>
                <w:sz w:val="20"/>
                <w:szCs w:val="20"/>
                <w:color w:val="auto"/>
              </w:rPr>
            </w:pPr>
            <w:r>
              <w:rPr>
                <w:rFonts w:ascii="Arial" w:cs="Arial" w:eastAsia="Arial" w:hAnsi="Arial"/>
                <w:sz w:val="16"/>
                <w:szCs w:val="16"/>
                <w:b w:val="1"/>
                <w:bCs w:val="1"/>
                <w:color w:val="auto"/>
              </w:rPr>
              <w:t>Reconciliation of Distributable Cash Flow to EBITDA*:</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6"/>
            <w:vMerge w:val="restart"/>
          </w:tcPr>
          <w:p>
            <w:pPr>
              <w:jc w:val="right"/>
              <w:ind w:right="81"/>
              <w:spacing w:after="0"/>
              <w:rPr>
                <w:sz w:val="20"/>
                <w:szCs w:val="20"/>
                <w:color w:val="auto"/>
              </w:rPr>
            </w:pPr>
            <w:r>
              <w:rPr>
                <w:rFonts w:ascii="Arial" w:cs="Arial" w:eastAsia="Arial" w:hAnsi="Arial"/>
                <w:sz w:val="16"/>
                <w:szCs w:val="16"/>
                <w:b w:val="1"/>
                <w:bCs w:val="1"/>
                <w:color w:val="auto"/>
                <w:w w:val="91"/>
              </w:rPr>
              <w:t>Partnership Performance Results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right"/>
              <w:ind w:right="241"/>
              <w:spacing w:after="0" w:line="145" w:lineRule="exact"/>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600" w:type="dxa"/>
            <w:vAlign w:val="bottom"/>
            <w:tcBorders>
              <w:bottom w:val="single" w:sz="8" w:color="auto"/>
            </w:tcBorders>
            <w:gridSpan w:val="7"/>
          </w:tcPr>
          <w:p>
            <w:pPr>
              <w:jc w:val="right"/>
              <w:ind w:right="341"/>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7"/>
                <w:szCs w:val="17"/>
                <w:color w:val="auto"/>
              </w:rPr>
            </w:pPr>
          </w:p>
        </w:tc>
        <w:tc>
          <w:tcPr>
            <w:tcW w:w="158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color w:val="auto"/>
              </w:rPr>
              <w:t>EBITDA (Partnership Performance Results)*</w:t>
            </w: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$ 48,297</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122,786</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148,885</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$ 34,457</w:t>
            </w:r>
          </w:p>
        </w:tc>
        <w:tc>
          <w:tcPr>
            <w:tcW w:w="9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$ 42,026</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260" w:type="dxa"/>
            <w:vAlign w:val="bottom"/>
          </w:tcPr>
          <w:p>
            <w:pPr>
              <w:ind w:left="20"/>
              <w:spacing w:after="0" w:line="156" w:lineRule="exact"/>
              <w:rPr>
                <w:sz w:val="20"/>
                <w:szCs w:val="20"/>
                <w:color w:val="auto"/>
              </w:rPr>
            </w:pPr>
            <w:r>
              <w:rPr>
                <w:rFonts w:ascii="Arial" w:cs="Arial" w:eastAsia="Arial" w:hAnsi="Arial"/>
                <w:sz w:val="16"/>
                <w:szCs w:val="16"/>
                <w:color w:val="auto"/>
                <w:w w:val="97"/>
              </w:rPr>
              <w:t>Cash interest expense including realized loss on swaps and excluding amortization of loan</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6260" w:type="dxa"/>
            <w:vAlign w:val="bottom"/>
          </w:tcPr>
          <w:p>
            <w:pPr>
              <w:ind w:left="160"/>
              <w:spacing w:after="0"/>
              <w:rPr>
                <w:sz w:val="20"/>
                <w:szCs w:val="20"/>
                <w:color w:val="auto"/>
              </w:rPr>
            </w:pPr>
            <w:r>
              <w:rPr>
                <w:rFonts w:ascii="Arial" w:cs="Arial" w:eastAsia="Arial" w:hAnsi="Arial"/>
                <w:sz w:val="16"/>
                <w:szCs w:val="16"/>
                <w:color w:val="auto"/>
              </w:rPr>
              <w:t>fees</w:t>
            </w:r>
          </w:p>
        </w:tc>
        <w:tc>
          <w:tcPr>
            <w:tcW w:w="640" w:type="dxa"/>
            <w:vAlign w:val="bottom"/>
          </w:tcPr>
          <w:p>
            <w:pPr>
              <w:jc w:val="right"/>
              <w:spacing w:after="0"/>
              <w:rPr>
                <w:sz w:val="20"/>
                <w:szCs w:val="20"/>
                <w:color w:val="auto"/>
              </w:rPr>
            </w:pPr>
            <w:r>
              <w:rPr>
                <w:rFonts w:ascii="Arial" w:cs="Arial" w:eastAsia="Arial" w:hAnsi="Arial"/>
                <w:sz w:val="16"/>
                <w:szCs w:val="16"/>
                <w:color w:val="auto"/>
              </w:rPr>
              <w:t>(9,912)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(19,484)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(26,929)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(6,191)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(8,419)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color w:val="auto"/>
              </w:rPr>
              <w:t>Dry-docking capital reserve</w:t>
            </w: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(2,621)</w:t>
            </w:r>
          </w:p>
        </w:tc>
        <w:tc>
          <w:tcPr>
            <w:tcW w:w="2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(8,338)</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(8,829)</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(2,168)</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6"/>
                <w:szCs w:val="16"/>
                <w:color w:val="auto"/>
              </w:rPr>
              <w:t>Replacement capital reserve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(8,505)</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(22,710)</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(29,467)</w:t>
            </w:r>
          </w:p>
        </w:tc>
        <w:tc>
          <w:tcPr>
            <w:tcW w:w="30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(7,231)</w:t>
            </w: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Distributable cash flow</w:t>
            </w: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27,259</w:t>
            </w:r>
          </w:p>
        </w:tc>
        <w:tc>
          <w:tcPr>
            <w:tcW w:w="2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72,254</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83,660</w:t>
            </w:r>
          </w:p>
        </w:tc>
        <w:tc>
          <w:tcPr>
            <w:tcW w:w="30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18,867</w:t>
            </w:r>
          </w:p>
        </w:tc>
        <w:tc>
          <w:tcPr>
            <w:tcW w:w="28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23,496</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6"/>
                <w:szCs w:val="16"/>
                <w:color w:val="auto"/>
              </w:rPr>
              <w:t>Other reserves**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(3,173)</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(16,067)</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(14,244)</w:t>
            </w:r>
          </w:p>
        </w:tc>
        <w:tc>
          <w:tcPr>
            <w:tcW w:w="30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w:t>
            </w:r>
          </w:p>
        </w:tc>
        <w:tc>
          <w:tcPr>
            <w:tcW w:w="2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Cash distributions***</w:t>
            </w: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89"/>
              </w:rPr>
              <w:t>$ 24,086</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56,187</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69,416</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$ 15,712</w:t>
            </w:r>
          </w:p>
        </w:tc>
        <w:tc>
          <w:tcPr>
            <w:tcW w:w="9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$ 20,121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The reconciliation of EBITDA (Partnership Performance Results) to profit is presented in Note 5 above.</w:t>
      </w: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81915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640" w:top="629" w:right="459" w:bottom="1440" w:gutter="0" w:footer="0" w:header="0"/>
        </w:sectPr>
      </w:pPr>
    </w:p>
    <w:bookmarkStart w:id="19" w:name="page20"/>
    <w:bookmarkEnd w:id="19"/>
    <w:p>
      <w:pPr>
        <w:ind w:left="534" w:right="80" w:hanging="260"/>
        <w:spacing w:after="0" w:line="321" w:lineRule="auto"/>
        <w:tabs>
          <w:tab w:leader="none" w:pos="534" w:val="left"/>
        </w:tabs>
        <w:numPr>
          <w:ilvl w:val="1"/>
          <w:numId w:val="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2671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671445"/>
                    </a:xfrm>
                    <a:prstGeom prst="rect">
                      <a:avLst/>
                    </a:prstGeom>
                    <a:noFill/>
                  </pic:spPr>
                </pic:pic>
              </a:graphicData>
            </a:graphic>
          </wp:anchor>
        </w:drawing>
        <w:t>Refers to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15" w:lineRule="exact"/>
        <w:rPr>
          <w:rFonts w:ascii="Arial" w:cs="Arial" w:eastAsia="Arial" w:hAnsi="Arial"/>
          <w:sz w:val="14"/>
          <w:szCs w:val="14"/>
          <w:color w:val="auto"/>
        </w:rPr>
      </w:pPr>
    </w:p>
    <w:p>
      <w:pPr>
        <w:ind w:left="534" w:hanging="339"/>
        <w:spacing w:after="0"/>
        <w:tabs>
          <w:tab w:leader="none" w:pos="534" w:val="left"/>
        </w:tabs>
        <w:numPr>
          <w:ilvl w:val="1"/>
          <w:numId w:val="8"/>
        </w:numPr>
        <w:rPr>
          <w:rFonts w:ascii="Arial" w:cs="Arial" w:eastAsia="Arial" w:hAnsi="Arial"/>
          <w:sz w:val="14"/>
          <w:szCs w:val="14"/>
          <w:color w:val="auto"/>
        </w:rPr>
      </w:pPr>
      <w:r>
        <w:rPr>
          <w:rFonts w:ascii="Arial" w:cs="Arial" w:eastAsia="Arial" w:hAnsi="Arial"/>
          <w:sz w:val="14"/>
          <w:szCs w:val="14"/>
          <w:color w:val="auto"/>
        </w:rPr>
        <w:t>Refers to cash distributions made since the Partnership’s IPO. It excludes payments of dividends due to GasLog before vessels were acquired by the Partnership.</w:t>
      </w:r>
    </w:p>
    <w:p>
      <w:pPr>
        <w:spacing w:after="0" w:line="109" w:lineRule="exact"/>
        <w:rPr>
          <w:rFonts w:ascii="Arial" w:cs="Arial" w:eastAsia="Arial" w:hAnsi="Arial"/>
          <w:sz w:val="14"/>
          <w:szCs w:val="14"/>
          <w:color w:val="auto"/>
        </w:rPr>
      </w:pPr>
    </w:p>
    <w:p>
      <w:pPr>
        <w:jc w:val="both"/>
        <w:ind w:left="234" w:right="360" w:hanging="190"/>
        <w:spacing w:after="0"/>
        <w:tabs>
          <w:tab w:leader="none" w:pos="234" w:val="left"/>
        </w:tabs>
        <w:numPr>
          <w:ilvl w:val="0"/>
          <w:numId w:val="8"/>
        </w:numPr>
        <w:rPr>
          <w:rFonts w:ascii="Arial" w:cs="Arial" w:eastAsia="Arial" w:hAnsi="Arial"/>
          <w:sz w:val="9"/>
          <w:szCs w:val="9"/>
          <w:color w:val="auto"/>
        </w:rPr>
      </w:pPr>
      <w:r>
        <w:rPr>
          <w:rFonts w:ascii="Arial" w:cs="Arial" w:eastAsia="Arial" w:hAnsi="Arial"/>
          <w:sz w:val="16"/>
          <w:szCs w:val="16"/>
          <w:color w:val="auto"/>
        </w:rPr>
        <w:t>Does not reflect a distribution of $10.72 million declared in January 2015 in respect of the fourth quarter of 2014. Cash distribution paid includes $9.80 million dividend due to GasLog which was declared in 2013 and excludes $8.81 million dividend due to GasLog which was declared in 2014, in both cases prior to the contribution of the relevant vessels to the Partnership.</w:t>
      </w:r>
    </w:p>
    <w:p>
      <w:pPr>
        <w:spacing w:after="0" w:line="69" w:lineRule="exact"/>
        <w:rPr>
          <w:rFonts w:ascii="Arial" w:cs="Arial" w:eastAsia="Arial" w:hAnsi="Arial"/>
          <w:sz w:val="9"/>
          <w:szCs w:val="9"/>
          <w:color w:val="auto"/>
        </w:rPr>
      </w:pPr>
    </w:p>
    <w:p>
      <w:pPr>
        <w:jc w:val="both"/>
        <w:ind w:left="234" w:right="360" w:hanging="190"/>
        <w:spacing w:after="0"/>
        <w:tabs>
          <w:tab w:leader="none" w:pos="234" w:val="left"/>
        </w:tabs>
        <w:numPr>
          <w:ilvl w:val="0"/>
          <w:numId w:val="8"/>
        </w:numPr>
        <w:rPr>
          <w:rFonts w:ascii="Arial" w:cs="Arial" w:eastAsia="Arial" w:hAnsi="Arial"/>
          <w:sz w:val="9"/>
          <w:szCs w:val="9"/>
          <w:color w:val="auto"/>
        </w:rPr>
      </w:pPr>
      <w:r>
        <w:rPr>
          <w:rFonts w:ascii="Arial" w:cs="Arial" w:eastAsia="Arial" w:hAnsi="Arial"/>
          <w:sz w:val="16"/>
          <w:szCs w:val="16"/>
          <w:color w:val="auto"/>
        </w:rPr>
        <w:t>Does not reflect a distribution of $15.71 million declared in January 2016 in respect of the fourth quarter of 2015. Cash distribution paid includes $8.81 million dividend due to GasLog which was declared in 2014 and excludes $7.80 million dividend due to GasLog which was declared in 2015, in both cases prior to the contribution of the relevant vessels to the Partnership.</w:t>
      </w:r>
    </w:p>
    <w:p>
      <w:pPr>
        <w:spacing w:after="0" w:line="69" w:lineRule="exact"/>
        <w:rPr>
          <w:rFonts w:ascii="Arial" w:cs="Arial" w:eastAsia="Arial" w:hAnsi="Arial"/>
          <w:sz w:val="9"/>
          <w:szCs w:val="9"/>
          <w:color w:val="auto"/>
        </w:rPr>
      </w:pPr>
    </w:p>
    <w:p>
      <w:pPr>
        <w:ind w:left="234" w:right="380" w:hanging="190"/>
        <w:spacing w:after="0" w:line="251" w:lineRule="auto"/>
        <w:tabs>
          <w:tab w:leader="none" w:pos="234" w:val="left"/>
        </w:tabs>
        <w:numPr>
          <w:ilvl w:val="0"/>
          <w:numId w:val="8"/>
        </w:numPr>
        <w:rPr>
          <w:rFonts w:ascii="Arial" w:cs="Arial" w:eastAsia="Arial" w:hAnsi="Arial"/>
          <w:sz w:val="9"/>
          <w:szCs w:val="9"/>
          <w:color w:val="auto"/>
        </w:rPr>
      </w:pPr>
      <w:r>
        <w:rPr>
          <w:rFonts w:ascii="Arial" w:cs="Arial" w:eastAsia="Arial" w:hAnsi="Arial"/>
          <w:sz w:val="16"/>
          <w:szCs w:val="16"/>
          <w:color w:val="auto"/>
        </w:rPr>
        <w:t xml:space="preserve">Does not reflect a distribution of $19.55 million declared in January 2017 in respect of the fourth quarter of 2016. Cash distribution paid includes $7.80 million dividend due to GasLog which was declared in 2015 prior to the contribution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to the Partnership.</w:t>
      </w:r>
    </w:p>
    <w:p>
      <w:pPr>
        <w:spacing w:after="0" w:line="60" w:lineRule="exact"/>
        <w:rPr>
          <w:rFonts w:ascii="Arial" w:cs="Arial" w:eastAsia="Arial" w:hAnsi="Arial"/>
          <w:sz w:val="9"/>
          <w:szCs w:val="9"/>
          <w:color w:val="auto"/>
        </w:rPr>
      </w:pPr>
    </w:p>
    <w:p>
      <w:pPr>
        <w:ind w:left="234" w:hanging="190"/>
        <w:spacing w:after="0"/>
        <w:tabs>
          <w:tab w:leader="none" w:pos="234" w:val="left"/>
        </w:tabs>
        <w:numPr>
          <w:ilvl w:val="0"/>
          <w:numId w:val="8"/>
        </w:numPr>
        <w:rPr>
          <w:rFonts w:ascii="Arial" w:cs="Arial" w:eastAsia="Arial" w:hAnsi="Arial"/>
          <w:sz w:val="9"/>
          <w:szCs w:val="9"/>
          <w:color w:val="auto"/>
        </w:rPr>
      </w:pPr>
      <w:r>
        <w:rPr>
          <w:rFonts w:ascii="Arial" w:cs="Arial" w:eastAsia="Arial" w:hAnsi="Arial"/>
          <w:sz w:val="16"/>
          <w:szCs w:val="16"/>
          <w:color w:val="auto"/>
        </w:rPr>
        <w:t>Does not reflect a distribution of $15.71 million declared in April 2016 and paid in May 2016, in respect of the first quarter of 2016.</w:t>
      </w:r>
    </w:p>
    <w:p>
      <w:pPr>
        <w:spacing w:after="0" w:line="86" w:lineRule="exact"/>
        <w:rPr>
          <w:rFonts w:ascii="Arial" w:cs="Arial" w:eastAsia="Arial" w:hAnsi="Arial"/>
          <w:sz w:val="9"/>
          <w:szCs w:val="9"/>
          <w:color w:val="auto"/>
        </w:rPr>
      </w:pPr>
    </w:p>
    <w:p>
      <w:pPr>
        <w:ind w:left="234" w:hanging="234"/>
        <w:spacing w:after="0"/>
        <w:tabs>
          <w:tab w:leader="none" w:pos="234" w:val="left"/>
        </w:tabs>
        <w:numPr>
          <w:ilvl w:val="0"/>
          <w:numId w:val="8"/>
        </w:numPr>
        <w:rPr>
          <w:rFonts w:ascii="Arial" w:cs="Arial" w:eastAsia="Arial" w:hAnsi="Arial"/>
          <w:sz w:val="9"/>
          <w:szCs w:val="9"/>
          <w:color w:val="auto"/>
        </w:rPr>
      </w:pPr>
      <w:r>
        <w:rPr>
          <w:rFonts w:ascii="Arial" w:cs="Arial" w:eastAsia="Arial" w:hAnsi="Arial"/>
          <w:sz w:val="16"/>
          <w:szCs w:val="16"/>
          <w:color w:val="auto"/>
        </w:rPr>
        <w:t>Does not reflect a distribution of $20.12 million declared in April 2017 and paid in May 2017, in respect of the first quarter of 2017.</w:t>
      </w:r>
    </w:p>
    <w:p>
      <w:pPr>
        <w:spacing w:after="0" w:line="86" w:lineRule="exact"/>
        <w:rPr>
          <w:rFonts w:ascii="Arial" w:cs="Arial" w:eastAsia="Arial" w:hAnsi="Arial"/>
          <w:sz w:val="9"/>
          <w:szCs w:val="9"/>
          <w:color w:val="auto"/>
        </w:rPr>
      </w:pPr>
    </w:p>
    <w:p>
      <w:pPr>
        <w:ind w:left="234" w:hanging="231"/>
        <w:spacing w:after="0"/>
        <w:tabs>
          <w:tab w:leader="none" w:pos="234" w:val="left"/>
        </w:tabs>
        <w:numPr>
          <w:ilvl w:val="0"/>
          <w:numId w:val="8"/>
        </w:numPr>
        <w:rPr>
          <w:rFonts w:ascii="Arial" w:cs="Arial" w:eastAsia="Arial" w:hAnsi="Arial"/>
          <w:sz w:val="9"/>
          <w:szCs w:val="9"/>
          <w:color w:val="auto"/>
        </w:rPr>
      </w:pPr>
      <w:r>
        <w:rPr>
          <w:rFonts w:ascii="Arial" w:cs="Arial" w:eastAsia="Arial" w:hAnsi="Arial"/>
          <w:sz w:val="16"/>
          <w:szCs w:val="16"/>
          <w:color w:val="auto"/>
        </w:rPr>
        <w:t>Does not reflect a distribution of $10.72 million declared in January 2015 and paid in February 2015, in respect of the fourth quarter of 2014.</w:t>
      </w:r>
    </w:p>
    <w:p>
      <w:pPr>
        <w:spacing w:after="0" w:line="86" w:lineRule="exact"/>
        <w:rPr>
          <w:rFonts w:ascii="Arial" w:cs="Arial" w:eastAsia="Arial" w:hAnsi="Arial"/>
          <w:sz w:val="9"/>
          <w:szCs w:val="9"/>
          <w:color w:val="auto"/>
        </w:rPr>
      </w:pPr>
    </w:p>
    <w:p>
      <w:pPr>
        <w:ind w:left="234" w:hanging="234"/>
        <w:spacing w:after="0"/>
        <w:tabs>
          <w:tab w:leader="none" w:pos="234" w:val="left"/>
        </w:tabs>
        <w:numPr>
          <w:ilvl w:val="0"/>
          <w:numId w:val="8"/>
        </w:numPr>
        <w:rPr>
          <w:rFonts w:ascii="Arial" w:cs="Arial" w:eastAsia="Arial" w:hAnsi="Arial"/>
          <w:sz w:val="9"/>
          <w:szCs w:val="9"/>
          <w:color w:val="auto"/>
        </w:rPr>
      </w:pPr>
      <w:r>
        <w:rPr>
          <w:rFonts w:ascii="Arial" w:cs="Arial" w:eastAsia="Arial" w:hAnsi="Arial"/>
          <w:sz w:val="16"/>
          <w:szCs w:val="16"/>
          <w:color w:val="auto"/>
        </w:rPr>
        <w:t>Does not reflect a distribution of $15.71 million declared in January 2016 and paid in February 2016, in respect of the fourth quarter of 2015.</w:t>
      </w:r>
    </w:p>
    <w:p>
      <w:pPr>
        <w:spacing w:after="0" w:line="86" w:lineRule="exact"/>
        <w:rPr>
          <w:rFonts w:ascii="Arial" w:cs="Arial" w:eastAsia="Arial" w:hAnsi="Arial"/>
          <w:sz w:val="9"/>
          <w:szCs w:val="9"/>
          <w:color w:val="auto"/>
        </w:rPr>
      </w:pPr>
    </w:p>
    <w:p>
      <w:pPr>
        <w:ind w:left="234" w:hanging="234"/>
        <w:spacing w:after="0"/>
        <w:tabs>
          <w:tab w:leader="none" w:pos="234" w:val="left"/>
        </w:tabs>
        <w:numPr>
          <w:ilvl w:val="0"/>
          <w:numId w:val="8"/>
        </w:numPr>
        <w:rPr>
          <w:rFonts w:ascii="Arial" w:cs="Arial" w:eastAsia="Arial" w:hAnsi="Arial"/>
          <w:sz w:val="9"/>
          <w:szCs w:val="9"/>
          <w:color w:val="auto"/>
        </w:rPr>
      </w:pPr>
      <w:r>
        <w:rPr>
          <w:rFonts w:ascii="Arial" w:cs="Arial" w:eastAsia="Arial" w:hAnsi="Arial"/>
          <w:sz w:val="16"/>
          <w:szCs w:val="16"/>
          <w:color w:val="auto"/>
        </w:rPr>
        <w:t>Does not reflect a distribution of $19.55 million declared in January 2017 and paid in February 2017, in respect of the fourth quarter of 2016.</w:t>
      </w:r>
    </w:p>
    <w:p>
      <w:pPr>
        <w:spacing w:after="0" w:line="336" w:lineRule="exact"/>
        <w:rPr>
          <w:sz w:val="20"/>
          <w:szCs w:val="20"/>
          <w:color w:val="auto"/>
        </w:rPr>
      </w:pPr>
    </w:p>
    <w:p>
      <w:pPr>
        <w:jc w:val="center"/>
        <w:ind w:right="-93"/>
        <w:spacing w:after="0"/>
        <w:rPr>
          <w:sz w:val="20"/>
          <w:szCs w:val="20"/>
          <w:color w:val="auto"/>
        </w:rPr>
      </w:pPr>
      <w:r>
        <w:rPr>
          <w:rFonts w:ascii="Arial" w:cs="Arial" w:eastAsia="Arial" w:hAnsi="Arial"/>
          <w:sz w:val="19"/>
          <w:szCs w:val="19"/>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150495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94"/>
          </w:cols>
          <w:pgMar w:left="566" w:top="673" w:right="6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9"/>
          <w:szCs w:val="19"/>
          <w:b w:val="1"/>
          <w:bCs w:val="1"/>
          <w:color w:val="auto"/>
        </w:rPr>
        <w:t>RISK FACTORS</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i w:val="1"/>
          <w:iCs w:val="1"/>
          <w:color w:val="auto"/>
        </w:rPr>
        <w:t>Any investment in our common units involves a high degree of risk. Before investing in our common units, you should carefully consider the important factors set forth under the heading “Risk Factors” starting on page 8 of our Annual Report on Form 20-F, which was filed with the SEC on February 13, 2017 and incorporated herein by reference. For further details, see the sections entitled “Where You Can Find Additional Information” and “Incorporation of Certain Information by Reference”.</w:t>
      </w:r>
    </w:p>
    <w:p>
      <w:pPr>
        <w:spacing w:after="0" w:line="72" w:lineRule="exact"/>
        <w:rPr>
          <w:sz w:val="20"/>
          <w:szCs w:val="20"/>
          <w:color w:val="auto"/>
        </w:rPr>
      </w:pPr>
    </w:p>
    <w:p>
      <w:pPr>
        <w:jc w:val="both"/>
        <w:ind w:right="20" w:firstLine="357"/>
        <w:spacing w:after="0" w:line="262" w:lineRule="auto"/>
        <w:rPr>
          <w:sz w:val="20"/>
          <w:szCs w:val="20"/>
          <w:color w:val="auto"/>
        </w:rPr>
      </w:pPr>
      <w:r>
        <w:rPr>
          <w:rFonts w:ascii="Arial" w:cs="Arial" w:eastAsia="Arial" w:hAnsi="Arial"/>
          <w:sz w:val="19"/>
          <w:szCs w:val="19"/>
          <w:color w:val="auto"/>
        </w:rPr>
        <w:t>If any of these risks were to materialize, our business, results of operations, cash flows and financial condition could be materially adversely affected. In that case, our ability to make distributions to our unitholders may be reduced, the trading price of our common units could decline and you could lose all or part of your investment. The risks referred to above are not the only ones that may exist. Additional risks not currently known by us or that we deem immaterial may also impair our business operations.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All statements in this prospectus supplement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supplement,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106" w:lineRule="exact"/>
        <w:rPr>
          <w:sz w:val="20"/>
          <w:szCs w:val="20"/>
          <w:color w:val="auto"/>
        </w:rPr>
      </w:pPr>
    </w:p>
    <w:p>
      <w:pPr>
        <w:ind w:left="540" w:right="220" w:hanging="168"/>
        <w:spacing w:after="0" w:line="312"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 w:lineRule="exact"/>
        <w:rPr>
          <w:rFonts w:ascii="Arial" w:cs="Arial" w:eastAsia="Arial" w:hAnsi="Arial"/>
          <w:sz w:val="18"/>
          <w:szCs w:val="18"/>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continued low prices for crude oil and petroleum products and volatility in gas prices;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ability to leverage GasLog’s relationships and reputation in the shipping industry;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ability to enter into time charters with new and existing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future operating performance, financial condition, liquidity and cash available for dividends and distributions;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ability to purchase vessels from GasLog in the future;</w:t>
      </w:r>
    </w:p>
    <w:p>
      <w:pPr>
        <w:spacing w:after="0" w:line="105" w:lineRule="exact"/>
        <w:rPr>
          <w:rFonts w:ascii="Arial" w:cs="Arial" w:eastAsia="Arial" w:hAnsi="Arial"/>
          <w:sz w:val="19"/>
          <w:szCs w:val="19"/>
          <w:color w:val="auto"/>
        </w:rPr>
      </w:pPr>
    </w:p>
    <w:p>
      <w:pPr>
        <w:ind w:left="540" w:right="160" w:hanging="168"/>
        <w:spacing w:after="0" w:line="267"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54"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future, pending or recent acquisitions of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expectations about 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79" w:right="319" w:bottom="1440" w:gutter="0" w:footer="0" w:header="0"/>
        </w:sectPr>
      </w:pPr>
    </w:p>
    <w:bookmarkStart w:id="22" w:name="page23"/>
    <w:bookmarkEnd w:id="22"/>
    <w:p>
      <w:pPr>
        <w:ind w:left="540" w:right="660" w:hanging="168"/>
        <w:spacing w:after="0" w:line="339"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our business strategy and other plans and objectives for future operations;</w:t>
      </w:r>
    </w:p>
    <w:p>
      <w:pPr>
        <w:spacing w:after="0" w:line="105" w:lineRule="exact"/>
        <w:rPr>
          <w:rFonts w:ascii="Arial" w:cs="Arial" w:eastAsia="Arial" w:hAnsi="Arial"/>
          <w:sz w:val="19"/>
          <w:szCs w:val="19"/>
          <w:color w:val="auto"/>
        </w:rPr>
      </w:pPr>
    </w:p>
    <w:p>
      <w:pPr>
        <w:ind w:left="540" w:right="460" w:hanging="168"/>
        <w:spacing w:after="0" w:line="28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breach; and</w:t>
      </w:r>
    </w:p>
    <w:p>
      <w:pPr>
        <w:spacing w:after="0" w:line="38"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other risks and uncertainties described in the Partnership’s Annual Report on Form 20-F filed with the SEC on February 13, 2017, available at http://www.sec.gov.</w:t>
      </w:r>
    </w:p>
    <w:p>
      <w:pPr>
        <w:spacing w:after="0" w:line="52" w:lineRule="exact"/>
        <w:rPr>
          <w:sz w:val="20"/>
          <w:szCs w:val="20"/>
          <w:color w:val="auto"/>
        </w:rPr>
      </w:pPr>
    </w:p>
    <w:p>
      <w:pPr>
        <w:ind w:right="80" w:firstLine="357"/>
        <w:spacing w:after="0" w:line="281"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9"/>
          <w:szCs w:val="19"/>
          <w:b w:val="1"/>
          <w:bCs w:val="1"/>
          <w:color w:val="auto"/>
        </w:rPr>
        <w:t>USE OF PROCEEDS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We intend to use the net proceeds from this offering, after deducting the sales agents’ commissions and estimated expenses payable by us, for general partnership purposes, which may include future acquisitions, debt repayment, capital expenditures and additions to working capital. We currently expect that this will include future acquisitions from GasLog.</w:t>
      </w:r>
    </w:p>
    <w:p>
      <w:pPr>
        <w:spacing w:after="0" w:line="68" w:lineRule="exact"/>
        <w:rPr>
          <w:sz w:val="20"/>
          <w:szCs w:val="20"/>
          <w:color w:val="auto"/>
        </w:rPr>
      </w:pPr>
    </w:p>
    <w:p>
      <w:pPr>
        <w:ind w:right="100" w:firstLine="357"/>
        <w:spacing w:after="0" w:line="288" w:lineRule="auto"/>
        <w:rPr>
          <w:sz w:val="20"/>
          <w:szCs w:val="20"/>
          <w:color w:val="auto"/>
        </w:rPr>
      </w:pPr>
      <w:r>
        <w:rPr>
          <w:rFonts w:ascii="Arial" w:cs="Arial" w:eastAsia="Arial" w:hAnsi="Arial"/>
          <w:sz w:val="17"/>
          <w:szCs w:val="17"/>
          <w:color w:val="auto"/>
        </w:rPr>
        <w:t>We are not obligated to purchase any of the vessels from GasLog that we have the option to purchase under the omnibus agreement and, accordingly, we may not complete the purchase of any such vessels. Furthermore, our ability to purchase any additional vessels, including under the omnibus agreement, is dependent on our ability to obtain financing to fund all or a portion of the acquisition costs of these vessels. See “Item</w:t>
      </w:r>
    </w:p>
    <w:p>
      <w:pPr>
        <w:spacing w:after="0" w:line="1" w:lineRule="exact"/>
        <w:rPr>
          <w:sz w:val="20"/>
          <w:szCs w:val="20"/>
          <w:color w:val="auto"/>
        </w:rPr>
      </w:pPr>
    </w:p>
    <w:p>
      <w:pPr>
        <w:jc w:val="both"/>
        <w:ind w:right="40" w:firstLine="8"/>
        <w:spacing w:after="0" w:line="258" w:lineRule="auto"/>
        <w:tabs>
          <w:tab w:leader="none" w:pos="194" w:val="left"/>
        </w:tabs>
        <w:numPr>
          <w:ilvl w:val="0"/>
          <w:numId w:val="11"/>
        </w:numPr>
        <w:rPr>
          <w:rFonts w:ascii="Arial" w:cs="Arial" w:eastAsia="Arial" w:hAnsi="Arial"/>
          <w:sz w:val="19"/>
          <w:szCs w:val="19"/>
          <w:color w:val="auto"/>
        </w:rPr>
      </w:pPr>
      <w:r>
        <w:rPr>
          <w:rFonts w:ascii="Arial" w:cs="Arial" w:eastAsia="Arial" w:hAnsi="Arial"/>
          <w:sz w:val="19"/>
          <w:szCs w:val="19"/>
          <w:color w:val="auto"/>
        </w:rPr>
        <w:t>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79" w:right="319" w:bottom="1440" w:gutter="0" w:footer="0" w:header="0"/>
        </w:sectPr>
      </w:pPr>
    </w:p>
    <w:bookmarkStart w:id="24" w:name="page25"/>
    <w:bookmarkEnd w:id="24"/>
    <w:p>
      <w:pPr>
        <w:ind w:left="4340"/>
        <w:spacing w:after="0"/>
        <w:rPr>
          <w:sz w:val="20"/>
          <w:szCs w:val="20"/>
          <w:color w:val="auto"/>
        </w:rPr>
      </w:pPr>
      <w:r>
        <w:rPr>
          <w:rFonts w:ascii="Arial" w:cs="Arial" w:eastAsia="Arial" w:hAnsi="Arial"/>
          <w:sz w:val="19"/>
          <w:szCs w:val="19"/>
          <w:b w:val="1"/>
          <w:bCs w:val="1"/>
          <w:color w:val="auto"/>
        </w:rPr>
        <w:t>CASH AND CAPITALIZATION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shows (a) cash and cash equivalents and (b) consolidated capitalization as of March 31, 2017 on an:</w:t>
      </w:r>
    </w:p>
    <w:p>
      <w:pPr>
        <w:spacing w:after="0" w:line="106" w:lineRule="exact"/>
        <w:rPr>
          <w:sz w:val="20"/>
          <w:szCs w:val="20"/>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actual basis;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as adjusted basis, giving effect to:</w:t>
      </w:r>
    </w:p>
    <w:p>
      <w:pPr>
        <w:spacing w:after="0" w:line="105" w:lineRule="exact"/>
        <w:rPr>
          <w:rFonts w:ascii="Arial" w:cs="Arial" w:eastAsia="Arial" w:hAnsi="Arial"/>
          <w:sz w:val="19"/>
          <w:szCs w:val="19"/>
          <w:color w:val="auto"/>
        </w:rPr>
      </w:pPr>
    </w:p>
    <w:p>
      <w:pPr>
        <w:ind w:left="720" w:hanging="158"/>
        <w:spacing w:after="0"/>
        <w:tabs>
          <w:tab w:leader="none" w:pos="7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principal payments on our bank indebtedness totaling $10.14 million during the period from April 1, 2017 to May 16, 2017;</w:t>
      </w:r>
    </w:p>
    <w:p>
      <w:pPr>
        <w:spacing w:after="0" w:line="105" w:lineRule="exact"/>
        <w:rPr>
          <w:rFonts w:ascii="Arial" w:cs="Arial" w:eastAsia="Arial" w:hAnsi="Arial"/>
          <w:sz w:val="19"/>
          <w:szCs w:val="19"/>
          <w:color w:val="auto"/>
        </w:rPr>
      </w:pPr>
    </w:p>
    <w:p>
      <w:pPr>
        <w:ind w:left="720" w:hanging="158"/>
        <w:spacing w:after="0"/>
        <w:tabs>
          <w:tab w:leader="none" w:pos="7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prepayment of $60.12 million under the junior tranche of the credit agreement entered into on February 18, 2016;</w:t>
      </w:r>
    </w:p>
    <w:p>
      <w:pPr>
        <w:spacing w:after="0" w:line="105" w:lineRule="exact"/>
        <w:rPr>
          <w:rFonts w:ascii="Arial" w:cs="Arial" w:eastAsia="Arial" w:hAnsi="Arial"/>
          <w:sz w:val="19"/>
          <w:szCs w:val="19"/>
          <w:color w:val="auto"/>
        </w:rPr>
      </w:pPr>
    </w:p>
    <w:p>
      <w:pPr>
        <w:ind w:left="720" w:right="100" w:hanging="158"/>
        <w:spacing w:after="0" w:line="283" w:lineRule="auto"/>
        <w:tabs>
          <w:tab w:leader="none" w:pos="7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drawdown of $45.0 million under the term loan facility and $15.0 million under the revolving loan facility entered into with GasLog on April 3, 2017;</w:t>
      </w:r>
    </w:p>
    <w:p>
      <w:pPr>
        <w:spacing w:after="0" w:line="38" w:lineRule="exact"/>
        <w:rPr>
          <w:rFonts w:ascii="Arial" w:cs="Arial" w:eastAsia="Arial" w:hAnsi="Arial"/>
          <w:sz w:val="19"/>
          <w:szCs w:val="19"/>
          <w:color w:val="auto"/>
        </w:rPr>
      </w:pPr>
    </w:p>
    <w:p>
      <w:pPr>
        <w:ind w:left="720" w:right="20" w:hanging="158"/>
        <w:spacing w:after="0" w:line="283" w:lineRule="auto"/>
        <w:tabs>
          <w:tab w:leader="none" w:pos="7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 xml:space="preserve">the acquisition of the </w:t>
      </w:r>
      <w:r>
        <w:rPr>
          <w:rFonts w:ascii="Arial" w:cs="Arial" w:eastAsia="Arial" w:hAnsi="Arial"/>
          <w:sz w:val="19"/>
          <w:szCs w:val="19"/>
          <w:i w:val="1"/>
          <w:iCs w:val="1"/>
          <w:color w:val="auto"/>
        </w:rPr>
        <w:t>GasLog Greece</w:t>
      </w:r>
      <w:r>
        <w:rPr>
          <w:rFonts w:ascii="Arial" w:cs="Arial" w:eastAsia="Arial" w:hAnsi="Arial"/>
          <w:sz w:val="19"/>
          <w:szCs w:val="19"/>
          <w:color w:val="auto"/>
        </w:rPr>
        <w:t xml:space="preserve"> from GasLog on May 3, 2017 for a net consideration of $66.69 million ($219.0 million acquisition price less assumed debt of $151.42 million less working capital adjustment of $0.89 million);</w:t>
      </w:r>
    </w:p>
    <w:p>
      <w:pPr>
        <w:spacing w:after="0" w:line="38" w:lineRule="exact"/>
        <w:rPr>
          <w:rFonts w:ascii="Arial" w:cs="Arial" w:eastAsia="Arial" w:hAnsi="Arial"/>
          <w:sz w:val="19"/>
          <w:szCs w:val="19"/>
          <w:color w:val="auto"/>
        </w:rPr>
      </w:pPr>
    </w:p>
    <w:p>
      <w:pPr>
        <w:ind w:left="720" w:hanging="158"/>
        <w:spacing w:after="0"/>
        <w:tabs>
          <w:tab w:leader="none" w:pos="7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cash distribution of $20.12 million paid on May 12, 2017 to all unitholders of record as of May 8, 2017; and</w:t>
      </w:r>
    </w:p>
    <w:p>
      <w:pPr>
        <w:spacing w:after="0" w:line="105" w:lineRule="exact"/>
        <w:rPr>
          <w:rFonts w:ascii="Arial" w:cs="Arial" w:eastAsia="Arial" w:hAnsi="Arial"/>
          <w:sz w:val="19"/>
          <w:szCs w:val="19"/>
          <w:color w:val="auto"/>
        </w:rPr>
      </w:pPr>
    </w:p>
    <w:p>
      <w:pPr>
        <w:ind w:left="720" w:hanging="158"/>
        <w:spacing w:after="0" w:line="262" w:lineRule="auto"/>
        <w:tabs>
          <w:tab w:leader="none" w:pos="7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issuance and sale of 5,750,000 Series A Preference Units (including 750,000 units issued upon the exercise in full of the underwriters’ option to purchase additional units) at a public offering price of $25.00 per unit, resulting in net proceeds of approximately $138.61 million (after deducting underwriting discounts and commissions of $4.53 million and estimated offering expenses of $0.61 million).</w:t>
      </w:r>
    </w:p>
    <w:p>
      <w:pPr>
        <w:spacing w:after="0" w:line="72"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Other than these adjustments, there has been no material change in our capitalization from debt or equity issuances, re-capitalizations or special dividends between March 31, 2017, and the date of this prospectus supplement.</w:t>
      </w:r>
    </w:p>
    <w:p>
      <w:pPr>
        <w:spacing w:after="0" w:line="52"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This table is derived from and should be read together with the condensed consolidated financial statements of GasLog Partners LP and the accompanying notes incorporated herein by reference. You should also read this table in conjunction with “Management’s Discussion and Analysis of Financial Condition and Results of Operations” in Exhibit 99.2 of the Report on Form 6-K as furnished to the SEC on April 27, 2017 and incorporated herein by reference.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79"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9"/>
        </w:trPr>
        <w:tc>
          <w:tcPr>
            <w:tcW w:w="88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6"/>
                <w:szCs w:val="16"/>
                <w:b w:val="1"/>
                <w:bCs w:val="1"/>
                <w:color w:val="auto"/>
              </w:rPr>
              <w:t>As of March 31, 2017</w:t>
            </w:r>
          </w:p>
        </w:tc>
        <w:tc>
          <w:tcPr>
            <w:tcW w:w="0" w:type="dxa"/>
            <w:vAlign w:val="bottom"/>
          </w:tcPr>
          <w:p>
            <w:pPr>
              <w:spacing w:after="0"/>
              <w:rPr>
                <w:sz w:val="1"/>
                <w:szCs w:val="1"/>
                <w:color w:val="auto"/>
              </w:rPr>
            </w:pPr>
          </w:p>
        </w:tc>
      </w:tr>
      <w:tr>
        <w:trPr>
          <w:trHeight w:val="169"/>
        </w:trPr>
        <w:tc>
          <w:tcPr>
            <w:tcW w:w="8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7"/>
              <w:spacing w:after="0" w:line="169" w:lineRule="exact"/>
              <w:rPr>
                <w:sz w:val="20"/>
                <w:szCs w:val="20"/>
                <w:color w:val="auto"/>
              </w:rPr>
            </w:pPr>
            <w:r>
              <w:rPr>
                <w:rFonts w:ascii="Arial" w:cs="Arial" w:eastAsia="Arial" w:hAnsi="Arial"/>
                <w:sz w:val="16"/>
                <w:szCs w:val="16"/>
                <w:b w:val="1"/>
                <w:bCs w:val="1"/>
                <w:color w:val="auto"/>
              </w:rPr>
              <w:t>Actual</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5"/>
              <w:spacing w:after="0" w:line="169" w:lineRule="exact"/>
              <w:rPr>
                <w:sz w:val="20"/>
                <w:szCs w:val="20"/>
                <w:color w:val="auto"/>
              </w:rPr>
            </w:pPr>
            <w:r>
              <w:rPr>
                <w:rFonts w:ascii="Arial" w:cs="Arial" w:eastAsia="Arial" w:hAnsi="Arial"/>
                <w:sz w:val="16"/>
                <w:szCs w:val="16"/>
                <w:b w:val="1"/>
                <w:bCs w:val="1"/>
                <w:color w:val="auto"/>
                <w:w w:val="96"/>
              </w:rPr>
              <w:t>Adjusted</w:t>
            </w:r>
          </w:p>
        </w:tc>
        <w:tc>
          <w:tcPr>
            <w:tcW w:w="0" w:type="dxa"/>
            <w:vAlign w:val="bottom"/>
          </w:tcPr>
          <w:p>
            <w:pPr>
              <w:spacing w:after="0"/>
              <w:rPr>
                <w:sz w:val="1"/>
                <w:szCs w:val="1"/>
                <w:color w:val="auto"/>
              </w:rPr>
            </w:pPr>
          </w:p>
        </w:tc>
      </w:tr>
      <w:tr>
        <w:trPr>
          <w:trHeight w:val="237"/>
        </w:trPr>
        <w:tc>
          <w:tcPr>
            <w:tcW w:w="8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4"/>
          </w:tcPr>
          <w:p>
            <w:pPr>
              <w:jc w:val="right"/>
              <w:ind w:right="445"/>
              <w:spacing w:after="0"/>
              <w:rPr>
                <w:sz w:val="20"/>
                <w:szCs w:val="20"/>
                <w:color w:val="auto"/>
              </w:rPr>
            </w:pPr>
            <w:r>
              <w:rPr>
                <w:rFonts w:ascii="Arial" w:cs="Arial" w:eastAsia="Arial" w:hAnsi="Arial"/>
                <w:sz w:val="16"/>
                <w:szCs w:val="16"/>
                <w:b w:val="1"/>
                <w:bCs w:val="1"/>
                <w:color w:val="auto"/>
              </w:rPr>
              <w:t>(dollars in thousands)</w:t>
            </w:r>
          </w:p>
        </w:tc>
        <w:tc>
          <w:tcPr>
            <w:tcW w:w="0" w:type="dxa"/>
            <w:vAlign w:val="bottom"/>
          </w:tcPr>
          <w:p>
            <w:pPr>
              <w:spacing w:after="0"/>
              <w:rPr>
                <w:sz w:val="1"/>
                <w:szCs w:val="1"/>
                <w:color w:val="auto"/>
              </w:rPr>
            </w:pPr>
          </w:p>
        </w:tc>
      </w:tr>
      <w:tr>
        <w:trPr>
          <w:trHeight w:val="230"/>
        </w:trPr>
        <w:tc>
          <w:tcPr>
            <w:tcW w:w="88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CASH</w:t>
            </w:r>
          </w:p>
        </w:tc>
        <w:tc>
          <w:tcPr>
            <w:tcW w:w="22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8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220" w:type="dxa"/>
            <w:vAlign w:val="bottom"/>
          </w:tcPr>
          <w:p>
            <w:pPr>
              <w:jc w:val="right"/>
              <w:ind w:right="3"/>
              <w:spacing w:after="0"/>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129,380</w:t>
            </w:r>
          </w:p>
        </w:tc>
        <w:tc>
          <w:tcPr>
            <w:tcW w:w="4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170,912</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CAPITALIZATION</w:t>
            </w:r>
          </w:p>
        </w:tc>
        <w:tc>
          <w:tcPr>
            <w:tcW w:w="22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Arial" w:cs="Arial" w:eastAsia="Arial" w:hAnsi="Arial"/>
                <w:sz w:val="19"/>
                <w:szCs w:val="19"/>
                <w:color w:val="auto"/>
              </w:rPr>
              <w:t>Debt: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Borrowings—current portion</w:t>
            </w:r>
          </w:p>
        </w:tc>
        <w:tc>
          <w:tcPr>
            <w:tcW w:w="2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104,277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45,553</w:t>
            </w:r>
          </w:p>
        </w:tc>
        <w:tc>
          <w:tcPr>
            <w:tcW w:w="0" w:type="dxa"/>
            <w:vAlign w:val="bottom"/>
          </w:tcPr>
          <w:p>
            <w:pPr>
              <w:spacing w:after="0"/>
              <w:rPr>
                <w:sz w:val="1"/>
                <w:szCs w:val="1"/>
                <w:color w:val="auto"/>
              </w:rPr>
            </w:pPr>
          </w:p>
        </w:tc>
      </w:tr>
      <w:tr>
        <w:trPr>
          <w:trHeight w:val="250"/>
        </w:trPr>
        <w:tc>
          <w:tcPr>
            <w:tcW w:w="8880" w:type="dxa"/>
            <w:vAlign w:val="bottom"/>
          </w:tcPr>
          <w:p>
            <w:pPr>
              <w:ind w:left="360"/>
              <w:spacing w:after="0"/>
              <w:rPr>
                <w:sz w:val="20"/>
                <w:szCs w:val="20"/>
                <w:color w:val="auto"/>
              </w:rPr>
            </w:pPr>
            <w:r>
              <w:rPr>
                <w:rFonts w:ascii="Arial" w:cs="Arial" w:eastAsia="Arial" w:hAnsi="Arial"/>
                <w:sz w:val="19"/>
                <w:szCs w:val="19"/>
                <w:color w:val="auto"/>
              </w:rPr>
              <w:t>Borrowings—non-current portion</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696,566</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896,445</w:t>
            </w:r>
          </w:p>
        </w:tc>
        <w:tc>
          <w:tcPr>
            <w:tcW w:w="0" w:type="dxa"/>
            <w:vAlign w:val="bottom"/>
          </w:tcPr>
          <w:p>
            <w:pPr>
              <w:spacing w:after="0"/>
              <w:rPr>
                <w:sz w:val="1"/>
                <w:szCs w:val="1"/>
                <w:color w:val="auto"/>
              </w:rPr>
            </w:pPr>
          </w:p>
        </w:tc>
      </w:tr>
      <w:tr>
        <w:trPr>
          <w:trHeight w:val="243"/>
        </w:trPr>
        <w:tc>
          <w:tcPr>
            <w:tcW w:w="8880" w:type="dxa"/>
            <w:vAlign w:val="bottom"/>
            <w:shd w:val="clear" w:color="auto" w:fill="E5FFFF"/>
          </w:tcPr>
          <w:p>
            <w:pPr>
              <w:spacing w:after="0"/>
              <w:rPr>
                <w:sz w:val="20"/>
                <w:szCs w:val="20"/>
                <w:color w:val="auto"/>
              </w:rPr>
            </w:pPr>
            <w:r>
              <w:rPr>
                <w:rFonts w:ascii="Arial" w:cs="Arial" w:eastAsia="Arial" w:hAnsi="Arial"/>
                <w:sz w:val="19"/>
                <w:szCs w:val="19"/>
                <w:color w:val="auto"/>
              </w:rPr>
              <w:t>Total debt</w:t>
            </w:r>
          </w:p>
        </w:tc>
        <w:tc>
          <w:tcPr>
            <w:tcW w:w="22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800,843</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941,998</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9"/>
                <w:szCs w:val="19"/>
                <w:color w:val="auto"/>
              </w:rPr>
              <w:t>Partners’ Capital:</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w w:val="99"/>
              </w:rPr>
              <w:t>Common unitholders: 28,442,358 units issued and outstanding as of March 31, 2017, and 38,264,716</w:t>
            </w: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80" w:type="dxa"/>
            <w:vAlign w:val="bottom"/>
            <w:shd w:val="clear" w:color="auto" w:fill="E5FFFF"/>
          </w:tcPr>
          <w:p>
            <w:pPr>
              <w:ind w:left="540"/>
              <w:spacing w:after="0"/>
              <w:rPr>
                <w:sz w:val="20"/>
                <w:szCs w:val="20"/>
                <w:color w:val="auto"/>
              </w:rPr>
            </w:pPr>
            <w:r>
              <w:rPr>
                <w:rFonts w:ascii="Arial" w:cs="Arial" w:eastAsia="Arial" w:hAnsi="Arial"/>
                <w:sz w:val="19"/>
                <w:szCs w:val="19"/>
                <w:color w:val="auto"/>
              </w:rPr>
              <w:t>units as adjusted</w:t>
            </w:r>
          </w:p>
        </w:tc>
        <w:tc>
          <w:tcPr>
            <w:tcW w:w="2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644,331</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686,477</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line="216" w:lineRule="exact"/>
              <w:rPr>
                <w:sz w:val="20"/>
                <w:szCs w:val="20"/>
                <w:color w:val="auto"/>
              </w:rPr>
            </w:pPr>
            <w:r>
              <w:rPr>
                <w:rFonts w:ascii="Arial" w:cs="Arial" w:eastAsia="Arial" w:hAnsi="Arial"/>
                <w:sz w:val="19"/>
                <w:szCs w:val="19"/>
                <w:color w:val="auto"/>
                <w:w w:val="96"/>
              </w:rPr>
              <w:t>Subordinated unitholders</w:t>
            </w:r>
            <w:r>
              <w:rPr>
                <w:rFonts w:ascii="Arial" w:cs="Arial" w:eastAsia="Arial" w:hAnsi="Arial"/>
                <w:sz w:val="10"/>
                <w:szCs w:val="10"/>
                <w:color w:val="auto"/>
                <w:w w:val="96"/>
              </w:rPr>
              <w:t>(1)</w:t>
            </w:r>
            <w:r>
              <w:rPr>
                <w:rFonts w:ascii="Arial" w:cs="Arial" w:eastAsia="Arial" w:hAnsi="Arial"/>
                <w:sz w:val="19"/>
                <w:szCs w:val="19"/>
                <w:color w:val="auto"/>
                <w:w w:val="96"/>
              </w:rPr>
              <w:t>: 9,822,358 units issued and outstanding as of March 31, 2017, and zero units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80" w:type="dxa"/>
            <w:vAlign w:val="bottom"/>
          </w:tcPr>
          <w:p>
            <w:pPr>
              <w:ind w:left="540"/>
              <w:spacing w:after="0"/>
              <w:rPr>
                <w:sz w:val="20"/>
                <w:szCs w:val="20"/>
                <w:color w:val="auto"/>
              </w:rPr>
            </w:pPr>
            <w:r>
              <w:rPr>
                <w:rFonts w:ascii="Arial" w:cs="Arial" w:eastAsia="Arial" w:hAnsi="Arial"/>
                <w:sz w:val="19"/>
                <w:szCs w:val="19"/>
                <w:color w:val="auto"/>
              </w:rPr>
              <w:t>as adjusted</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61,278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8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General partner: 780,913 units issued and outstanding as of March 31, 2017 and as adjusted</w:t>
            </w:r>
          </w:p>
        </w:tc>
        <w:tc>
          <w:tcPr>
            <w:tcW w:w="2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11,745</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11,343</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line="216" w:lineRule="exact"/>
              <w:rPr>
                <w:sz w:val="20"/>
                <w:szCs w:val="20"/>
                <w:color w:val="auto"/>
              </w:rPr>
            </w:pPr>
            <w:r>
              <w:rPr>
                <w:rFonts w:ascii="Arial" w:cs="Arial" w:eastAsia="Arial" w:hAnsi="Arial"/>
                <w:sz w:val="19"/>
                <w:szCs w:val="19"/>
                <w:color w:val="auto"/>
                <w:w w:val="98"/>
              </w:rPr>
              <w:t>Series A Preference unitholders: No units issued and outstanding as of March 31, 2017 and 5,750,000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80" w:type="dxa"/>
            <w:vAlign w:val="bottom"/>
          </w:tcPr>
          <w:p>
            <w:pPr>
              <w:ind w:left="540"/>
              <w:spacing w:after="0"/>
              <w:rPr>
                <w:sz w:val="20"/>
                <w:szCs w:val="20"/>
                <w:color w:val="auto"/>
              </w:rPr>
            </w:pPr>
            <w:r>
              <w:rPr>
                <w:rFonts w:ascii="Arial" w:cs="Arial" w:eastAsia="Arial" w:hAnsi="Arial"/>
                <w:sz w:val="19"/>
                <w:szCs w:val="19"/>
                <w:color w:val="auto"/>
              </w:rPr>
              <w:t>units issued as adjusted</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138,611</w:t>
            </w:r>
          </w:p>
        </w:tc>
        <w:tc>
          <w:tcPr>
            <w:tcW w:w="0" w:type="dxa"/>
            <w:vAlign w:val="bottom"/>
          </w:tcPr>
          <w:p>
            <w:pPr>
              <w:spacing w:after="0"/>
              <w:rPr>
                <w:sz w:val="1"/>
                <w:szCs w:val="1"/>
                <w:color w:val="auto"/>
              </w:rPr>
            </w:pPr>
          </w:p>
        </w:tc>
      </w:tr>
      <w:tr>
        <w:trPr>
          <w:trHeight w:val="243"/>
        </w:trPr>
        <w:tc>
          <w:tcPr>
            <w:tcW w:w="8880" w:type="dxa"/>
            <w:vAlign w:val="bottom"/>
            <w:shd w:val="clear" w:color="auto" w:fill="E5FFFF"/>
          </w:tcPr>
          <w:p>
            <w:pPr>
              <w:spacing w:after="0"/>
              <w:rPr>
                <w:sz w:val="20"/>
                <w:szCs w:val="20"/>
                <w:color w:val="auto"/>
              </w:rPr>
            </w:pPr>
            <w:r>
              <w:rPr>
                <w:rFonts w:ascii="Arial" w:cs="Arial" w:eastAsia="Arial" w:hAnsi="Arial"/>
                <w:sz w:val="19"/>
                <w:szCs w:val="19"/>
                <w:color w:val="auto"/>
              </w:rPr>
              <w:t>Incentive Distribution Rights</w:t>
            </w:r>
          </w:p>
        </w:tc>
        <w:tc>
          <w:tcPr>
            <w:tcW w:w="22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6,226</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5,640</w:t>
            </w:r>
          </w:p>
        </w:tc>
        <w:tc>
          <w:tcPr>
            <w:tcW w:w="0" w:type="dxa"/>
            <w:vAlign w:val="bottom"/>
          </w:tcPr>
          <w:p>
            <w:pPr>
              <w:spacing w:after="0"/>
              <w:rPr>
                <w:sz w:val="1"/>
                <w:szCs w:val="1"/>
                <w:color w:val="auto"/>
              </w:rPr>
            </w:pPr>
          </w:p>
        </w:tc>
      </w:tr>
      <w:tr>
        <w:trPr>
          <w:trHeight w:val="257"/>
        </w:trPr>
        <w:tc>
          <w:tcPr>
            <w:tcW w:w="8880" w:type="dxa"/>
            <w:vAlign w:val="bottom"/>
          </w:tcPr>
          <w:p>
            <w:pPr>
              <w:spacing w:after="0"/>
              <w:rPr>
                <w:sz w:val="20"/>
                <w:szCs w:val="20"/>
                <w:color w:val="auto"/>
              </w:rPr>
            </w:pPr>
            <w:r>
              <w:rPr>
                <w:rFonts w:ascii="Arial" w:cs="Arial" w:eastAsia="Arial" w:hAnsi="Arial"/>
                <w:sz w:val="19"/>
                <w:szCs w:val="19"/>
                <w:color w:val="auto"/>
              </w:rPr>
              <w:t>Total Partners’ Capital</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723,580</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842,071</w:t>
            </w:r>
          </w:p>
        </w:tc>
        <w:tc>
          <w:tcPr>
            <w:tcW w:w="0" w:type="dxa"/>
            <w:vAlign w:val="bottom"/>
          </w:tcPr>
          <w:p>
            <w:pPr>
              <w:spacing w:after="0"/>
              <w:rPr>
                <w:sz w:val="1"/>
                <w:szCs w:val="1"/>
                <w:color w:val="auto"/>
              </w:rPr>
            </w:pPr>
          </w:p>
        </w:tc>
      </w:tr>
      <w:tr>
        <w:trPr>
          <w:trHeight w:val="243"/>
        </w:trPr>
        <w:tc>
          <w:tcPr>
            <w:tcW w:w="8880" w:type="dxa"/>
            <w:vAlign w:val="bottom"/>
            <w:shd w:val="clear" w:color="auto" w:fill="E5FFFF"/>
          </w:tcPr>
          <w:p>
            <w:pPr>
              <w:spacing w:after="0"/>
              <w:rPr>
                <w:sz w:val="20"/>
                <w:szCs w:val="20"/>
                <w:color w:val="auto"/>
              </w:rPr>
            </w:pPr>
            <w:r>
              <w:rPr>
                <w:rFonts w:ascii="Arial" w:cs="Arial" w:eastAsia="Arial" w:hAnsi="Arial"/>
                <w:sz w:val="19"/>
                <w:szCs w:val="19"/>
                <w:color w:val="auto"/>
              </w:rPr>
              <w:t>Total capitalization</w:t>
            </w:r>
          </w:p>
        </w:tc>
        <w:tc>
          <w:tcPr>
            <w:tcW w:w="2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94"/>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1,524,423</w:t>
            </w:r>
          </w:p>
        </w:tc>
        <w:tc>
          <w:tcPr>
            <w:tcW w:w="4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1,784,069</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left="280" w:right="320" w:hanging="200"/>
        <w:spacing w:after="0"/>
        <w:tabs>
          <w:tab w:leader="none" w:pos="280" w:val="left"/>
        </w:tabs>
        <w:numPr>
          <w:ilvl w:val="0"/>
          <w:numId w:val="13"/>
        </w:numPr>
        <w:rPr>
          <w:rFonts w:ascii="Arial" w:cs="Arial" w:eastAsia="Arial" w:hAnsi="Arial"/>
          <w:sz w:val="9"/>
          <w:szCs w:val="9"/>
          <w:color w:val="auto"/>
        </w:rPr>
      </w:pPr>
      <w:r>
        <w:rPr>
          <w:rFonts w:ascii="Arial" w:cs="Arial" w:eastAsia="Arial" w:hAnsi="Arial"/>
          <w:sz w:val="16"/>
          <w:szCs w:val="16"/>
          <w:color w:val="auto"/>
        </w:rPr>
        <w:t>The subordination period expired on May 16, 2017, at which point all of the subordinated units held by GasLog converted on a one-for-one basis into common units which participate pro rata with other common units in distributions of available cash. For further discussion, see “Item 8. Financial Information—Our Cash Distribution Policy— Subordination Period” in our Annual Report on Form 20-F.</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9"/>
          <w:szCs w:val="19"/>
          <w:b w:val="1"/>
          <w:bCs w:val="1"/>
          <w:color w:val="auto"/>
        </w:rPr>
        <w:t>PRICE RANGE OF OUR COMMON UNITS</w:t>
      </w:r>
    </w:p>
    <w:p>
      <w:pPr>
        <w:spacing w:after="0" w:line="125"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Our common units started trading on the New York Stock Exchange under the symbol “GLOP” on May 7, 2014. The last reported sales price of our common units on May 15, 2017 was $23.05. The following table sets forth the high and low closing sales prices for the common units since the date of listing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900" w:type="dxa"/>
            <w:vAlign w:val="bottom"/>
          </w:tcPr>
          <w:p>
            <w:pPr>
              <w:spacing w:after="0"/>
              <w:rPr>
                <w:sz w:val="17"/>
                <w:szCs w:val="17"/>
                <w:color w:val="auto"/>
              </w:rPr>
            </w:pPr>
          </w:p>
        </w:tc>
        <w:tc>
          <w:tcPr>
            <w:tcW w:w="162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Price Range</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ind w:right="105"/>
              <w:spacing w:after="0"/>
              <w:rPr>
                <w:sz w:val="20"/>
                <w:szCs w:val="20"/>
                <w:color w:val="auto"/>
              </w:rPr>
            </w:pPr>
            <w:r>
              <w:rPr>
                <w:rFonts w:ascii="Arial" w:cs="Arial" w:eastAsia="Arial" w:hAnsi="Arial"/>
                <w:sz w:val="16"/>
                <w:szCs w:val="16"/>
                <w:b w:val="1"/>
                <w:bCs w:val="1"/>
                <w:color w:val="auto"/>
                <w:w w:val="91"/>
              </w:rPr>
              <w:t>Cash Distribution</w:t>
            </w:r>
          </w:p>
        </w:tc>
      </w:tr>
      <w:tr>
        <w:trPr>
          <w:trHeight w:val="169"/>
        </w:trPr>
        <w:tc>
          <w:tcPr>
            <w:tcW w:w="7900" w:type="dxa"/>
            <w:vAlign w:val="bottom"/>
          </w:tcPr>
          <w:p>
            <w:pPr>
              <w:spacing w:after="0"/>
              <w:rPr>
                <w:sz w:val="14"/>
                <w:szCs w:val="14"/>
                <w:color w:val="auto"/>
              </w:rPr>
            </w:pPr>
          </w:p>
        </w:tc>
        <w:tc>
          <w:tcPr>
            <w:tcW w:w="6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89"/>
              </w:rPr>
              <w:t>High</w:t>
            </w:r>
          </w:p>
        </w:tc>
        <w:tc>
          <w:tcPr>
            <w:tcW w:w="280" w:type="dxa"/>
            <w:vAlign w:val="bottom"/>
          </w:tcPr>
          <w:p>
            <w:pPr>
              <w:spacing w:after="0"/>
              <w:rPr>
                <w:sz w:val="14"/>
                <w:szCs w:val="14"/>
                <w:color w:val="auto"/>
              </w:rPr>
            </w:pPr>
          </w:p>
        </w:tc>
        <w:tc>
          <w:tcPr>
            <w:tcW w:w="66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3"/>
              </w:rPr>
              <w:t>Low</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65"/>
              <w:spacing w:after="0" w:line="169" w:lineRule="exact"/>
              <w:rPr>
                <w:sz w:val="20"/>
                <w:szCs w:val="20"/>
                <w:color w:val="auto"/>
              </w:rPr>
            </w:pPr>
            <w:r>
              <w:rPr>
                <w:rFonts w:ascii="Arial" w:cs="Arial" w:eastAsia="Arial" w:hAnsi="Arial"/>
                <w:sz w:val="16"/>
                <w:szCs w:val="16"/>
                <w:b w:val="1"/>
                <w:bCs w:val="1"/>
                <w:color w:val="auto"/>
              </w:rPr>
              <w:t>Per Unit</w:t>
            </w:r>
            <w:r>
              <w:rPr>
                <w:rFonts w:ascii="Arial" w:cs="Arial" w:eastAsia="Arial" w:hAnsi="Arial"/>
                <w:sz w:val="8"/>
                <w:szCs w:val="8"/>
                <w:b w:val="1"/>
                <w:bCs w:val="1"/>
                <w:color w:val="auto"/>
              </w:rPr>
              <w:t>(1)</w:t>
            </w:r>
          </w:p>
        </w:tc>
      </w:tr>
      <w:tr>
        <w:trPr>
          <w:trHeight w:val="237"/>
        </w:trPr>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Year ended December 31, 2015</w:t>
            </w:r>
          </w:p>
        </w:tc>
        <w:tc>
          <w:tcPr>
            <w:tcW w:w="68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$ 29.28</w:t>
            </w:r>
          </w:p>
        </w:tc>
        <w:tc>
          <w:tcPr>
            <w:tcW w:w="940" w:type="dxa"/>
            <w:vAlign w:val="bottom"/>
            <w:gridSpan w:val="2"/>
            <w:shd w:val="clear" w:color="auto" w:fill="E5FFFF"/>
          </w:tcPr>
          <w:p>
            <w:pPr>
              <w:jc w:val="center"/>
              <w:ind w:left="163"/>
              <w:spacing w:after="0"/>
              <w:rPr>
                <w:sz w:val="20"/>
                <w:szCs w:val="20"/>
                <w:color w:val="auto"/>
              </w:rPr>
            </w:pPr>
            <w:r>
              <w:rPr>
                <w:rFonts w:ascii="Arial" w:cs="Arial" w:eastAsia="Arial" w:hAnsi="Arial"/>
                <w:sz w:val="19"/>
                <w:szCs w:val="19"/>
                <w:color w:val="auto"/>
                <w:w w:val="94"/>
              </w:rPr>
              <w:t>$ 12.67</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1.825</w:t>
            </w:r>
          </w:p>
        </w:tc>
      </w:tr>
      <w:tr>
        <w:trPr>
          <w:trHeight w:val="243"/>
        </w:trPr>
        <w:tc>
          <w:tcPr>
            <w:tcW w:w="7900" w:type="dxa"/>
            <w:vAlign w:val="bottom"/>
          </w:tcPr>
          <w:p>
            <w:pPr>
              <w:spacing w:after="0"/>
              <w:rPr>
                <w:sz w:val="20"/>
                <w:szCs w:val="20"/>
                <w:color w:val="auto"/>
              </w:rPr>
            </w:pPr>
            <w:r>
              <w:rPr>
                <w:rFonts w:ascii="Arial" w:cs="Arial" w:eastAsia="Arial" w:hAnsi="Arial"/>
                <w:sz w:val="19"/>
                <w:szCs w:val="19"/>
                <w:color w:val="auto"/>
              </w:rPr>
              <w:t>Year ended December 31, 2016</w:t>
            </w: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$ 22.00</w:t>
            </w:r>
          </w:p>
        </w:tc>
        <w:tc>
          <w:tcPr>
            <w:tcW w:w="940" w:type="dxa"/>
            <w:vAlign w:val="bottom"/>
            <w:gridSpan w:val="2"/>
          </w:tcPr>
          <w:p>
            <w:pPr>
              <w:jc w:val="center"/>
              <w:ind w:left="163"/>
              <w:spacing w:after="0"/>
              <w:rPr>
                <w:sz w:val="20"/>
                <w:szCs w:val="20"/>
                <w:color w:val="auto"/>
              </w:rPr>
            </w:pPr>
            <w:r>
              <w:rPr>
                <w:rFonts w:ascii="Arial" w:cs="Arial" w:eastAsia="Arial" w:hAnsi="Arial"/>
                <w:sz w:val="19"/>
                <w:szCs w:val="19"/>
                <w:color w:val="auto"/>
                <w:w w:val="94"/>
              </w:rPr>
              <w:t>$ 10.00</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440" w:type="dxa"/>
            <w:vAlign w:val="bottom"/>
          </w:tcPr>
          <w:p>
            <w:pPr>
              <w:jc w:val="right"/>
              <w:ind w:right="45"/>
              <w:spacing w:after="0"/>
              <w:rPr>
                <w:sz w:val="20"/>
                <w:szCs w:val="20"/>
                <w:color w:val="auto"/>
              </w:rPr>
            </w:pPr>
            <w:r>
              <w:rPr>
                <w:rFonts w:ascii="Arial" w:cs="Arial" w:eastAsia="Arial" w:hAnsi="Arial"/>
                <w:sz w:val="19"/>
                <w:szCs w:val="19"/>
                <w:color w:val="auto"/>
              </w:rPr>
              <w:t>1.924</w:t>
            </w:r>
          </w:p>
        </w:tc>
      </w:tr>
      <w:tr>
        <w:trPr>
          <w:trHeight w:val="243"/>
        </w:trPr>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First Quarter 2015</w:t>
            </w:r>
          </w:p>
        </w:tc>
        <w:tc>
          <w:tcPr>
            <w:tcW w:w="68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$ 26.41</w:t>
            </w:r>
          </w:p>
        </w:tc>
        <w:tc>
          <w:tcPr>
            <w:tcW w:w="940" w:type="dxa"/>
            <w:vAlign w:val="bottom"/>
            <w:gridSpan w:val="2"/>
            <w:shd w:val="clear" w:color="auto" w:fill="E5FFFF"/>
          </w:tcPr>
          <w:p>
            <w:pPr>
              <w:jc w:val="center"/>
              <w:ind w:left="163"/>
              <w:spacing w:after="0"/>
              <w:rPr>
                <w:sz w:val="20"/>
                <w:szCs w:val="20"/>
                <w:color w:val="auto"/>
              </w:rPr>
            </w:pPr>
            <w:r>
              <w:rPr>
                <w:rFonts w:ascii="Arial" w:cs="Arial" w:eastAsia="Arial" w:hAnsi="Arial"/>
                <w:sz w:val="19"/>
                <w:szCs w:val="19"/>
                <w:color w:val="auto"/>
                <w:w w:val="94"/>
              </w:rPr>
              <w:t>$ 22.38</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0.4345</w:t>
            </w:r>
          </w:p>
        </w:tc>
      </w:tr>
      <w:tr>
        <w:trPr>
          <w:trHeight w:val="243"/>
        </w:trPr>
        <w:tc>
          <w:tcPr>
            <w:tcW w:w="7900" w:type="dxa"/>
            <w:vAlign w:val="bottom"/>
          </w:tcPr>
          <w:p>
            <w:pPr>
              <w:spacing w:after="0"/>
              <w:rPr>
                <w:sz w:val="20"/>
                <w:szCs w:val="20"/>
                <w:color w:val="auto"/>
              </w:rPr>
            </w:pPr>
            <w:r>
              <w:rPr>
                <w:rFonts w:ascii="Arial" w:cs="Arial" w:eastAsia="Arial" w:hAnsi="Arial"/>
                <w:sz w:val="19"/>
                <w:szCs w:val="19"/>
                <w:color w:val="auto"/>
              </w:rPr>
              <w:t>Second Quarter 2015</w:t>
            </w: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$ 29.28</w:t>
            </w:r>
          </w:p>
        </w:tc>
        <w:tc>
          <w:tcPr>
            <w:tcW w:w="940" w:type="dxa"/>
            <w:vAlign w:val="bottom"/>
            <w:gridSpan w:val="2"/>
          </w:tcPr>
          <w:p>
            <w:pPr>
              <w:jc w:val="center"/>
              <w:ind w:left="163"/>
              <w:spacing w:after="0"/>
              <w:rPr>
                <w:sz w:val="20"/>
                <w:szCs w:val="20"/>
                <w:color w:val="auto"/>
              </w:rPr>
            </w:pPr>
            <w:r>
              <w:rPr>
                <w:rFonts w:ascii="Arial" w:cs="Arial" w:eastAsia="Arial" w:hAnsi="Arial"/>
                <w:sz w:val="19"/>
                <w:szCs w:val="19"/>
                <w:color w:val="auto"/>
                <w:w w:val="94"/>
              </w:rPr>
              <w:t>$ 22.85</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440" w:type="dxa"/>
            <w:vAlign w:val="bottom"/>
          </w:tcPr>
          <w:p>
            <w:pPr>
              <w:jc w:val="right"/>
              <w:ind w:right="45"/>
              <w:spacing w:after="0"/>
              <w:rPr>
                <w:sz w:val="20"/>
                <w:szCs w:val="20"/>
                <w:color w:val="auto"/>
              </w:rPr>
            </w:pPr>
            <w:r>
              <w:rPr>
                <w:rFonts w:ascii="Arial" w:cs="Arial" w:eastAsia="Arial" w:hAnsi="Arial"/>
                <w:sz w:val="19"/>
                <w:szCs w:val="19"/>
                <w:color w:val="auto"/>
              </w:rPr>
              <w:t>0.4345</w:t>
            </w:r>
          </w:p>
        </w:tc>
      </w:tr>
      <w:tr>
        <w:trPr>
          <w:trHeight w:val="243"/>
        </w:trPr>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Third Quarter 2015</w:t>
            </w:r>
          </w:p>
        </w:tc>
        <w:tc>
          <w:tcPr>
            <w:tcW w:w="68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$ 22.73</w:t>
            </w:r>
          </w:p>
        </w:tc>
        <w:tc>
          <w:tcPr>
            <w:tcW w:w="940" w:type="dxa"/>
            <w:vAlign w:val="bottom"/>
            <w:gridSpan w:val="2"/>
            <w:shd w:val="clear" w:color="auto" w:fill="E5FFFF"/>
          </w:tcPr>
          <w:p>
            <w:pPr>
              <w:jc w:val="center"/>
              <w:ind w:left="163"/>
              <w:spacing w:after="0"/>
              <w:rPr>
                <w:sz w:val="20"/>
                <w:szCs w:val="20"/>
                <w:color w:val="auto"/>
              </w:rPr>
            </w:pPr>
            <w:r>
              <w:rPr>
                <w:rFonts w:ascii="Arial" w:cs="Arial" w:eastAsia="Arial" w:hAnsi="Arial"/>
                <w:sz w:val="19"/>
                <w:szCs w:val="19"/>
                <w:color w:val="auto"/>
                <w:w w:val="94"/>
              </w:rPr>
              <w:t>$ 14.37</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0.478</w:t>
            </w:r>
          </w:p>
        </w:tc>
      </w:tr>
      <w:tr>
        <w:trPr>
          <w:trHeight w:val="243"/>
        </w:trPr>
        <w:tc>
          <w:tcPr>
            <w:tcW w:w="7900" w:type="dxa"/>
            <w:vAlign w:val="bottom"/>
          </w:tcPr>
          <w:p>
            <w:pPr>
              <w:spacing w:after="0"/>
              <w:rPr>
                <w:sz w:val="20"/>
                <w:szCs w:val="20"/>
                <w:color w:val="auto"/>
              </w:rPr>
            </w:pPr>
            <w:r>
              <w:rPr>
                <w:rFonts w:ascii="Arial" w:cs="Arial" w:eastAsia="Arial" w:hAnsi="Arial"/>
                <w:sz w:val="19"/>
                <w:szCs w:val="19"/>
                <w:color w:val="auto"/>
              </w:rPr>
              <w:t>Fourth Quarter 2015</w:t>
            </w: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$ 18.98</w:t>
            </w:r>
          </w:p>
        </w:tc>
        <w:tc>
          <w:tcPr>
            <w:tcW w:w="940" w:type="dxa"/>
            <w:vAlign w:val="bottom"/>
            <w:gridSpan w:val="2"/>
          </w:tcPr>
          <w:p>
            <w:pPr>
              <w:jc w:val="center"/>
              <w:ind w:left="163"/>
              <w:spacing w:after="0"/>
              <w:rPr>
                <w:sz w:val="20"/>
                <w:szCs w:val="20"/>
                <w:color w:val="auto"/>
              </w:rPr>
            </w:pPr>
            <w:r>
              <w:rPr>
                <w:rFonts w:ascii="Arial" w:cs="Arial" w:eastAsia="Arial" w:hAnsi="Arial"/>
                <w:sz w:val="19"/>
                <w:szCs w:val="19"/>
                <w:color w:val="auto"/>
                <w:w w:val="94"/>
              </w:rPr>
              <w:t>$ 12.67</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440" w:type="dxa"/>
            <w:vAlign w:val="bottom"/>
          </w:tcPr>
          <w:p>
            <w:pPr>
              <w:jc w:val="right"/>
              <w:ind w:right="45"/>
              <w:spacing w:after="0"/>
              <w:rPr>
                <w:sz w:val="20"/>
                <w:szCs w:val="20"/>
                <w:color w:val="auto"/>
              </w:rPr>
            </w:pPr>
            <w:r>
              <w:rPr>
                <w:rFonts w:ascii="Arial" w:cs="Arial" w:eastAsia="Arial" w:hAnsi="Arial"/>
                <w:sz w:val="19"/>
                <w:szCs w:val="19"/>
                <w:color w:val="auto"/>
              </w:rPr>
              <w:t>0.478</w:t>
            </w:r>
          </w:p>
        </w:tc>
      </w:tr>
      <w:tr>
        <w:trPr>
          <w:trHeight w:val="243"/>
        </w:trPr>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First Quarter 2016</w:t>
            </w:r>
          </w:p>
        </w:tc>
        <w:tc>
          <w:tcPr>
            <w:tcW w:w="68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$ 17.19</w:t>
            </w:r>
          </w:p>
        </w:tc>
        <w:tc>
          <w:tcPr>
            <w:tcW w:w="940" w:type="dxa"/>
            <w:vAlign w:val="bottom"/>
            <w:gridSpan w:val="2"/>
            <w:shd w:val="clear" w:color="auto" w:fill="E5FFFF"/>
          </w:tcPr>
          <w:p>
            <w:pPr>
              <w:jc w:val="center"/>
              <w:ind w:left="163"/>
              <w:spacing w:after="0"/>
              <w:rPr>
                <w:sz w:val="20"/>
                <w:szCs w:val="20"/>
                <w:color w:val="auto"/>
              </w:rPr>
            </w:pPr>
            <w:r>
              <w:rPr>
                <w:rFonts w:ascii="Arial" w:cs="Arial" w:eastAsia="Arial" w:hAnsi="Arial"/>
                <w:sz w:val="19"/>
                <w:szCs w:val="19"/>
                <w:color w:val="auto"/>
                <w:w w:val="94"/>
              </w:rPr>
              <w:t>$ 10.00</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0.478</w:t>
            </w:r>
          </w:p>
        </w:tc>
      </w:tr>
      <w:tr>
        <w:trPr>
          <w:trHeight w:val="243"/>
        </w:trPr>
        <w:tc>
          <w:tcPr>
            <w:tcW w:w="7900" w:type="dxa"/>
            <w:vAlign w:val="bottom"/>
          </w:tcPr>
          <w:p>
            <w:pPr>
              <w:spacing w:after="0"/>
              <w:rPr>
                <w:sz w:val="20"/>
                <w:szCs w:val="20"/>
                <w:color w:val="auto"/>
              </w:rPr>
            </w:pPr>
            <w:r>
              <w:rPr>
                <w:rFonts w:ascii="Arial" w:cs="Arial" w:eastAsia="Arial" w:hAnsi="Arial"/>
                <w:sz w:val="19"/>
                <w:szCs w:val="19"/>
                <w:color w:val="auto"/>
              </w:rPr>
              <w:t>Second Quarter 2016</w:t>
            </w: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$ 20.97</w:t>
            </w:r>
          </w:p>
        </w:tc>
        <w:tc>
          <w:tcPr>
            <w:tcW w:w="940" w:type="dxa"/>
            <w:vAlign w:val="bottom"/>
            <w:gridSpan w:val="2"/>
          </w:tcPr>
          <w:p>
            <w:pPr>
              <w:jc w:val="center"/>
              <w:ind w:left="163"/>
              <w:spacing w:after="0"/>
              <w:rPr>
                <w:sz w:val="20"/>
                <w:szCs w:val="20"/>
                <w:color w:val="auto"/>
              </w:rPr>
            </w:pPr>
            <w:r>
              <w:rPr>
                <w:rFonts w:ascii="Arial" w:cs="Arial" w:eastAsia="Arial" w:hAnsi="Arial"/>
                <w:sz w:val="19"/>
                <w:szCs w:val="19"/>
                <w:color w:val="auto"/>
                <w:w w:val="94"/>
              </w:rPr>
              <w:t>$ 15.61</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440" w:type="dxa"/>
            <w:vAlign w:val="bottom"/>
          </w:tcPr>
          <w:p>
            <w:pPr>
              <w:jc w:val="right"/>
              <w:ind w:right="45"/>
              <w:spacing w:after="0"/>
              <w:rPr>
                <w:sz w:val="20"/>
                <w:szCs w:val="20"/>
                <w:color w:val="auto"/>
              </w:rPr>
            </w:pPr>
            <w:r>
              <w:rPr>
                <w:rFonts w:ascii="Arial" w:cs="Arial" w:eastAsia="Arial" w:hAnsi="Arial"/>
                <w:sz w:val="19"/>
                <w:szCs w:val="19"/>
                <w:color w:val="auto"/>
              </w:rPr>
              <w:t>0.478</w:t>
            </w:r>
          </w:p>
        </w:tc>
      </w:tr>
      <w:tr>
        <w:trPr>
          <w:trHeight w:val="243"/>
        </w:trPr>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Third Quarter 2016</w:t>
            </w:r>
          </w:p>
        </w:tc>
        <w:tc>
          <w:tcPr>
            <w:tcW w:w="68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$ 22.00</w:t>
            </w:r>
          </w:p>
        </w:tc>
        <w:tc>
          <w:tcPr>
            <w:tcW w:w="940" w:type="dxa"/>
            <w:vAlign w:val="bottom"/>
            <w:gridSpan w:val="2"/>
            <w:shd w:val="clear" w:color="auto" w:fill="E5FFFF"/>
          </w:tcPr>
          <w:p>
            <w:pPr>
              <w:jc w:val="center"/>
              <w:ind w:left="163"/>
              <w:spacing w:after="0"/>
              <w:rPr>
                <w:sz w:val="20"/>
                <w:szCs w:val="20"/>
                <w:color w:val="auto"/>
              </w:rPr>
            </w:pPr>
            <w:r>
              <w:rPr>
                <w:rFonts w:ascii="Arial" w:cs="Arial" w:eastAsia="Arial" w:hAnsi="Arial"/>
                <w:sz w:val="19"/>
                <w:szCs w:val="19"/>
                <w:color w:val="auto"/>
                <w:w w:val="94"/>
              </w:rPr>
              <w:t>$ 18.87</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0.478</w:t>
            </w:r>
          </w:p>
        </w:tc>
      </w:tr>
      <w:tr>
        <w:trPr>
          <w:trHeight w:val="243"/>
        </w:trPr>
        <w:tc>
          <w:tcPr>
            <w:tcW w:w="7900" w:type="dxa"/>
            <w:vAlign w:val="bottom"/>
          </w:tcPr>
          <w:p>
            <w:pPr>
              <w:spacing w:after="0"/>
              <w:rPr>
                <w:sz w:val="20"/>
                <w:szCs w:val="20"/>
                <w:color w:val="auto"/>
              </w:rPr>
            </w:pPr>
            <w:r>
              <w:rPr>
                <w:rFonts w:ascii="Arial" w:cs="Arial" w:eastAsia="Arial" w:hAnsi="Arial"/>
                <w:sz w:val="19"/>
                <w:szCs w:val="19"/>
                <w:color w:val="auto"/>
              </w:rPr>
              <w:t>Fourth Quarter 2016</w:t>
            </w: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$ 21.90</w:t>
            </w:r>
          </w:p>
        </w:tc>
        <w:tc>
          <w:tcPr>
            <w:tcW w:w="940" w:type="dxa"/>
            <w:vAlign w:val="bottom"/>
            <w:gridSpan w:val="2"/>
          </w:tcPr>
          <w:p>
            <w:pPr>
              <w:jc w:val="center"/>
              <w:ind w:left="163"/>
              <w:spacing w:after="0"/>
              <w:rPr>
                <w:sz w:val="20"/>
                <w:szCs w:val="20"/>
                <w:color w:val="auto"/>
              </w:rPr>
            </w:pPr>
            <w:r>
              <w:rPr>
                <w:rFonts w:ascii="Arial" w:cs="Arial" w:eastAsia="Arial" w:hAnsi="Arial"/>
                <w:sz w:val="19"/>
                <w:szCs w:val="19"/>
                <w:color w:val="auto"/>
                <w:w w:val="94"/>
              </w:rPr>
              <w:t>$ 19.50</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440" w:type="dxa"/>
            <w:vAlign w:val="bottom"/>
          </w:tcPr>
          <w:p>
            <w:pPr>
              <w:jc w:val="right"/>
              <w:ind w:right="45"/>
              <w:spacing w:after="0"/>
              <w:rPr>
                <w:sz w:val="20"/>
                <w:szCs w:val="20"/>
                <w:color w:val="auto"/>
              </w:rPr>
            </w:pPr>
            <w:r>
              <w:rPr>
                <w:rFonts w:ascii="Arial" w:cs="Arial" w:eastAsia="Arial" w:hAnsi="Arial"/>
                <w:sz w:val="19"/>
                <w:szCs w:val="19"/>
                <w:color w:val="auto"/>
              </w:rPr>
              <w:t>0.49</w:t>
            </w:r>
          </w:p>
        </w:tc>
      </w:tr>
      <w:tr>
        <w:trPr>
          <w:trHeight w:val="243"/>
        </w:trPr>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First Quarter 2017</w:t>
            </w:r>
          </w:p>
        </w:tc>
        <w:tc>
          <w:tcPr>
            <w:tcW w:w="68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$ 24.55</w:t>
            </w:r>
          </w:p>
        </w:tc>
        <w:tc>
          <w:tcPr>
            <w:tcW w:w="940" w:type="dxa"/>
            <w:vAlign w:val="bottom"/>
            <w:gridSpan w:val="2"/>
            <w:shd w:val="clear" w:color="auto" w:fill="E5FFFF"/>
          </w:tcPr>
          <w:p>
            <w:pPr>
              <w:jc w:val="center"/>
              <w:ind w:left="163"/>
              <w:spacing w:after="0"/>
              <w:rPr>
                <w:sz w:val="20"/>
                <w:szCs w:val="20"/>
                <w:color w:val="auto"/>
              </w:rPr>
            </w:pPr>
            <w:r>
              <w:rPr>
                <w:rFonts w:ascii="Arial" w:cs="Arial" w:eastAsia="Arial" w:hAnsi="Arial"/>
                <w:sz w:val="19"/>
                <w:szCs w:val="19"/>
                <w:color w:val="auto"/>
                <w:w w:val="94"/>
              </w:rPr>
              <w:t>$ 20.60</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0.50</w:t>
            </w:r>
          </w:p>
        </w:tc>
      </w:tr>
      <w:tr>
        <w:trPr>
          <w:trHeight w:val="243"/>
        </w:trPr>
        <w:tc>
          <w:tcPr>
            <w:tcW w:w="7900" w:type="dxa"/>
            <w:vAlign w:val="bottom"/>
          </w:tcPr>
          <w:p>
            <w:pPr>
              <w:spacing w:after="0"/>
              <w:rPr>
                <w:sz w:val="20"/>
                <w:szCs w:val="20"/>
                <w:color w:val="auto"/>
              </w:rPr>
            </w:pPr>
            <w:r>
              <w:rPr>
                <w:rFonts w:ascii="Arial" w:cs="Arial" w:eastAsia="Arial" w:hAnsi="Arial"/>
                <w:sz w:val="19"/>
                <w:szCs w:val="19"/>
                <w:color w:val="auto"/>
              </w:rPr>
              <w:t>January 2017</w:t>
            </w: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$ 22.90</w:t>
            </w:r>
          </w:p>
        </w:tc>
        <w:tc>
          <w:tcPr>
            <w:tcW w:w="940" w:type="dxa"/>
            <w:vAlign w:val="bottom"/>
            <w:gridSpan w:val="2"/>
          </w:tcPr>
          <w:p>
            <w:pPr>
              <w:jc w:val="center"/>
              <w:ind w:left="163"/>
              <w:spacing w:after="0"/>
              <w:rPr>
                <w:sz w:val="20"/>
                <w:szCs w:val="20"/>
                <w:color w:val="auto"/>
              </w:rPr>
            </w:pPr>
            <w:r>
              <w:rPr>
                <w:rFonts w:ascii="Arial" w:cs="Arial" w:eastAsia="Arial" w:hAnsi="Arial"/>
                <w:sz w:val="19"/>
                <w:szCs w:val="19"/>
                <w:color w:val="auto"/>
                <w:w w:val="94"/>
              </w:rPr>
              <w:t>$ 20.60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45"/>
              <w:spacing w:after="0"/>
              <w:rPr>
                <w:sz w:val="20"/>
                <w:szCs w:val="20"/>
                <w:color w:val="auto"/>
              </w:rPr>
            </w:pPr>
            <w:r>
              <w:rPr>
                <w:rFonts w:ascii="Arial" w:cs="Arial" w:eastAsia="Arial" w:hAnsi="Arial"/>
                <w:sz w:val="19"/>
                <w:szCs w:val="19"/>
                <w:color w:val="auto"/>
              </w:rPr>
              <w:t>N/A</w:t>
            </w:r>
          </w:p>
        </w:tc>
      </w:tr>
      <w:tr>
        <w:trPr>
          <w:trHeight w:val="243"/>
        </w:trPr>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February 2017</w:t>
            </w:r>
          </w:p>
        </w:tc>
        <w:tc>
          <w:tcPr>
            <w:tcW w:w="68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$ 24.05</w:t>
            </w:r>
          </w:p>
        </w:tc>
        <w:tc>
          <w:tcPr>
            <w:tcW w:w="940" w:type="dxa"/>
            <w:vAlign w:val="bottom"/>
            <w:gridSpan w:val="2"/>
            <w:shd w:val="clear" w:color="auto" w:fill="E5FFFF"/>
          </w:tcPr>
          <w:p>
            <w:pPr>
              <w:jc w:val="center"/>
              <w:ind w:left="163"/>
              <w:spacing w:after="0"/>
              <w:rPr>
                <w:sz w:val="20"/>
                <w:szCs w:val="20"/>
                <w:color w:val="auto"/>
              </w:rPr>
            </w:pPr>
            <w:r>
              <w:rPr>
                <w:rFonts w:ascii="Arial" w:cs="Arial" w:eastAsia="Arial" w:hAnsi="Arial"/>
                <w:sz w:val="19"/>
                <w:szCs w:val="19"/>
                <w:color w:val="auto"/>
                <w:w w:val="94"/>
              </w:rPr>
              <w:t>$ 22.00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N/A</w:t>
            </w:r>
          </w:p>
        </w:tc>
      </w:tr>
      <w:tr>
        <w:trPr>
          <w:trHeight w:val="243"/>
        </w:trPr>
        <w:tc>
          <w:tcPr>
            <w:tcW w:w="7900" w:type="dxa"/>
            <w:vAlign w:val="bottom"/>
          </w:tcPr>
          <w:p>
            <w:pPr>
              <w:spacing w:after="0"/>
              <w:rPr>
                <w:sz w:val="20"/>
                <w:szCs w:val="20"/>
                <w:color w:val="auto"/>
              </w:rPr>
            </w:pPr>
            <w:r>
              <w:rPr>
                <w:rFonts w:ascii="Arial" w:cs="Arial" w:eastAsia="Arial" w:hAnsi="Arial"/>
                <w:sz w:val="19"/>
                <w:szCs w:val="19"/>
                <w:color w:val="auto"/>
              </w:rPr>
              <w:t>March 2017</w:t>
            </w: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$ 24.55</w:t>
            </w:r>
          </w:p>
        </w:tc>
        <w:tc>
          <w:tcPr>
            <w:tcW w:w="940" w:type="dxa"/>
            <w:vAlign w:val="bottom"/>
            <w:gridSpan w:val="2"/>
          </w:tcPr>
          <w:p>
            <w:pPr>
              <w:jc w:val="center"/>
              <w:ind w:left="163"/>
              <w:spacing w:after="0"/>
              <w:rPr>
                <w:sz w:val="20"/>
                <w:szCs w:val="20"/>
                <w:color w:val="auto"/>
              </w:rPr>
            </w:pPr>
            <w:r>
              <w:rPr>
                <w:rFonts w:ascii="Arial" w:cs="Arial" w:eastAsia="Arial" w:hAnsi="Arial"/>
                <w:sz w:val="19"/>
                <w:szCs w:val="19"/>
                <w:color w:val="auto"/>
                <w:w w:val="94"/>
              </w:rPr>
              <w:t>$ 23.45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45"/>
              <w:spacing w:after="0"/>
              <w:rPr>
                <w:sz w:val="20"/>
                <w:szCs w:val="20"/>
                <w:color w:val="auto"/>
              </w:rPr>
            </w:pPr>
            <w:r>
              <w:rPr>
                <w:rFonts w:ascii="Arial" w:cs="Arial" w:eastAsia="Arial" w:hAnsi="Arial"/>
                <w:sz w:val="19"/>
                <w:szCs w:val="19"/>
                <w:color w:val="auto"/>
              </w:rPr>
              <w:t>N/A</w:t>
            </w:r>
          </w:p>
        </w:tc>
      </w:tr>
      <w:tr>
        <w:trPr>
          <w:trHeight w:val="243"/>
        </w:trPr>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April 2017</w:t>
            </w:r>
          </w:p>
        </w:tc>
        <w:tc>
          <w:tcPr>
            <w:tcW w:w="68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$ 24.25</w:t>
            </w:r>
          </w:p>
        </w:tc>
        <w:tc>
          <w:tcPr>
            <w:tcW w:w="940" w:type="dxa"/>
            <w:vAlign w:val="bottom"/>
            <w:gridSpan w:val="2"/>
            <w:shd w:val="clear" w:color="auto" w:fill="E5FFFF"/>
          </w:tcPr>
          <w:p>
            <w:pPr>
              <w:jc w:val="center"/>
              <w:ind w:left="163"/>
              <w:spacing w:after="0"/>
              <w:rPr>
                <w:sz w:val="20"/>
                <w:szCs w:val="20"/>
                <w:color w:val="auto"/>
              </w:rPr>
            </w:pPr>
            <w:r>
              <w:rPr>
                <w:rFonts w:ascii="Arial" w:cs="Arial" w:eastAsia="Arial" w:hAnsi="Arial"/>
                <w:sz w:val="19"/>
                <w:szCs w:val="19"/>
                <w:color w:val="auto"/>
                <w:w w:val="94"/>
              </w:rPr>
              <w:t>$ 23.30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N/A</w:t>
            </w:r>
          </w:p>
        </w:tc>
      </w:tr>
      <w:tr>
        <w:trPr>
          <w:trHeight w:val="247"/>
        </w:trPr>
        <w:tc>
          <w:tcPr>
            <w:tcW w:w="7900" w:type="dxa"/>
            <w:vAlign w:val="bottom"/>
          </w:tcPr>
          <w:p>
            <w:pPr>
              <w:spacing w:after="0"/>
              <w:rPr>
                <w:sz w:val="20"/>
                <w:szCs w:val="20"/>
                <w:color w:val="auto"/>
              </w:rPr>
            </w:pPr>
            <w:r>
              <w:rPr>
                <w:rFonts w:ascii="Arial" w:cs="Arial" w:eastAsia="Arial" w:hAnsi="Arial"/>
                <w:sz w:val="19"/>
                <w:szCs w:val="19"/>
                <w:color w:val="auto"/>
              </w:rPr>
              <w:t>May 1 to May 15, 2017</w:t>
            </w: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$ 25.20</w:t>
            </w:r>
          </w:p>
        </w:tc>
        <w:tc>
          <w:tcPr>
            <w:tcW w:w="940" w:type="dxa"/>
            <w:vAlign w:val="bottom"/>
            <w:gridSpan w:val="2"/>
          </w:tcPr>
          <w:p>
            <w:pPr>
              <w:jc w:val="center"/>
              <w:ind w:left="163"/>
              <w:spacing w:after="0"/>
              <w:rPr>
                <w:sz w:val="20"/>
                <w:szCs w:val="20"/>
                <w:color w:val="auto"/>
              </w:rPr>
            </w:pPr>
            <w:r>
              <w:rPr>
                <w:rFonts w:ascii="Arial" w:cs="Arial" w:eastAsia="Arial" w:hAnsi="Arial"/>
                <w:sz w:val="19"/>
                <w:szCs w:val="19"/>
                <w:color w:val="auto"/>
                <w:w w:val="94"/>
              </w:rPr>
              <w:t>$ 22.85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45"/>
              <w:spacing w:after="0"/>
              <w:rPr>
                <w:sz w:val="20"/>
                <w:szCs w:val="20"/>
                <w:color w:val="auto"/>
              </w:rPr>
            </w:pPr>
            <w:r>
              <w:rPr>
                <w:rFonts w:ascii="Arial" w:cs="Arial" w:eastAsia="Arial" w:hAnsi="Arial"/>
                <w:sz w:val="19"/>
                <w:szCs w:val="19"/>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75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0" w:lineRule="exact"/>
        <w:rPr>
          <w:sz w:val="20"/>
          <w:szCs w:val="20"/>
          <w:color w:val="auto"/>
        </w:rPr>
      </w:pPr>
    </w:p>
    <w:p>
      <w:pPr>
        <w:ind w:left="80"/>
        <w:spacing w:after="0"/>
        <w:tabs>
          <w:tab w:leader="none" w:pos="26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6"/>
          <w:szCs w:val="16"/>
          <w:color w:val="auto"/>
        </w:rPr>
        <w:t>Distributions are shown for the quarter with respect to which they are declared.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9"/>
          <w:szCs w:val="19"/>
          <w:b w:val="1"/>
          <w:bCs w:val="1"/>
          <w:color w:val="auto"/>
        </w:rPr>
        <w:t>DESCRIPTION OF THE COMMON UNITS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Units</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The common units represent limited partner interests in us. The holders of units are entitled to participate in partnership distributions and exercise the rights and privileges available to limited partners under our partnership agreement. No certificates will be issued to the unitholders in respect of the common units. For a description of the rights and privileges of limited partners under our partnership agreement, including voting rights, see “Summary of our Partnership Agreement” found elsewhere in this prospectus.</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Registrar</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Duties</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American Stock Transfer &amp; Trust, LLC serves as registrar and transfer agent for the common units. We pay all fees charged by the transfer agent for transfers of common units, except the following, which must be paid by unitholders:</w:t>
      </w:r>
    </w:p>
    <w:p>
      <w:pPr>
        <w:spacing w:after="0" w:line="25" w:lineRule="exact"/>
        <w:rPr>
          <w:sz w:val="20"/>
          <w:szCs w:val="20"/>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surety bond premiums to replace lost or stolen certificates, taxes and other governmental charges;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special charges for services requested by a holder of a common unit;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other similar fees or charges.</w:t>
      </w:r>
    </w:p>
    <w:p>
      <w:pPr>
        <w:spacing w:after="0" w:line="119" w:lineRule="exact"/>
        <w:rPr>
          <w:sz w:val="20"/>
          <w:szCs w:val="20"/>
          <w:color w:val="auto"/>
        </w:rPr>
      </w:pPr>
    </w:p>
    <w:p>
      <w:pPr>
        <w:ind w:right="20" w:firstLine="357"/>
        <w:spacing w:after="0" w:line="289" w:lineRule="auto"/>
        <w:rPr>
          <w:sz w:val="20"/>
          <w:szCs w:val="20"/>
          <w:color w:val="auto"/>
        </w:rPr>
      </w:pPr>
      <w:r>
        <w:rPr>
          <w:rFonts w:ascii="Arial" w:cs="Arial" w:eastAsia="Arial" w:hAnsi="Arial"/>
          <w:sz w:val="18"/>
          <w:szCs w:val="18"/>
          <w:color w:val="auto"/>
        </w:rPr>
        <w:t>There is no charge to unitholders for disbursements of our cash distributions. We will indemnify the transfer agent, its agents and each of their stockholders, directors, officers and employees against all claims and losses that may arise out of acts performed or omitted for their activities in that capacity, except for any liability due to any gross negligence or intentional misconduct of the indemnified person or entity.</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Resignation or Removal</w:t>
      </w:r>
    </w:p>
    <w:p>
      <w:pPr>
        <w:spacing w:after="0" w:line="119"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Common Units</w:t>
      </w:r>
    </w:p>
    <w:p>
      <w:pPr>
        <w:spacing w:after="0" w:line="125" w:lineRule="exact"/>
        <w:rPr>
          <w:sz w:val="20"/>
          <w:szCs w:val="20"/>
          <w:color w:val="auto"/>
        </w:rPr>
      </w:pPr>
    </w:p>
    <w:p>
      <w:pPr>
        <w:ind w:right="340" w:firstLine="357"/>
        <w:spacing w:after="0" w:line="331" w:lineRule="auto"/>
        <w:rPr>
          <w:sz w:val="20"/>
          <w:szCs w:val="20"/>
          <w:color w:val="auto"/>
        </w:rPr>
      </w:pPr>
      <w:r>
        <w:rPr>
          <w:rFonts w:ascii="Arial" w:cs="Arial" w:eastAsia="Arial" w:hAnsi="Arial"/>
          <w:sz w:val="17"/>
          <w:szCs w:val="17"/>
          <w:color w:val="auto"/>
        </w:rPr>
        <w:t>By transfer of common units in accordance with our partnership agreement, each transferee of common units will be admitted as a limited partner with respect to the common units transferred when such transfer and admission is reflected in our books and records. Each transferee:</w:t>
      </w:r>
    </w:p>
    <w:p>
      <w:pPr>
        <w:spacing w:after="0" w:line="1" w:lineRule="exact"/>
        <w:rPr>
          <w:sz w:val="20"/>
          <w:szCs w:val="20"/>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represents that the transferee has the capacity, power and authority to become bound by our partnership agreement;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automatically agrees to be bound by the terms and conditions of, and is deemed to have executed, our partnership agreement; and</w:t>
      </w:r>
    </w:p>
    <w:p>
      <w:pPr>
        <w:spacing w:after="0" w:line="117" w:lineRule="exact"/>
        <w:rPr>
          <w:rFonts w:ascii="Arial" w:cs="Arial" w:eastAsia="Arial" w:hAnsi="Arial"/>
          <w:sz w:val="18"/>
          <w:szCs w:val="18"/>
          <w:color w:val="auto"/>
        </w:rPr>
      </w:pPr>
    </w:p>
    <w:p>
      <w:pPr>
        <w:ind w:left="540" w:hanging="168"/>
        <w:spacing w:after="0" w:line="28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gives the consents and approvals contained in our partnership agreement, such as the approval of all transactions and agreements we entered into in connection with our formation and the IPO.</w:t>
      </w:r>
    </w:p>
    <w:p>
      <w:pPr>
        <w:spacing w:after="0" w:line="52" w:lineRule="exact"/>
        <w:rPr>
          <w:sz w:val="20"/>
          <w:szCs w:val="20"/>
          <w:color w:val="auto"/>
        </w:rPr>
      </w:pPr>
    </w:p>
    <w:p>
      <w:pPr>
        <w:jc w:val="both"/>
        <w:ind w:right="20" w:firstLine="357"/>
        <w:spacing w:after="0" w:line="267" w:lineRule="auto"/>
        <w:rPr>
          <w:sz w:val="20"/>
          <w:szCs w:val="20"/>
          <w:color w:val="auto"/>
        </w:rPr>
      </w:pPr>
      <w:r>
        <w:rPr>
          <w:rFonts w:ascii="Arial" w:cs="Arial" w:eastAsia="Arial" w:hAnsi="Arial"/>
          <w:sz w:val="19"/>
          <w:szCs w:val="19"/>
          <w:color w:val="auto"/>
        </w:rPr>
        <w:t>A transferee will become a substituted limited partner of our partnership for the transferred common units automatically upon the recording of the transfer on our books and records. Our general partner will cause any transfers to be recorded on our books and records no less frequently than quarterly.</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8" w:name="page29"/>
    <w:bookmarkEnd w:id="28"/>
    <w:p>
      <w:pPr>
        <w:ind w:right="300" w:firstLine="357"/>
        <w:spacing w:after="0" w:line="344" w:lineRule="auto"/>
        <w:rPr>
          <w:sz w:val="20"/>
          <w:szCs w:val="20"/>
          <w:color w:val="auto"/>
        </w:rPr>
      </w:pPr>
      <w:r>
        <w:rPr>
          <w:rFonts w:ascii="Arial" w:cs="Arial" w:eastAsia="Arial" w:hAnsi="Arial"/>
          <w:sz w:val="17"/>
          <w:szCs w:val="17"/>
          <w:color w:val="auto"/>
        </w:rPr>
        <w:t>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7" w:lineRule="exact"/>
        <w:rPr>
          <w:sz w:val="20"/>
          <w:szCs w:val="20"/>
          <w:color w:val="auto"/>
        </w:rPr>
      </w:pPr>
    </w:p>
    <w:p>
      <w:pPr>
        <w:ind w:right="300" w:firstLine="357"/>
        <w:spacing w:after="0" w:line="344" w:lineRule="auto"/>
        <w:rPr>
          <w:sz w:val="20"/>
          <w:szCs w:val="20"/>
          <w:color w:val="auto"/>
        </w:rPr>
      </w:pPr>
      <w:r>
        <w:rPr>
          <w:rFonts w:ascii="Arial" w:cs="Arial" w:eastAsia="Arial" w:hAnsi="Arial"/>
          <w:sz w:val="17"/>
          <w:szCs w:val="17"/>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w:t>
      </w:r>
    </w:p>
    <w:p>
      <w:pPr>
        <w:spacing w:after="0" w:line="7"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52"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See “Item 8. Financial Information—Our Cash Distribution Policy” beginning on page 111 of our Annual Report on Form 20-F for descriptions of the general partner interest and the incentive distribution rights and “—Summary of Our Partnership Agreement” for a description of the Series A Preference Units.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9"/>
          <w:szCs w:val="19"/>
          <w:b w:val="1"/>
          <w:bCs w:val="1"/>
          <w:color w:val="auto"/>
        </w:rPr>
        <w:t>SUMMARY OF OUR PARTNERSHIP AGREEMENT</w:t>
      </w:r>
    </w:p>
    <w:p>
      <w:pPr>
        <w:spacing w:after="0" w:line="125" w:lineRule="exact"/>
        <w:rPr>
          <w:sz w:val="20"/>
          <w:szCs w:val="20"/>
          <w:color w:val="auto"/>
        </w:rPr>
      </w:pPr>
    </w:p>
    <w:p>
      <w:pPr>
        <w:ind w:right="420" w:firstLine="357"/>
        <w:spacing w:after="0" w:line="267" w:lineRule="auto"/>
        <w:rPr>
          <w:sz w:val="20"/>
          <w:szCs w:val="20"/>
          <w:color w:val="auto"/>
        </w:rPr>
      </w:pPr>
      <w:r>
        <w:rPr>
          <w:rFonts w:ascii="Arial" w:cs="Arial" w:eastAsia="Arial" w:hAnsi="Arial"/>
          <w:sz w:val="19"/>
          <w:szCs w:val="19"/>
          <w:color w:val="auto"/>
        </w:rPr>
        <w:t>The following is a summary of the material provisions of the Partnership Agreement, which is qualified in its entirety by the terms and conditions of the Partnership Agreement, which is incorporated herein by reference. We will provide prospective investors with a copy of the Partnership Agreement upon written request at no charge.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 and Duration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were organized on January 23, 2014 and have perpetual existence.</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Purpose</w:t>
      </w:r>
    </w:p>
    <w:p>
      <w:pPr>
        <w:spacing w:after="0" w:line="125"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Our purpose under the partnership agreement is to engage in any business activities that may lawfully be engaged in by a limited partnership pursuant to the Marshall Islands Act.</w:t>
      </w:r>
    </w:p>
    <w:p>
      <w:pPr>
        <w:spacing w:after="0" w:line="52" w:lineRule="exact"/>
        <w:rPr>
          <w:sz w:val="20"/>
          <w:szCs w:val="20"/>
          <w:color w:val="auto"/>
        </w:rPr>
      </w:pPr>
    </w:p>
    <w:p>
      <w:pPr>
        <w:ind w:right="220" w:firstLine="357"/>
        <w:spacing w:after="0" w:line="281"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Distributions</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Our partnership agreement specifies the manner in which we will make cash distributions to holders of our common units and other partnership interests, including to the holders of Series A Preference Units, our incentive distribution rights, as well as to our general partner in respect of its general partner interest. Please see “Our Cash Distribution Policy and Restrictions on Distributions” on page 20 of the Prospectus for further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Contributions</w:t>
      </w:r>
    </w:p>
    <w:p>
      <w:pPr>
        <w:spacing w:after="0" w:line="125"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No holder of common units or Series A Preference Units is obligated to make additional capital contributions, except as described below under “—Limited Liability”.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Rights</w:t>
      </w:r>
    </w:p>
    <w:p>
      <w:pPr>
        <w:spacing w:after="0" w:line="125" w:lineRule="exact"/>
        <w:rPr>
          <w:sz w:val="20"/>
          <w:szCs w:val="20"/>
          <w:color w:val="auto"/>
        </w:rPr>
      </w:pPr>
    </w:p>
    <w:p>
      <w:pPr>
        <w:jc w:val="both"/>
        <w:ind w:right="60" w:firstLine="357"/>
        <w:spacing w:after="0" w:line="262" w:lineRule="auto"/>
        <w:rPr>
          <w:sz w:val="20"/>
          <w:szCs w:val="20"/>
          <w:color w:val="auto"/>
        </w:rPr>
      </w:pPr>
      <w:r>
        <w:rPr>
          <w:rFonts w:ascii="Arial" w:cs="Arial" w:eastAsia="Arial" w:hAnsi="Arial"/>
          <w:sz w:val="19"/>
          <w:szCs w:val="19"/>
          <w:color w:val="auto"/>
        </w:rPr>
        <w:t>The following is a summary of the unitholder vote required for approval of the matters specified below. Matters that require the approval of a “Unit Majority” require the approval of a majority of the 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72"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30" w:name="page31"/>
    <w:bookmarkEnd w:id="30"/>
    <w:p>
      <w:pPr>
        <w:ind w:right="80" w:firstLine="357"/>
        <w:spacing w:after="0" w:line="273"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w:t>
      </w:r>
    </w:p>
    <w:p>
      <w:pPr>
        <w:sectPr>
          <w:pgSz w:w="11900" w:h="16838" w:orient="portrait"/>
          <w:cols w:equalWidth="0" w:num="1">
            <w:col w:w="11380"/>
          </w:cols>
          <w:pgMar w:left="240" w:top="477" w:right="27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5331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Issuance of additional common units or other limited partner interests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color w:val="auto"/>
        </w:rPr>
        <w:t>Merger of our partnership or the sale of all or substantially all of our assets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Dissolution of our partnership</w:t>
      </w:r>
    </w:p>
    <w:p>
      <w:pPr>
        <w:spacing w:after="0" w:line="241" w:lineRule="exact"/>
        <w:rPr>
          <w:sz w:val="20"/>
          <w:szCs w:val="20"/>
          <w:color w:val="auto"/>
        </w:rPr>
      </w:pPr>
    </w:p>
    <w:p>
      <w:pPr>
        <w:ind w:right="1480"/>
        <w:spacing w:after="0" w:line="298" w:lineRule="auto"/>
        <w:rPr>
          <w:sz w:val="20"/>
          <w:szCs w:val="20"/>
          <w:color w:val="auto"/>
        </w:rPr>
      </w:pPr>
      <w:r>
        <w:rPr>
          <w:rFonts w:ascii="Arial" w:cs="Arial" w:eastAsia="Arial" w:hAnsi="Arial"/>
          <w:sz w:val="19"/>
          <w:szCs w:val="19"/>
          <w:color w:val="auto"/>
        </w:rPr>
        <w:t>Reconstitution of our partnership upon dissolution Withdrawal of our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Removal of our general partner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5248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4"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Certain amendments may be made by our board of directors without the approval of the unitholders. Other amendments generally require the approval of a Unit Majority. See “—Amendment of the Partnership Agreement”.</w:t>
      </w:r>
    </w:p>
    <w:p>
      <w:pPr>
        <w:spacing w:after="0" w:line="1" w:lineRule="exact"/>
        <w:rPr>
          <w:sz w:val="20"/>
          <w:szCs w:val="20"/>
          <w:color w:val="auto"/>
        </w:rPr>
      </w:pPr>
    </w:p>
    <w:p>
      <w:pPr>
        <w:jc w:val="both"/>
        <w:ind w:right="300"/>
        <w:spacing w:after="0" w:line="252" w:lineRule="auto"/>
        <w:rPr>
          <w:sz w:val="20"/>
          <w:szCs w:val="20"/>
          <w:color w:val="auto"/>
        </w:rPr>
      </w:pPr>
      <w:r>
        <w:rPr>
          <w:rFonts w:ascii="Arial" w:cs="Arial" w:eastAsia="Arial" w:hAnsi="Arial"/>
          <w:sz w:val="19"/>
          <w:szCs w:val="19"/>
          <w:color w:val="auto"/>
        </w:rPr>
        <w:t>Unit Majority and approval of our general partner and our board of directors. See “—Merger, Sale, Conversion or Other Disposition of Assets”.</w:t>
      </w:r>
    </w:p>
    <w:p>
      <w:pPr>
        <w:spacing w:after="0" w:line="1" w:lineRule="exact"/>
        <w:rPr>
          <w:sz w:val="20"/>
          <w:szCs w:val="20"/>
          <w:color w:val="auto"/>
        </w:rPr>
      </w:pPr>
    </w:p>
    <w:p>
      <w:pPr>
        <w:ind w:right="320"/>
        <w:spacing w:after="0" w:line="252" w:lineRule="auto"/>
        <w:rPr>
          <w:sz w:val="20"/>
          <w:szCs w:val="20"/>
          <w:color w:val="auto"/>
        </w:rPr>
      </w:pPr>
      <w:r>
        <w:rPr>
          <w:rFonts w:ascii="Arial" w:cs="Arial" w:eastAsia="Arial" w:hAnsi="Arial"/>
          <w:sz w:val="19"/>
          <w:szCs w:val="19"/>
          <w:color w:val="auto"/>
        </w:rPr>
        <w:t>Unit Majority and approval of our general partner and our board of directors. See “—Termination and Dissolution”. Unit Majority. See “—Termination and Dissolution”.</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 xml:space="preserve">Under most circumstances, the approval of a majority of the common units, excluding common units held by our general partner and its affiliates, is required for the withdrawal of our general partner prior to March 31, 2024 in a manner that would cause a dissolution of our partnership. See “—Withdrawal or Removal of our General Partner”. Not less than 66 </w:t>
      </w:r>
      <w:r>
        <w:rPr>
          <w:rFonts w:ascii="Arial" w:cs="Arial" w:eastAsia="Arial" w:hAnsi="Arial"/>
          <w:sz w:val="10"/>
          <w:szCs w:val="10"/>
          <w:color w:val="auto"/>
        </w:rPr>
        <w:t>2</w:t>
      </w:r>
      <w:r>
        <w:rPr>
          <w:rFonts w:ascii="Arial" w:cs="Arial" w:eastAsia="Arial" w:hAnsi="Arial"/>
          <w:sz w:val="19"/>
          <w:szCs w:val="19"/>
          <w:color w:val="auto"/>
        </w:rPr>
        <w:t>/</w:t>
      </w:r>
      <w:r>
        <w:rPr>
          <w:rFonts w:ascii="Arial" w:cs="Arial" w:eastAsia="Arial" w:hAnsi="Arial"/>
          <w:sz w:val="12"/>
          <w:szCs w:val="12"/>
          <w:color w:val="auto"/>
        </w:rPr>
        <w:t>3</w:t>
      </w:r>
      <w:r>
        <w:rPr>
          <w:rFonts w:ascii="Arial" w:cs="Arial" w:eastAsia="Arial" w:hAnsi="Arial"/>
          <w:sz w:val="19"/>
          <w:szCs w:val="19"/>
          <w:color w:val="auto"/>
        </w:rPr>
        <w:t>% of the outstanding common units voting together as a single class. See “—Withdrawal or Removal of our General Partner”.</w:t>
      </w:r>
    </w:p>
    <w:p>
      <w:pPr>
        <w:spacing w:after="0" w:line="200" w:lineRule="exact"/>
        <w:rPr>
          <w:sz w:val="20"/>
          <w:szCs w:val="20"/>
          <w:color w:val="auto"/>
        </w:rPr>
      </w:pPr>
    </w:p>
    <w:p>
      <w:pPr>
        <w:sectPr>
          <w:pgSz w:w="11900" w:h="16838" w:orient="portrait"/>
          <w:cols w:equalWidth="0" w:num="2">
            <w:col w:w="5400" w:space="460"/>
            <w:col w:w="5520"/>
          </w:cols>
          <w:pgMar w:left="240" w:top="477" w:right="279" w:bottom="1440" w:gutter="0" w:footer="0" w:header="0"/>
          <w:type w:val="continuous"/>
        </w:sectPr>
      </w:pP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49"/>
        </w:trPr>
        <w:tc>
          <w:tcPr>
            <w:tcW w:w="55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Action</w:t>
            </w:r>
          </w:p>
        </w:tc>
        <w:tc>
          <w:tcPr>
            <w:tcW w:w="280" w:type="dxa"/>
            <w:vAlign w:val="bottom"/>
          </w:tcPr>
          <w:p>
            <w:pPr>
              <w:spacing w:after="0"/>
              <w:rPr>
                <w:sz w:val="21"/>
                <w:szCs w:val="21"/>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Unitholder Approval Required and Voting Rights</w:t>
            </w:r>
          </w:p>
        </w:tc>
      </w:tr>
      <w:tr>
        <w:trPr>
          <w:trHeight w:val="210"/>
        </w:trPr>
        <w:tc>
          <w:tcPr>
            <w:tcW w:w="5580" w:type="dxa"/>
            <w:vAlign w:val="bottom"/>
          </w:tcPr>
          <w:p>
            <w:pPr>
              <w:spacing w:after="0" w:line="210" w:lineRule="exact"/>
              <w:rPr>
                <w:sz w:val="20"/>
                <w:szCs w:val="20"/>
                <w:color w:val="auto"/>
              </w:rPr>
            </w:pPr>
            <w:r>
              <w:rPr>
                <w:rFonts w:ascii="Arial" w:cs="Arial" w:eastAsia="Arial" w:hAnsi="Arial"/>
                <w:sz w:val="19"/>
                <w:szCs w:val="19"/>
                <w:color w:val="auto"/>
              </w:rPr>
              <w:t>Transfer of our general partner interest in us</w:t>
            </w:r>
          </w:p>
        </w:tc>
        <w:tc>
          <w:tcPr>
            <w:tcW w:w="280" w:type="dxa"/>
            <w:vAlign w:val="bottom"/>
          </w:tcPr>
          <w:p>
            <w:pPr>
              <w:spacing w:after="0"/>
              <w:rPr>
                <w:sz w:val="18"/>
                <w:szCs w:val="18"/>
                <w:color w:val="auto"/>
              </w:rPr>
            </w:pPr>
          </w:p>
        </w:tc>
        <w:tc>
          <w:tcPr>
            <w:tcW w:w="5560" w:type="dxa"/>
            <w:vAlign w:val="bottom"/>
          </w:tcPr>
          <w:p>
            <w:pPr>
              <w:spacing w:after="0" w:line="210" w:lineRule="exact"/>
              <w:rPr>
                <w:sz w:val="20"/>
                <w:szCs w:val="20"/>
                <w:color w:val="auto"/>
              </w:rPr>
            </w:pPr>
            <w:r>
              <w:rPr>
                <w:rFonts w:ascii="Arial" w:cs="Arial" w:eastAsia="Arial" w:hAnsi="Arial"/>
                <w:sz w:val="19"/>
                <w:szCs w:val="19"/>
                <w:color w:val="auto"/>
                <w:w w:val="93"/>
              </w:rPr>
              <w:t>Our general partner may transfer all, but not less than all, of its general</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partner interest in us without a vote of our common unitholders 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8"/>
              </w:rPr>
              <w:t>other limited partners to an affiliate or another person in connection</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with its merger or consolidation with or into, or sale of all 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substantially all of its assets to, such person. The approval of a</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9"/>
              </w:rPr>
              <w:t>majority of the common units, excluding common units held by our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4"/>
              </w:rPr>
              <w:t>general partner and its affiliates, is required in other circumstances for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a transfer of the general partner interest to a third party prior to</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March 31, 2024. See “—Transfer of General Partner Interest”.</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Transfer of incentive distribution rights</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2"/>
              </w:rPr>
              <w:t>Except for transfers to an affiliate or another person as part of a merger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or consolidation with or into, or sale of all or substantially all of the</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3"/>
              </w:rPr>
              <w:t>assets to, such person, the approval of a majority of the common units,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5"/>
              </w:rPr>
              <w:t>excluding common units held by our general partner and its affiliates,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7"/>
              </w:rPr>
              <w:t>voting separately as a class, is required in most circumstances for a</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transfer of the incentive distribution rights to a third party prior to</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March 31, 2019. See “—Transfer of Incentive Distribution Rights”.</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Transfer of ownership interests in our general partner</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No approval required at any time. See “—Transfer of Ownership</w:t>
            </w:r>
          </w:p>
        </w:tc>
      </w:tr>
      <w:tr>
        <w:trPr>
          <w:trHeight w:val="247"/>
        </w:trPr>
        <w:tc>
          <w:tcPr>
            <w:tcW w:w="5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Interests in General Partner”.</w:t>
            </w:r>
          </w:p>
        </w:tc>
      </w:tr>
    </w:tbl>
    <w:p>
      <w:pPr>
        <w:spacing w:after="0" w:line="91"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Holders of the Series A Preference Units generally have no voting rights. However, the consent of the holders of at least two-thirds of the outstanding Series A Preference Units, voting as a single class, is required prior to any amendment to the Partnership Agreement that would have a material adverse effect on the existing terms of the Series A Preference Units. In addition, unless we receive the affirmative vote or consent of the holders of at least two-thirds of the outstanding Series A Preference Units, voting as a class together with holders of any other Parity Securities (if applicable), we may not (i) issue any Parity Securities if the cumulative distributions on Series A Preference Units are in arrears or (ii) create or issue any Senior Securities. Distributions payable on the Series A Preference Units will be considered to be in arrears for any quarterly period for which full cumulative distributions through the most recent distribution payment date have not been paid on all outstanding Series A Preference Units. In addition, in certain limited instances, the holders of Series A Preference Units will be entitled to elect one director to our board of directors.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Applicable Law; Forum, Venue and Jurisdiction</w:t>
      </w:r>
    </w:p>
    <w:p>
      <w:pPr>
        <w:spacing w:after="0" w:line="125"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Our partnership agreement is governed by Marshall Islands law. Our partnership agreement requires that any claims, suits, actions or proceedings:</w:t>
      </w:r>
    </w:p>
    <w:p>
      <w:pPr>
        <w:spacing w:after="0" w:line="25" w:lineRule="exact"/>
        <w:rPr>
          <w:sz w:val="20"/>
          <w:szCs w:val="20"/>
          <w:color w:val="auto"/>
        </w:rPr>
      </w:pPr>
    </w:p>
    <w:p>
      <w:pPr>
        <w:jc w:val="both"/>
        <w:ind w:left="540" w:right="300" w:hanging="168"/>
        <w:spacing w:after="0" w:line="267"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brought in a derivative manner on our behalf;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32" w:name="page33"/>
    <w:bookmarkEnd w:id="32"/>
    <w:p>
      <w:pPr>
        <w:ind w:left="540" w:right="140" w:hanging="168"/>
        <w:spacing w:after="0" w:line="28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asserting a claim of breach of a fiduciary duty owed by any director, officer or other employee of us or our general partner, or owed by our general partner, to us or the limited partners;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asserting a claim arising pursuant to any provision of the Marshall Islands Act;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asserting a claim governed by the internal affairs doctrine;</w:t>
      </w:r>
    </w:p>
    <w:p>
      <w:pPr>
        <w:spacing w:after="0" w:line="11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Limited Liability</w:t>
      </w:r>
    </w:p>
    <w:p>
      <w:pPr>
        <w:spacing w:after="0" w:line="125" w:lineRule="exact"/>
        <w:rPr>
          <w:sz w:val="20"/>
          <w:szCs w:val="20"/>
          <w:color w:val="auto"/>
        </w:rPr>
      </w:pPr>
    </w:p>
    <w:p>
      <w:pPr>
        <w:jc w:val="both"/>
        <w:ind w:right="120" w:firstLine="357"/>
        <w:spacing w:after="0" w:line="281"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30" w:lineRule="exact"/>
        <w:rPr>
          <w:sz w:val="20"/>
          <w:szCs w:val="20"/>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to remove or replace our general partner;</w:t>
      </w:r>
    </w:p>
    <w:p>
      <w:pPr>
        <w:spacing w:after="0" w:line="105" w:lineRule="exact"/>
        <w:rPr>
          <w:rFonts w:ascii="Arial" w:cs="Arial" w:eastAsia="Arial" w:hAnsi="Arial"/>
          <w:sz w:val="19"/>
          <w:szCs w:val="19"/>
          <w:color w:val="auto"/>
        </w:rPr>
      </w:pPr>
    </w:p>
    <w:p>
      <w:pPr>
        <w:ind w:left="540" w:right="20" w:hanging="168"/>
        <w:spacing w:after="0" w:line="283" w:lineRule="auto"/>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to elect three (or, following the general partner’s exercise of its right to transfer the power to elect a majority of our directors to the common unitholders, four) of our seven directors;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to approve some amendments to our partnership agreement;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to take other action under our partnership agreement;</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76"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33" w:name="page34"/>
    <w:bookmarkEnd w:id="33"/>
    <w:p>
      <w:pPr>
        <w:ind w:right="220"/>
        <w:spacing w:after="0" w:line="283" w:lineRule="auto"/>
        <w:rPr>
          <w:sz w:val="20"/>
          <w:szCs w:val="20"/>
          <w:color w:val="auto"/>
        </w:rPr>
      </w:pPr>
      <w:r>
        <w:rPr>
          <w:rFonts w:ascii="Arial" w:cs="Arial" w:eastAsia="Arial" w:hAnsi="Arial"/>
          <w:sz w:val="19"/>
          <w:szCs w:val="19"/>
          <w:color w:val="auto"/>
        </w:rPr>
        <w:t>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52"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Issuance of Additional Interests</w:t>
      </w:r>
    </w:p>
    <w:p>
      <w:pPr>
        <w:spacing w:after="0" w:line="125"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64"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Series A Preference Units in our net assets and such securities may have priority over common units or Series A Preference Units for receipt of distributions.</w:t>
      </w:r>
    </w:p>
    <w:p>
      <w:pPr>
        <w:spacing w:after="0" w:line="76" w:lineRule="exact"/>
        <w:rPr>
          <w:sz w:val="20"/>
          <w:szCs w:val="20"/>
          <w:color w:val="auto"/>
        </w:rPr>
      </w:pPr>
    </w:p>
    <w:p>
      <w:pPr>
        <w:jc w:val="both"/>
        <w:ind w:right="160" w:firstLine="357"/>
        <w:spacing w:after="0" w:line="267" w:lineRule="auto"/>
        <w:rPr>
          <w:sz w:val="20"/>
          <w:szCs w:val="20"/>
          <w:color w:val="auto"/>
        </w:rPr>
      </w:pPr>
      <w:r>
        <w:rPr>
          <w:rFonts w:ascii="Arial" w:cs="Arial" w:eastAsia="Arial" w:hAnsi="Arial"/>
          <w:sz w:val="19"/>
          <w:szCs w:val="19"/>
          <w:color w:val="auto"/>
        </w:rPr>
        <w:t>In accordance with Marshall Islands law and the provisions of our partnership agreement, we may also issue additional partnership interests that, as determined by our board of directors, have special voting or other rights to which the common units or the Series A Preference Units are not entitled.</w:t>
      </w:r>
    </w:p>
    <w:p>
      <w:pPr>
        <w:spacing w:after="0" w:line="68" w:lineRule="exact"/>
        <w:rPr>
          <w:sz w:val="20"/>
          <w:szCs w:val="20"/>
          <w:color w:val="auto"/>
        </w:rPr>
      </w:pPr>
    </w:p>
    <w:p>
      <w:pPr>
        <w:ind w:right="60" w:firstLine="357"/>
        <w:spacing w:after="0" w:line="289" w:lineRule="auto"/>
        <w:rPr>
          <w:sz w:val="20"/>
          <w:szCs w:val="20"/>
          <w:color w:val="auto"/>
        </w:rPr>
      </w:pPr>
      <w:r>
        <w:rPr>
          <w:rFonts w:ascii="Arial" w:cs="Arial" w:eastAsia="Arial" w:hAnsi="Arial"/>
          <w:sz w:val="17"/>
          <w:szCs w:val="17"/>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Our general partner and its affiliates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that existed immediately prior to each issuance.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34" w:name="page35"/>
    <w:bookmarkEnd w:id="34"/>
    <w:p>
      <w:pPr>
        <w:spacing w:after="0"/>
        <w:rPr>
          <w:sz w:val="20"/>
          <w:szCs w:val="20"/>
          <w:color w:val="auto"/>
        </w:rPr>
      </w:pPr>
      <w:r>
        <w:rPr>
          <w:rFonts w:ascii="Arial" w:cs="Arial" w:eastAsia="Arial" w:hAnsi="Arial"/>
          <w:sz w:val="19"/>
          <w:szCs w:val="19"/>
          <w:color w:val="auto"/>
        </w:rPr>
        <w:t>Other holders of common units will not have similar pre-emptive rights to acquire additional common units or other partnership interests.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Status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Amendment of the Partnership Agreement</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must approve certain amendments as described under “—Voting Rights.” Except as we describe below, an amendment must be approved by a Unit Majority.</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Prohibited Amendments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 amendment may be made that would:</w:t>
      </w:r>
    </w:p>
    <w:p>
      <w:pPr>
        <w:spacing w:after="0" w:line="106" w:lineRule="exact"/>
        <w:rPr>
          <w:sz w:val="20"/>
          <w:szCs w:val="20"/>
          <w:color w:val="auto"/>
        </w:rPr>
      </w:pPr>
    </w:p>
    <w:p>
      <w:pPr>
        <w:ind w:left="780" w:right="200" w:hanging="323"/>
        <w:spacing w:after="0" w:line="283" w:lineRule="auto"/>
        <w:tabs>
          <w:tab w:leader="none" w:pos="7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increase the obligations of any limited partner without its consent, unless approved by at least a majority of the type or class of limited partner interests so affected;</w:t>
      </w:r>
    </w:p>
    <w:p>
      <w:pPr>
        <w:spacing w:after="0" w:line="24" w:lineRule="exact"/>
        <w:rPr>
          <w:rFonts w:ascii="Arial" w:cs="Arial" w:eastAsia="Arial" w:hAnsi="Arial"/>
          <w:sz w:val="19"/>
          <w:szCs w:val="19"/>
          <w:color w:val="auto"/>
        </w:rPr>
      </w:pPr>
    </w:p>
    <w:p>
      <w:pPr>
        <w:ind w:left="780" w:hanging="323"/>
        <w:spacing w:after="0" w:line="267" w:lineRule="auto"/>
        <w:tabs>
          <w:tab w:leader="none" w:pos="7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54" w:lineRule="exact"/>
        <w:rPr>
          <w:rFonts w:ascii="Arial" w:cs="Arial" w:eastAsia="Arial" w:hAnsi="Arial"/>
          <w:sz w:val="19"/>
          <w:szCs w:val="19"/>
          <w:color w:val="auto"/>
        </w:rPr>
      </w:pPr>
    </w:p>
    <w:p>
      <w:pPr>
        <w:ind w:left="780" w:hanging="323"/>
        <w:spacing w:after="0"/>
        <w:tabs>
          <w:tab w:leader="none" w:pos="7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change the term of our partnership;</w:t>
      </w:r>
    </w:p>
    <w:p>
      <w:pPr>
        <w:spacing w:after="0" w:line="105" w:lineRule="exact"/>
        <w:rPr>
          <w:rFonts w:ascii="Arial" w:cs="Arial" w:eastAsia="Arial" w:hAnsi="Arial"/>
          <w:sz w:val="19"/>
          <w:szCs w:val="19"/>
          <w:color w:val="auto"/>
        </w:rPr>
      </w:pPr>
    </w:p>
    <w:p>
      <w:pPr>
        <w:ind w:left="780" w:right="660" w:hanging="323"/>
        <w:spacing w:after="0" w:line="283" w:lineRule="auto"/>
        <w:tabs>
          <w:tab w:leader="none" w:pos="7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provide that our partnership is not dissolved upon an election to dissolve our partnership by our general partner and our board of directors that is approved by the holders of a Unit Majority; or</w:t>
      </w:r>
    </w:p>
    <w:p>
      <w:pPr>
        <w:spacing w:after="0" w:line="38" w:lineRule="exact"/>
        <w:rPr>
          <w:rFonts w:ascii="Arial" w:cs="Arial" w:eastAsia="Arial" w:hAnsi="Arial"/>
          <w:sz w:val="19"/>
          <w:szCs w:val="19"/>
          <w:color w:val="auto"/>
        </w:rPr>
      </w:pPr>
    </w:p>
    <w:p>
      <w:pPr>
        <w:ind w:left="780" w:right="60" w:hanging="323"/>
        <w:spacing w:after="0" w:line="283" w:lineRule="auto"/>
        <w:tabs>
          <w:tab w:leader="none" w:pos="7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give any person the right to dissolve our partnership other than the right of our general partner and our board of directors to dissolve our partnership with the approval of the holders of a Unit Majority.</w:t>
      </w:r>
    </w:p>
    <w:p>
      <w:pPr>
        <w:spacing w:after="0" w:line="65" w:lineRule="exact"/>
        <w:rPr>
          <w:sz w:val="20"/>
          <w:szCs w:val="20"/>
          <w:color w:val="auto"/>
        </w:rPr>
      </w:pPr>
    </w:p>
    <w:p>
      <w:pPr>
        <w:jc w:val="both"/>
        <w:ind w:right="160" w:firstLine="357"/>
        <w:spacing w:after="0" w:line="267" w:lineRule="auto"/>
        <w:rPr>
          <w:sz w:val="20"/>
          <w:szCs w:val="20"/>
          <w:color w:val="auto"/>
        </w:rPr>
      </w:pPr>
      <w:r>
        <w:rPr>
          <w:rFonts w:ascii="Arial" w:cs="Arial" w:eastAsia="Arial" w:hAnsi="Arial"/>
          <w:sz w:val="19"/>
          <w:szCs w:val="19"/>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 Unitholder Approval</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board of directors may generally make amendments to our partnership agreement without the approval of any limited partner to reflect:</w:t>
      </w:r>
    </w:p>
    <w:p>
      <w:pPr>
        <w:spacing w:after="0" w:line="129" w:lineRule="exact"/>
        <w:rPr>
          <w:sz w:val="20"/>
          <w:szCs w:val="20"/>
          <w:color w:val="auto"/>
        </w:rPr>
      </w:pPr>
    </w:p>
    <w:p>
      <w:pPr>
        <w:ind w:left="780" w:hanging="323"/>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change in our name, the location of our principal place of business, our registered agent or our registered office;</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admission, substitution, withdrawal or removal of partners in accordance with our partnership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5" w:name="page36"/>
    <w:bookmarkEnd w:id="35"/>
    <w:p>
      <w:pPr>
        <w:ind w:left="780" w:right="520" w:hanging="323"/>
        <w:spacing w:after="0" w:line="312"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 w:lineRule="exact"/>
        <w:rPr>
          <w:rFonts w:ascii="Arial" w:cs="Arial" w:eastAsia="Arial" w:hAnsi="Arial"/>
          <w:sz w:val="18"/>
          <w:szCs w:val="18"/>
          <w:color w:val="auto"/>
        </w:rPr>
      </w:pPr>
    </w:p>
    <w:p>
      <w:pPr>
        <w:ind w:left="780" w:right="180" w:hanging="323"/>
        <w:spacing w:after="0" w:line="281"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43" w:lineRule="exact"/>
        <w:rPr>
          <w:rFonts w:ascii="Arial" w:cs="Arial" w:eastAsia="Arial" w:hAnsi="Arial"/>
          <w:sz w:val="18"/>
          <w:szCs w:val="18"/>
          <w:color w:val="auto"/>
        </w:rPr>
      </w:pPr>
    </w:p>
    <w:p>
      <w:pPr>
        <w:jc w:val="both"/>
        <w:ind w:left="780" w:right="580" w:hanging="323"/>
        <w:spacing w:after="0" w:line="267" w:lineRule="auto"/>
        <w:tabs>
          <w:tab w:leader="none" w:pos="7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54" w:lineRule="exact"/>
        <w:rPr>
          <w:rFonts w:ascii="Arial" w:cs="Arial" w:eastAsia="Arial" w:hAnsi="Arial"/>
          <w:sz w:val="19"/>
          <w:szCs w:val="19"/>
          <w:color w:val="auto"/>
        </w:rPr>
      </w:pPr>
    </w:p>
    <w:p>
      <w:pPr>
        <w:ind w:left="900" w:right="40" w:hanging="163"/>
        <w:spacing w:after="0" w:line="283" w:lineRule="auto"/>
        <w:tabs>
          <w:tab w:leader="none" w:pos="9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adjustments of the minimum quarterly distribution, first target distribution, second target distribution and third target distribution in connection with the reset of our incentive distribution rights;</w:t>
      </w:r>
    </w:p>
    <w:p>
      <w:pPr>
        <w:spacing w:after="0" w:line="38" w:lineRule="exact"/>
        <w:rPr>
          <w:rFonts w:ascii="Arial" w:cs="Arial" w:eastAsia="Arial" w:hAnsi="Arial"/>
          <w:sz w:val="19"/>
          <w:szCs w:val="19"/>
          <w:color w:val="auto"/>
        </w:rPr>
      </w:pPr>
    </w:p>
    <w:p>
      <w:pPr>
        <w:ind w:left="900" w:hanging="163"/>
        <w:spacing w:after="0"/>
        <w:tabs>
          <w:tab w:leader="none" w:pos="9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implementation of the provisions relating to GasLog’s right to reset the incentive distribution rights in exchange for common units;</w:t>
      </w:r>
    </w:p>
    <w:p>
      <w:pPr>
        <w:spacing w:after="0" w:line="128" w:lineRule="exact"/>
        <w:rPr>
          <w:rFonts w:ascii="Arial" w:cs="Arial" w:eastAsia="Arial" w:hAnsi="Arial"/>
          <w:sz w:val="17"/>
          <w:szCs w:val="17"/>
          <w:color w:val="auto"/>
        </w:rPr>
      </w:pPr>
    </w:p>
    <w:p>
      <w:pPr>
        <w:jc w:val="both"/>
        <w:ind w:left="900" w:right="20" w:hanging="163"/>
        <w:spacing w:after="0" w:line="267" w:lineRule="auto"/>
        <w:tabs>
          <w:tab w:leader="none" w:pos="9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54" w:lineRule="exact"/>
        <w:rPr>
          <w:rFonts w:ascii="Arial" w:cs="Arial" w:eastAsia="Arial" w:hAnsi="Arial"/>
          <w:sz w:val="19"/>
          <w:szCs w:val="19"/>
          <w:color w:val="auto"/>
        </w:rPr>
      </w:pPr>
    </w:p>
    <w:p>
      <w:pPr>
        <w:ind w:left="900" w:hanging="163"/>
        <w:spacing w:after="0"/>
        <w:tabs>
          <w:tab w:leader="none" w:pos="9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any amendment expressly permitted in the partnership agreement to be made by our board of directors acting alone;</w:t>
      </w:r>
    </w:p>
    <w:p>
      <w:pPr>
        <w:spacing w:after="0" w:line="106" w:lineRule="exact"/>
        <w:rPr>
          <w:sz w:val="20"/>
          <w:szCs w:val="20"/>
          <w:color w:val="auto"/>
        </w:rPr>
      </w:pPr>
    </w:p>
    <w:p>
      <w:pPr>
        <w:ind w:left="900" w:right="40" w:hanging="321"/>
        <w:spacing w:after="0" w:line="283" w:lineRule="auto"/>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 amendment effected, necessitated or contemplated by a merger agreement that has been approved under the terms of the partnership agreement;</w:t>
      </w:r>
    </w:p>
    <w:p>
      <w:pPr>
        <w:spacing w:after="0" w:line="24" w:lineRule="exact"/>
        <w:rPr>
          <w:rFonts w:ascii="Arial" w:cs="Arial" w:eastAsia="Arial" w:hAnsi="Arial"/>
          <w:sz w:val="19"/>
          <w:szCs w:val="19"/>
          <w:color w:val="auto"/>
        </w:rPr>
      </w:pPr>
    </w:p>
    <w:p>
      <w:pPr>
        <w:ind w:left="900" w:right="180" w:hanging="321"/>
        <w:spacing w:after="0" w:line="283" w:lineRule="auto"/>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38" w:lineRule="exact"/>
        <w:rPr>
          <w:rFonts w:ascii="Arial" w:cs="Arial" w:eastAsia="Arial" w:hAnsi="Arial"/>
          <w:sz w:val="19"/>
          <w:szCs w:val="19"/>
          <w:color w:val="auto"/>
        </w:rPr>
      </w:pPr>
    </w:p>
    <w:p>
      <w:pPr>
        <w:ind w:left="900" w:hanging="321"/>
        <w:spacing w:after="0"/>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change in our fiscal year or taxable year and related changes;</w:t>
      </w:r>
    </w:p>
    <w:p>
      <w:pPr>
        <w:spacing w:after="0" w:line="105" w:lineRule="exact"/>
        <w:rPr>
          <w:rFonts w:ascii="Arial" w:cs="Arial" w:eastAsia="Arial" w:hAnsi="Arial"/>
          <w:sz w:val="19"/>
          <w:szCs w:val="19"/>
          <w:color w:val="auto"/>
        </w:rPr>
      </w:pPr>
    </w:p>
    <w:p>
      <w:pPr>
        <w:ind w:left="900" w:hanging="321"/>
        <w:spacing w:after="0"/>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certain mergers or conveyances as set forth in our partnership agreement;</w:t>
      </w:r>
    </w:p>
    <w:p>
      <w:pPr>
        <w:spacing w:after="0" w:line="105" w:lineRule="exact"/>
        <w:rPr>
          <w:rFonts w:ascii="Arial" w:cs="Arial" w:eastAsia="Arial" w:hAnsi="Arial"/>
          <w:sz w:val="19"/>
          <w:szCs w:val="19"/>
          <w:color w:val="auto"/>
        </w:rPr>
      </w:pPr>
    </w:p>
    <w:p>
      <w:pPr>
        <w:ind w:left="900" w:hanging="418"/>
        <w:spacing w:after="0"/>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 amendment to cure any ambiguity, defect or inconsistency; or</w:t>
      </w:r>
    </w:p>
    <w:p>
      <w:pPr>
        <w:spacing w:after="0" w:line="105" w:lineRule="exact"/>
        <w:rPr>
          <w:rFonts w:ascii="Arial" w:cs="Arial" w:eastAsia="Arial" w:hAnsi="Arial"/>
          <w:sz w:val="19"/>
          <w:szCs w:val="19"/>
          <w:color w:val="auto"/>
        </w:rPr>
      </w:pPr>
    </w:p>
    <w:p>
      <w:pPr>
        <w:ind w:left="900" w:hanging="411"/>
        <w:spacing w:after="0"/>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any other amendments substantially similar to any of the matters described in (1) through (10) above.</w:t>
      </w:r>
    </w:p>
    <w:p>
      <w:pPr>
        <w:spacing w:after="0" w:line="133"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In addition, our board of directors may make amendments to the partnership agreement without the approval of any limited partner or our general partner (subject to the limited approval rights of the holders of the Series A Preference Units and the holders of other Parity Securities (if applicable)) if our board of directors determines that those amendments:</w:t>
      </w:r>
    </w:p>
    <w:p>
      <w:pPr>
        <w:spacing w:after="0" w:line="41" w:lineRule="exact"/>
        <w:rPr>
          <w:sz w:val="20"/>
          <w:szCs w:val="20"/>
          <w:color w:val="auto"/>
        </w:rPr>
      </w:pPr>
    </w:p>
    <w:p>
      <w:pPr>
        <w:ind w:left="780" w:hanging="323"/>
        <w:spacing w:after="0" w:line="283" w:lineRule="auto"/>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do not adversely affect the rights of our limited partners (or any particular class of limited partners) or our general partner in any material respect;</w:t>
      </w:r>
    </w:p>
    <w:p>
      <w:pPr>
        <w:spacing w:after="0" w:line="38" w:lineRule="exact"/>
        <w:rPr>
          <w:rFonts w:ascii="Arial" w:cs="Arial" w:eastAsia="Arial" w:hAnsi="Arial"/>
          <w:sz w:val="19"/>
          <w:szCs w:val="19"/>
          <w:color w:val="auto"/>
        </w:rPr>
      </w:pPr>
    </w:p>
    <w:p>
      <w:pPr>
        <w:ind w:left="780" w:right="340" w:hanging="323"/>
        <w:spacing w:after="0" w:line="283" w:lineRule="auto"/>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are necessary or appropriate to satisfy any requirements, conditions or guidelines contained in any opinion, directive, order, ruling or regulation of any Marshall Islands authority or statute;</w:t>
      </w:r>
    </w:p>
    <w:p>
      <w:pPr>
        <w:spacing w:after="0" w:line="38" w:lineRule="exact"/>
        <w:rPr>
          <w:rFonts w:ascii="Arial" w:cs="Arial" w:eastAsia="Arial" w:hAnsi="Arial"/>
          <w:sz w:val="19"/>
          <w:szCs w:val="19"/>
          <w:color w:val="auto"/>
        </w:rPr>
      </w:pPr>
    </w:p>
    <w:p>
      <w:pPr>
        <w:ind w:left="780" w:right="520" w:hanging="323"/>
        <w:spacing w:after="0" w:line="283" w:lineRule="auto"/>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38" w:lineRule="exact"/>
        <w:rPr>
          <w:rFonts w:ascii="Arial" w:cs="Arial" w:eastAsia="Arial" w:hAnsi="Arial"/>
          <w:sz w:val="19"/>
          <w:szCs w:val="19"/>
          <w:color w:val="auto"/>
        </w:rPr>
      </w:pPr>
    </w:p>
    <w:p>
      <w:pPr>
        <w:ind w:left="780" w:right="20" w:hanging="323"/>
        <w:spacing w:after="0" w:line="283" w:lineRule="auto"/>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are necessary or appropriate for any action taken by our board of directors relating to splits or combinations of units under the provisions of the partnership agreement; or</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36" w:name="page37"/>
    <w:bookmarkEnd w:id="36"/>
    <w:p>
      <w:pPr>
        <w:ind w:left="780" w:right="100" w:hanging="323"/>
        <w:spacing w:after="0" w:line="283" w:lineRule="auto"/>
        <w:tabs>
          <w:tab w:leader="none" w:pos="7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are required to effect the intent expressed in this prospectus or the intent of the provisions of the partnership agreement or are otherwise contemplated by the partnership agreement.</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Opinion of Counsel and Limited Partner Approval</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77"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In addition to the above restrictions, any amendment that would have a material adverse effect on the rights or privileges of any type or class or series of outstanding of limited partner interests (other than Series A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will require the approval of at least two-thirds of the outstanding Series A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Merger, Sale, Conversion or Other Disposition of Assets</w:t>
      </w:r>
    </w:p>
    <w:p>
      <w:pPr>
        <w:spacing w:after="0" w:line="125"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A merger or consolidation of us requires the approval of our board of directors and the prior consent of our general partner and a Unity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72" w:lineRule="exact"/>
        <w:rPr>
          <w:sz w:val="20"/>
          <w:szCs w:val="20"/>
          <w:color w:val="auto"/>
        </w:rPr>
      </w:pPr>
    </w:p>
    <w:p>
      <w:pPr>
        <w:ind w:right="100" w:firstLine="357"/>
        <w:spacing w:after="0" w:line="277"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and Dissolution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continue as a limited partnership until terminated or converted under our partnership agreement. We will dissolve upon:</w:t>
      </w:r>
    </w:p>
    <w:p>
      <w:pPr>
        <w:spacing w:after="0" w:line="106" w:lineRule="exact"/>
        <w:rPr>
          <w:sz w:val="20"/>
          <w:szCs w:val="20"/>
          <w:color w:val="auto"/>
        </w:rPr>
      </w:pPr>
    </w:p>
    <w:p>
      <w:pPr>
        <w:ind w:left="780" w:right="520" w:hanging="323"/>
        <w:spacing w:after="0" w:line="283" w:lineRule="auto"/>
        <w:tabs>
          <w:tab w:leader="none" w:pos="7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election of our general partner and our board of directors to dissolve us, if approved by the holders of units representing a Unit Majority;</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37" w:name="page38"/>
    <w:bookmarkEnd w:id="37"/>
    <w:p>
      <w:pPr>
        <w:ind w:left="780" w:hanging="323"/>
        <w:spacing w:after="0"/>
        <w:tabs>
          <w:tab w:leader="none" w:pos="7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at any time there are no limited partners, unless we continue without dissolution in accordance with the Marshall Islands Act;</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entry of a decree of judicial dissolution of us; or</w:t>
      </w:r>
    </w:p>
    <w:p>
      <w:pPr>
        <w:spacing w:after="0" w:line="105" w:lineRule="exact"/>
        <w:rPr>
          <w:rFonts w:ascii="Arial" w:cs="Arial" w:eastAsia="Arial" w:hAnsi="Arial"/>
          <w:sz w:val="19"/>
          <w:szCs w:val="19"/>
          <w:color w:val="auto"/>
        </w:rPr>
      </w:pPr>
    </w:p>
    <w:p>
      <w:pPr>
        <w:jc w:val="both"/>
        <w:ind w:left="780" w:right="420" w:hanging="323"/>
        <w:spacing w:after="0" w:line="267" w:lineRule="auto"/>
        <w:tabs>
          <w:tab w:leader="none" w:pos="7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68"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Liquidation and Distribution of Proceeds</w:t>
      </w:r>
    </w:p>
    <w:p>
      <w:pPr>
        <w:spacing w:after="0" w:line="125"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In the event of any liquidation, dissolution or winding up of our affairs, whether voluntary or involuntary, holders of the Series A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A consolidation or merger of us with or into any other entity, individually or in a series of transactions, will not be deemed to be a liquidation, dissolution or winding up of our affairs.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Withdrawal or Removal of our General Partner</w:t>
      </w:r>
    </w:p>
    <w:p>
      <w:pPr>
        <w:spacing w:after="0" w:line="125"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and “— Transfer of Incentive Distribution Rights”.</w:t>
      </w:r>
    </w:p>
    <w:p>
      <w:pPr>
        <w:spacing w:after="0" w:line="77"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voting as separate classes,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33" w:lineRule="exact"/>
        <w:rPr>
          <w:sz w:val="20"/>
          <w:szCs w:val="20"/>
          <w:color w:val="auto"/>
        </w:rPr>
      </w:pPr>
    </w:p>
    <w:p>
      <w:pPr>
        <w:ind w:right="100" w:firstLine="357"/>
        <w:spacing w:after="0" w:line="315" w:lineRule="auto"/>
        <w:rPr>
          <w:sz w:val="20"/>
          <w:szCs w:val="20"/>
          <w:color w:val="auto"/>
        </w:rPr>
      </w:pPr>
      <w:r>
        <w:rPr>
          <w:rFonts w:ascii="Arial" w:cs="Arial" w:eastAsia="Arial" w:hAnsi="Arial"/>
          <w:sz w:val="19"/>
          <w:szCs w:val="19"/>
          <w:color w:val="auto"/>
        </w:rPr>
        <w:t xml:space="preserve">Our general partner may not be removed unless that removal is approved by the vote of the holders of not less than 66 </w:t>
      </w:r>
      <w:r>
        <w:rPr>
          <w:rFonts w:ascii="Arial" w:cs="Arial" w:eastAsia="Arial" w:hAnsi="Arial"/>
          <w:sz w:val="10"/>
          <w:szCs w:val="10"/>
          <w:color w:val="auto"/>
        </w:rPr>
        <w:t>2</w:t>
      </w:r>
      <w:r>
        <w:rPr>
          <w:rFonts w:ascii="Arial" w:cs="Arial" w:eastAsia="Arial" w:hAnsi="Arial"/>
          <w:sz w:val="19"/>
          <w:szCs w:val="19"/>
          <w:color w:val="auto"/>
        </w:rPr>
        <w:t>/</w:t>
      </w:r>
      <w:r>
        <w:rPr>
          <w:rFonts w:ascii="Arial" w:cs="Arial" w:eastAsia="Arial" w:hAnsi="Arial"/>
          <w:sz w:val="19"/>
          <w:szCs w:val="19"/>
          <w:color w:val="auto"/>
          <w:vertAlign w:val="subscript"/>
        </w:rPr>
        <w:t>3</w:t>
      </w:r>
      <w:r>
        <w:rPr>
          <w:rFonts w:ascii="Arial" w:cs="Arial" w:eastAsia="Arial" w:hAnsi="Arial"/>
          <w:sz w:val="19"/>
          <w:szCs w:val="19"/>
          <w:color w:val="auto"/>
        </w:rPr>
        <w:t>% of the outstanding common units, including units held by our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38" w:name="page39"/>
    <w:bookmarkEnd w:id="38"/>
    <w:p>
      <w:pPr>
        <w:jc w:val="both"/>
        <w:ind w:right="60"/>
        <w:spacing w:after="0" w:line="302" w:lineRule="auto"/>
        <w:rPr>
          <w:sz w:val="20"/>
          <w:szCs w:val="20"/>
          <w:color w:val="auto"/>
        </w:rPr>
      </w:pPr>
      <w:r>
        <w:rPr>
          <w:rFonts w:ascii="Arial" w:cs="Arial" w:eastAsia="Arial" w:hAnsi="Arial"/>
          <w:sz w:val="17"/>
          <w:szCs w:val="17"/>
          <w:color w:val="auto"/>
        </w:rPr>
        <w:t xml:space="preserve">general partner and its affiliates, voting together as a single class, and we receive an opinion of counsel regarding limited liability. The ownership of more than 33 </w:t>
      </w:r>
      <w:r>
        <w:rPr>
          <w:rFonts w:ascii="Arial" w:cs="Arial" w:eastAsia="Arial" w:hAnsi="Arial"/>
          <w:sz w:val="9"/>
          <w:szCs w:val="9"/>
          <w:color w:val="auto"/>
        </w:rPr>
        <w:t>1</w:t>
      </w:r>
      <w:r>
        <w:rPr>
          <w:rFonts w:ascii="Arial" w:cs="Arial" w:eastAsia="Arial" w:hAnsi="Arial"/>
          <w:sz w:val="17"/>
          <w:szCs w:val="17"/>
          <w:color w:val="auto"/>
        </w:rPr>
        <w:t>/</w:t>
      </w:r>
      <w:r>
        <w:rPr>
          <w:rFonts w:ascii="Arial" w:cs="Arial" w:eastAsia="Arial" w:hAnsi="Arial"/>
          <w:sz w:val="17"/>
          <w:szCs w:val="17"/>
          <w:color w:val="auto"/>
          <w:vertAlign w:val="subscript"/>
        </w:rPr>
        <w:t>3</w:t>
      </w:r>
      <w:r>
        <w:rPr>
          <w:rFonts w:ascii="Arial" w:cs="Arial" w:eastAsia="Arial" w:hAnsi="Arial"/>
          <w:sz w:val="17"/>
          <w:szCs w:val="17"/>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43"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38" w:lineRule="exact"/>
        <w:rPr>
          <w:sz w:val="20"/>
          <w:szCs w:val="20"/>
          <w:color w:val="auto"/>
        </w:rPr>
      </w:pPr>
    </w:p>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existing arrearages in payment of the minimum quarterly distribution on the common units will be extinguished; and</w:t>
      </w:r>
    </w:p>
    <w:p>
      <w:pPr>
        <w:spacing w:after="0" w:line="92" w:lineRule="exact"/>
        <w:rPr>
          <w:rFonts w:ascii="Arial" w:cs="Arial" w:eastAsia="Arial" w:hAnsi="Arial"/>
          <w:sz w:val="19"/>
          <w:szCs w:val="19"/>
          <w:color w:val="auto"/>
        </w:rPr>
      </w:pPr>
    </w:p>
    <w:p>
      <w:pPr>
        <w:ind w:left="540" w:right="120" w:hanging="168"/>
        <w:spacing w:after="0" w:line="267"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81"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57"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72"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General Partner Interest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Except for the transfer by our general partner of all, but not less than all, of its general partner interest in us to:</w:t>
      </w:r>
    </w:p>
    <w:p>
      <w:pPr>
        <w:spacing w:after="0" w:line="106" w:lineRule="exact"/>
        <w:rPr>
          <w:sz w:val="20"/>
          <w:szCs w:val="20"/>
          <w:color w:val="auto"/>
        </w:rPr>
      </w:pPr>
    </w:p>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 affiliate of our general partner (other than an individual); or</w:t>
      </w:r>
    </w:p>
    <w:p>
      <w:pPr>
        <w:spacing w:after="0" w:line="105"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another entity as part of the merger or consolidation of our general partner with or into another entity or the transfer by our general partner of all or substantially all of its assets to another entity,</w:t>
      </w:r>
    </w:p>
    <w:p>
      <w:pPr>
        <w:spacing w:after="0" w:line="52"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39" w:name="page40"/>
    <w:bookmarkEnd w:id="39"/>
    <w:p>
      <w:pPr>
        <w:ind w:left="360"/>
        <w:spacing w:after="0"/>
        <w:rPr>
          <w:sz w:val="20"/>
          <w:szCs w:val="20"/>
          <w:color w:val="auto"/>
        </w:rPr>
      </w:pPr>
      <w:r>
        <w:rPr>
          <w:rFonts w:ascii="Arial" w:cs="Arial" w:eastAsia="Arial" w:hAnsi="Arial"/>
          <w:sz w:val="19"/>
          <w:szCs w:val="19"/>
          <w:color w:val="auto"/>
        </w:rPr>
        <w:t>Our general partner and its affiliates may at any time transfer units to one or more persons, without unitholder approval.</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Ownership Interests in General Partner</w:t>
      </w:r>
    </w:p>
    <w:p>
      <w:pPr>
        <w:spacing w:after="0" w:line="12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At any time, the members of our general partner may sell or transfer all or part of their respective membership interests in our general partner to an affiliate or a third party without the approval of our unitholders.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Incentive Distribution Rights</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Common Units and Series A Preference Units</w:t>
      </w:r>
    </w:p>
    <w:p>
      <w:pPr>
        <w:spacing w:after="0" w:line="125"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By transfer of common units or Series A Preference Units in accordance with the Partnership Agreement, each transferee of common units or Series A Preference Units automatically is admitted as a limited partner with respect to the common units or Series A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59" w:lineRule="exact"/>
        <w:rPr>
          <w:sz w:val="20"/>
          <w:szCs w:val="20"/>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represent that the transferee has the capacity, power and authority to become bound by the Partnership Agreement;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agree to be bound by the terms and conditions of, and to have executed, the Partnership Agreement;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grants power of attorney to officers of our general partner and any liquidator of us as specified in the Partnership Agreement;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give the consents and approvals contained in the Partnership Agreement.</w:t>
      </w:r>
    </w:p>
    <w:p>
      <w:pPr>
        <w:spacing w:after="0" w:line="119" w:lineRule="exact"/>
        <w:rPr>
          <w:sz w:val="20"/>
          <w:szCs w:val="20"/>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We are entitled to treat the nominee holder of a common unit or a Series A Preference Unit as the absolute owner. In that case, the beneficial holder’s rights are limited solely to those that it has against the nominee holder as a result of any agreement between the beneficial owner and the nominee holder.</w:t>
      </w:r>
    </w:p>
    <w:p>
      <w:pPr>
        <w:spacing w:after="0" w:line="68" w:lineRule="exact"/>
        <w:rPr>
          <w:sz w:val="20"/>
          <w:szCs w:val="20"/>
          <w:color w:val="auto"/>
        </w:rPr>
      </w:pPr>
    </w:p>
    <w:p>
      <w:pPr>
        <w:ind w:right="280" w:firstLine="357"/>
        <w:spacing w:after="0" w:line="267" w:lineRule="auto"/>
        <w:rPr>
          <w:sz w:val="20"/>
          <w:szCs w:val="20"/>
          <w:color w:val="auto"/>
        </w:rPr>
      </w:pPr>
      <w:r>
        <w:rPr>
          <w:rFonts w:ascii="Arial" w:cs="Arial" w:eastAsia="Arial" w:hAnsi="Arial"/>
          <w:sz w:val="19"/>
          <w:szCs w:val="19"/>
          <w:color w:val="auto"/>
        </w:rPr>
        <w:t>Common units and Series A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68" w:lineRule="exact"/>
        <w:rPr>
          <w:sz w:val="20"/>
          <w:szCs w:val="20"/>
          <w:color w:val="auto"/>
        </w:rPr>
      </w:pPr>
    </w:p>
    <w:p>
      <w:pPr>
        <w:ind w:firstLine="357"/>
        <w:spacing w:after="0" w:line="312" w:lineRule="auto"/>
        <w:rPr>
          <w:sz w:val="20"/>
          <w:szCs w:val="20"/>
          <w:color w:val="auto"/>
        </w:rPr>
      </w:pPr>
      <w:r>
        <w:rPr>
          <w:rFonts w:ascii="Arial" w:cs="Arial" w:eastAsia="Arial" w:hAnsi="Arial"/>
          <w:sz w:val="18"/>
          <w:szCs w:val="18"/>
          <w:color w:val="auto"/>
        </w:rPr>
        <w:t>Until a common unit or a Series A Preference Unit has been transferred on our books, we and our transfer agent may treat the record holder of the unit as the absolute owner of such unit for all purposes, except as otherwise required by law or stock exchange regulations.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of Management Provisions</w:t>
      </w:r>
    </w:p>
    <w:p>
      <w:pPr>
        <w:spacing w:after="0" w:line="125" w:lineRule="exact"/>
        <w:rPr>
          <w:sz w:val="20"/>
          <w:szCs w:val="20"/>
          <w:color w:val="auto"/>
        </w:rPr>
      </w:pPr>
    </w:p>
    <w:p>
      <w:pPr>
        <w:jc w:val="both"/>
        <w:ind w:right="120" w:firstLine="357"/>
        <w:spacing w:after="0" w:line="291" w:lineRule="auto"/>
        <w:rPr>
          <w:sz w:val="20"/>
          <w:szCs w:val="20"/>
          <w:color w:val="auto"/>
        </w:rPr>
      </w:pPr>
      <w:r>
        <w:rPr>
          <w:rFonts w:ascii="Arial" w:cs="Arial" w:eastAsia="Arial" w:hAnsi="Arial"/>
          <w:sz w:val="17"/>
          <w:szCs w:val="17"/>
          <w:color w:val="auto"/>
        </w:rPr>
        <w:t>The partnership agreement contains specific provisions that are intended to discourage a person or group from attempting to remove GasLog Partners GP LLC as our general partner or otherwise change management. If any person or group acquires beneficial ownership of more than</w:t>
      </w:r>
    </w:p>
    <w:p>
      <w:pPr>
        <w:spacing w:after="0" w:line="1" w:lineRule="exact"/>
        <w:rPr>
          <w:sz w:val="20"/>
          <w:szCs w:val="20"/>
          <w:color w:val="auto"/>
        </w:rPr>
      </w:pPr>
    </w:p>
    <w:p>
      <w:pPr>
        <w:jc w:val="both"/>
        <w:ind w:right="120"/>
        <w:spacing w:after="0" w:line="258" w:lineRule="auto"/>
        <w:rPr>
          <w:sz w:val="20"/>
          <w:szCs w:val="20"/>
          <w:color w:val="auto"/>
        </w:rPr>
      </w:pPr>
      <w:r>
        <w:rPr>
          <w:rFonts w:ascii="Arial" w:cs="Arial" w:eastAsia="Arial" w:hAnsi="Arial"/>
          <w:sz w:val="19"/>
          <w:szCs w:val="19"/>
          <w:color w:val="auto"/>
        </w:rPr>
        <w:t>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0" w:name="page41"/>
    <w:bookmarkEnd w:id="40"/>
    <w:p>
      <w:pPr>
        <w:ind w:right="140"/>
        <w:spacing w:after="0" w:line="283" w:lineRule="auto"/>
        <w:rPr>
          <w:sz w:val="20"/>
          <w:szCs w:val="20"/>
          <w:color w:val="auto"/>
        </w:rPr>
      </w:pPr>
      <w:r>
        <w:rPr>
          <w:rFonts w:ascii="Arial" w:cs="Arial" w:eastAsia="Arial" w:hAnsi="Arial"/>
          <w:sz w:val="19"/>
          <w:szCs w:val="19"/>
          <w:color w:val="auto"/>
        </w:rPr>
        <w:t>limitation except with respect to voting their common units in the election of the elected directors. This loss of voting rights does not apply to the Series A Preference Units.</w:t>
      </w:r>
    </w:p>
    <w:p>
      <w:pPr>
        <w:spacing w:after="0" w:line="52"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38" w:lineRule="exact"/>
        <w:rPr>
          <w:sz w:val="20"/>
          <w:szCs w:val="20"/>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existing arrearages in payment of the minimum quarterly distribution on the common units will be extinguished; and</w:t>
      </w:r>
    </w:p>
    <w:p>
      <w:pPr>
        <w:spacing w:after="0" w:line="92" w:lineRule="exact"/>
        <w:rPr>
          <w:rFonts w:ascii="Arial" w:cs="Arial" w:eastAsia="Arial" w:hAnsi="Arial"/>
          <w:sz w:val="19"/>
          <w:szCs w:val="19"/>
          <w:color w:val="auto"/>
        </w:rPr>
      </w:pPr>
    </w:p>
    <w:p>
      <w:pPr>
        <w:ind w:left="540" w:right="540" w:hanging="168"/>
        <w:spacing w:after="0" w:line="283"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our general partner will have the right to convert its general partner interest into common units or to receive cash in exchange for that interest.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Limited Call Right</w:t>
      </w:r>
    </w:p>
    <w:p>
      <w:pPr>
        <w:spacing w:after="0" w:line="125" w:lineRule="exact"/>
        <w:rPr>
          <w:sz w:val="20"/>
          <w:szCs w:val="20"/>
          <w:color w:val="auto"/>
        </w:rPr>
      </w:pPr>
    </w:p>
    <w:p>
      <w:pPr>
        <w:ind w:right="80" w:firstLine="357"/>
        <w:spacing w:after="0" w:line="271" w:lineRule="auto"/>
        <w:rPr>
          <w:sz w:val="20"/>
          <w:szCs w:val="20"/>
          <w:color w:val="auto"/>
        </w:rPr>
      </w:pPr>
      <w:r>
        <w:rPr>
          <w:rFonts w:ascii="Arial" w:cs="Arial" w:eastAsia="Arial" w:hAnsi="Arial"/>
          <w:sz w:val="18"/>
          <w:szCs w:val="18"/>
          <w:color w:val="auto"/>
        </w:rPr>
        <w:t>If at any time our general partner and its affiliates hold more than 80% of the then-issued and outstanding partnership interests of any class or series, except for the Series A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71"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As a result of the general partner’s right to purchase outstanding partnership interests, a holder of partnership interests may have the holder’s partnership interests (except for the Series A Preference Units) purchased at an undesirable time or price. The tax consequences to a unitholder of the exercise of this call right are the same as a sale by that unitholder of common units in the market. See “Material U.S. Federal Income Tax Considerations-U.S. Federal Income Taxation of U.S. Holders-Sale, Exchange or Other Disposition of Common Units” and “Material U.S. Federal Income Tax Considerations-U.S. Federal Income Taxation of Non-U.S. Holders-Disposition of Units”.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w:t>
      </w:r>
    </w:p>
    <w:p>
      <w:pPr>
        <w:spacing w:after="0" w:line="125" w:lineRule="exact"/>
        <w:rPr>
          <w:sz w:val="20"/>
          <w:szCs w:val="20"/>
          <w:color w:val="auto"/>
        </w:rPr>
      </w:pPr>
    </w:p>
    <w:p>
      <w:pPr>
        <w:ind w:right="140" w:firstLine="357"/>
        <w:spacing w:after="0" w:line="257" w:lineRule="auto"/>
        <w:rPr>
          <w:sz w:val="20"/>
          <w:szCs w:val="20"/>
          <w:color w:val="auto"/>
        </w:rPr>
      </w:pPr>
      <w:r>
        <w:rPr>
          <w:rFonts w:ascii="Arial" w:cs="Arial" w:eastAsia="Arial" w:hAnsi="Arial"/>
          <w:sz w:val="19"/>
          <w:szCs w:val="19"/>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May 16, 2017, our board of directors is comprised of seven persons.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77"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Under certain limited circumstances, holders of our Series A Preference Units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68"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1" w:name="page42"/>
    <w:bookmarkEnd w:id="41"/>
    <w:p>
      <w:pPr>
        <w:jc w:val="both"/>
        <w:ind w:right="120"/>
        <w:spacing w:after="0" w:line="313" w:lineRule="auto"/>
        <w:rPr>
          <w:sz w:val="20"/>
          <w:szCs w:val="20"/>
          <w:color w:val="auto"/>
        </w:rPr>
      </w:pPr>
      <w:r>
        <w:rPr>
          <w:rFonts w:ascii="Arial" w:cs="Arial" w:eastAsia="Arial" w:hAnsi="Arial"/>
          <w:sz w:val="17"/>
          <w:szCs w:val="17"/>
          <w:color w:val="auto"/>
        </w:rPr>
        <w:t>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19" w:lineRule="exact"/>
        <w:rPr>
          <w:sz w:val="20"/>
          <w:szCs w:val="20"/>
          <w:color w:val="auto"/>
        </w:rPr>
      </w:pPr>
    </w:p>
    <w:p>
      <w:pPr>
        <w:ind w:left="540" w:hanging="16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name and address of the limited partner or limited partners making the nomination or nominations;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number of common units beneficially owned by the limited partner or limited partners;</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written consent of the nominee(s) to serve as a member of our board of directors if so elected;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certification that the nominee(s) qualify as elected board members.</w:t>
      </w:r>
    </w:p>
    <w:p>
      <w:pPr>
        <w:spacing w:after="0" w:line="119"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Meetings; Voting</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 Holders of the Series A Preference Units generally have no voting rights. However, holders of the Series A Preference Units have limited voting rights as described under “—Voting Rights.”</w:t>
      </w:r>
    </w:p>
    <w:p>
      <w:pPr>
        <w:spacing w:after="0" w:line="77"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68" w:lineRule="exact"/>
        <w:rPr>
          <w:sz w:val="20"/>
          <w:szCs w:val="20"/>
          <w:color w:val="auto"/>
        </w:rPr>
      </w:pPr>
    </w:p>
    <w:p>
      <w:pPr>
        <w:ind w:right="120" w:firstLine="357"/>
        <w:spacing w:after="0" w:line="271" w:lineRule="auto"/>
        <w:rPr>
          <w:sz w:val="20"/>
          <w:szCs w:val="20"/>
          <w:color w:val="auto"/>
        </w:rPr>
      </w:pPr>
      <w:r>
        <w:rPr>
          <w:rFonts w:ascii="Arial" w:cs="Arial" w:eastAsia="Arial" w:hAnsi="Arial"/>
          <w:sz w:val="18"/>
          <w:szCs w:val="18"/>
          <w:color w:val="auto"/>
        </w:rPr>
        <w:t xml:space="preserve">We hold a meeting of the limited partners every year to elect one or more members of our board of directors and to vote on any other matters that are properly brought before the meeting. Any action that is required or permitted to be taken by the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 person or by proxy at meetings. The holders of 33 </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8"/>
          <w:szCs w:val="18"/>
          <w:color w:val="auto"/>
          <w:vertAlign w:val="subscript"/>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2" w:name="page43"/>
    <w:bookmarkEnd w:id="42"/>
    <w:p>
      <w:pPr>
        <w:ind w:firstLine="357"/>
        <w:spacing w:after="0" w:line="269" w:lineRule="auto"/>
        <w:rPr>
          <w:sz w:val="20"/>
          <w:szCs w:val="20"/>
          <w:color w:val="auto"/>
        </w:rPr>
      </w:pPr>
      <w:r>
        <w:rPr>
          <w:rFonts w:ascii="Arial" w:cs="Arial" w:eastAsia="Arial" w:hAnsi="Arial"/>
          <w:sz w:val="18"/>
          <w:szCs w:val="18"/>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74" w:lineRule="exact"/>
        <w:rPr>
          <w:sz w:val="20"/>
          <w:szCs w:val="20"/>
          <w:color w:val="auto"/>
        </w:rPr>
      </w:pPr>
    </w:p>
    <w:p>
      <w:pPr>
        <w:ind w:right="120" w:firstLine="357"/>
        <w:spacing w:after="0" w:line="312"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or Series A Preference Units under the partnership agreement will be delivered to the record holder by us or by the transfer agent.</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Status as Limited Partner or Assignee</w:t>
      </w:r>
    </w:p>
    <w:p>
      <w:pPr>
        <w:spacing w:after="0" w:line="125" w:lineRule="exact"/>
        <w:rPr>
          <w:sz w:val="20"/>
          <w:szCs w:val="20"/>
          <w:color w:val="auto"/>
        </w:rPr>
      </w:pPr>
    </w:p>
    <w:p>
      <w:pPr>
        <w:ind w:right="280" w:firstLine="357"/>
        <w:spacing w:after="0" w:line="262" w:lineRule="auto"/>
        <w:rPr>
          <w:sz w:val="20"/>
          <w:szCs w:val="20"/>
          <w:color w:val="auto"/>
        </w:rPr>
      </w:pPr>
      <w:r>
        <w:rPr>
          <w:rFonts w:ascii="Arial" w:cs="Arial" w:eastAsia="Arial" w:hAnsi="Arial"/>
          <w:sz w:val="19"/>
          <w:szCs w:val="19"/>
          <w:color w:val="auto"/>
        </w:rPr>
        <w:t>Except as described above under “-Limited Liability”, the common units and Series A Preference Units will be fully paid, and unitholders will not be required to make additional contributions. By transfer of common units or Series A Preference Units in accordance with our partnership agreement, each transferee of units will be admitted as a limited partner with respect to the units transferred when such transfer and admission is reflected in our books and records.</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w:t>
      </w:r>
    </w:p>
    <w:p>
      <w:pPr>
        <w:spacing w:after="0" w:line="125"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Under the partnership agreement, in most circumstances, we will indemnify the following persons, to the fullest extent permitted by law, from and against all losses, claims, damages or similar events:</w:t>
      </w:r>
    </w:p>
    <w:p>
      <w:pPr>
        <w:spacing w:after="0" w:line="38" w:lineRule="exact"/>
        <w:rPr>
          <w:sz w:val="20"/>
          <w:szCs w:val="20"/>
          <w:color w:val="auto"/>
        </w:rPr>
      </w:pPr>
    </w:p>
    <w:p>
      <w:pPr>
        <w:ind w:left="780" w:hanging="323"/>
        <w:spacing w:after="0"/>
        <w:tabs>
          <w:tab w:leader="none" w:pos="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our general partner;</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departing general partner;</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person who is or was an affiliate of our general partner or any departing general partner;</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person who is or was an officer, director, member, fiduciary or trustee of any entity described in (1), (2) or (3) above;</w:t>
      </w:r>
    </w:p>
    <w:p>
      <w:pPr>
        <w:spacing w:after="0" w:line="105" w:lineRule="exact"/>
        <w:rPr>
          <w:rFonts w:ascii="Arial" w:cs="Arial" w:eastAsia="Arial" w:hAnsi="Arial"/>
          <w:sz w:val="19"/>
          <w:szCs w:val="19"/>
          <w:color w:val="auto"/>
        </w:rPr>
      </w:pPr>
    </w:p>
    <w:p>
      <w:pPr>
        <w:ind w:left="780" w:right="440" w:hanging="323"/>
        <w:spacing w:after="0" w:line="283" w:lineRule="auto"/>
        <w:tabs>
          <w:tab w:leader="none" w:pos="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person who is or was serving as a director, officer, member, fiduciary or trustee of another person at the request of our board of directors, our general partner or any departing general partner;</w:t>
      </w:r>
    </w:p>
    <w:p>
      <w:pPr>
        <w:spacing w:after="0" w:line="38" w:lineRule="exact"/>
        <w:rPr>
          <w:rFonts w:ascii="Arial" w:cs="Arial" w:eastAsia="Arial" w:hAnsi="Arial"/>
          <w:sz w:val="19"/>
          <w:szCs w:val="19"/>
          <w:color w:val="auto"/>
        </w:rPr>
      </w:pPr>
    </w:p>
    <w:p>
      <w:pPr>
        <w:ind w:left="780" w:hanging="323"/>
        <w:spacing w:after="0"/>
        <w:tabs>
          <w:tab w:leader="none" w:pos="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our officers;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person designated by our board of directors; and</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members of our board of directors.</w:t>
      </w:r>
    </w:p>
    <w:p>
      <w:pPr>
        <w:spacing w:after="0" w:line="119"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Any indemnification under these provisions will only be out of our assets. We may purchase insurance against liabilities asserted against and expenses incurred by persons for our activities,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regardless of whether we would have the power to indemnify the person against liabilities under the partnership agreement.</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Reimbursement of Expenses</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Books and Reports</w:t>
      </w:r>
    </w:p>
    <w:p>
      <w:pPr>
        <w:spacing w:after="0" w:line="125" w:lineRule="exact"/>
        <w:rPr>
          <w:sz w:val="20"/>
          <w:szCs w:val="20"/>
          <w:color w:val="auto"/>
        </w:rPr>
      </w:pPr>
    </w:p>
    <w:p>
      <w:pPr>
        <w:ind w:right="140" w:firstLine="357"/>
        <w:spacing w:after="0" w:line="344" w:lineRule="auto"/>
        <w:rPr>
          <w:sz w:val="20"/>
          <w:szCs w:val="20"/>
          <w:color w:val="auto"/>
        </w:rPr>
      </w:pPr>
      <w:r>
        <w:rPr>
          <w:rFonts w:ascii="Arial" w:cs="Arial" w:eastAsia="Arial" w:hAnsi="Arial"/>
          <w:sz w:val="17"/>
          <w:szCs w:val="17"/>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 to Inspect Our Books and Records</w:t>
      </w:r>
    </w:p>
    <w:p>
      <w:pPr>
        <w:spacing w:after="0" w:line="125" w:lineRule="exact"/>
        <w:rPr>
          <w:sz w:val="20"/>
          <w:szCs w:val="20"/>
          <w:color w:val="auto"/>
        </w:rPr>
      </w:pPr>
    </w:p>
    <w:p>
      <w:pPr>
        <w:ind w:right="280" w:firstLine="357"/>
        <w:spacing w:after="0" w:line="339" w:lineRule="auto"/>
        <w:rPr>
          <w:sz w:val="20"/>
          <w:szCs w:val="20"/>
          <w:color w:val="auto"/>
        </w:rPr>
      </w:pPr>
      <w:r>
        <w:rPr>
          <w:rFonts w:ascii="Arial" w:cs="Arial" w:eastAsia="Arial" w:hAnsi="Arial"/>
          <w:sz w:val="17"/>
          <w:szCs w:val="17"/>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2" w:lineRule="exact"/>
        <w:rPr>
          <w:sz w:val="20"/>
          <w:szCs w:val="20"/>
          <w:color w:val="auto"/>
        </w:rPr>
      </w:pPr>
    </w:p>
    <w:p>
      <w:pPr>
        <w:ind w:left="780" w:hanging="323"/>
        <w:spacing w:after="0"/>
        <w:tabs>
          <w:tab w:leader="none" w:pos="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current list of the name and last known address of each partner;</w:t>
      </w:r>
    </w:p>
    <w:p>
      <w:pPr>
        <w:spacing w:after="0" w:line="105" w:lineRule="exact"/>
        <w:rPr>
          <w:rFonts w:ascii="Arial" w:cs="Arial" w:eastAsia="Arial" w:hAnsi="Arial"/>
          <w:sz w:val="19"/>
          <w:szCs w:val="19"/>
          <w:color w:val="auto"/>
        </w:rPr>
      </w:pPr>
    </w:p>
    <w:p>
      <w:pPr>
        <w:ind w:left="780" w:right="100" w:hanging="323"/>
        <w:spacing w:after="0" w:line="283" w:lineRule="auto"/>
        <w:tabs>
          <w:tab w:leader="none" w:pos="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information as to the amount of cash, and a description and statement of the agreed value of any other property or services, contributed or to be contributed by each partner and the date on which each became a partner;</w:t>
      </w:r>
    </w:p>
    <w:p>
      <w:pPr>
        <w:spacing w:after="0" w:line="38" w:lineRule="exact"/>
        <w:rPr>
          <w:rFonts w:ascii="Arial" w:cs="Arial" w:eastAsia="Arial" w:hAnsi="Arial"/>
          <w:sz w:val="19"/>
          <w:szCs w:val="19"/>
          <w:color w:val="auto"/>
        </w:rPr>
      </w:pPr>
    </w:p>
    <w:p>
      <w:pPr>
        <w:ind w:left="780" w:hanging="323"/>
        <w:spacing w:after="0"/>
        <w:tabs>
          <w:tab w:leader="none" w:pos="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copies of the partnership agreement, the certificate of limited partnership of the partnership and related amendments;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information regarding the status of our business and financial position; and</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other information regarding our affairs as is just and reasonable.</w:t>
      </w:r>
    </w:p>
    <w:p>
      <w:pPr>
        <w:spacing w:after="0" w:line="119"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125"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See “Units Eligible for Future Sale”.</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77" w:right="31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9"/>
          <w:szCs w:val="19"/>
          <w:b w:val="1"/>
          <w:bCs w:val="1"/>
          <w:color w:val="auto"/>
        </w:rPr>
        <w:t>OUR CASH DISTRIBUTION POLICY AND RESTRICTIONS ON DISTRIBUTIONS</w:t>
      </w:r>
    </w:p>
    <w:p>
      <w:pPr>
        <w:spacing w:after="0" w:line="125"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Our cash distribution policy and restrictions on distributions are described in page 20 of the accompanying prospectus. We hereby supplement that disclosure with the below.</w:t>
      </w:r>
    </w:p>
    <w:p>
      <w:pPr>
        <w:spacing w:after="0" w:line="52" w:lineRule="exact"/>
        <w:rPr>
          <w:sz w:val="20"/>
          <w:szCs w:val="20"/>
          <w:color w:val="auto"/>
        </w:rPr>
      </w:pPr>
    </w:p>
    <w:p>
      <w:pPr>
        <w:ind w:right="140" w:firstLine="357"/>
        <w:spacing w:after="0" w:line="271" w:lineRule="auto"/>
        <w:rPr>
          <w:sz w:val="20"/>
          <w:szCs w:val="20"/>
          <w:color w:val="auto"/>
        </w:rPr>
      </w:pPr>
      <w:r>
        <w:rPr>
          <w:rFonts w:ascii="Arial" w:cs="Arial" w:eastAsia="Arial" w:hAnsi="Arial"/>
          <w:sz w:val="18"/>
          <w:szCs w:val="18"/>
          <w:color w:val="auto"/>
        </w:rPr>
        <w:t>We issued 5,750,000 of our Series A Preference Units on May 15, 2017. 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(equal to $2.15625 per annum per unit). From and including June 15, 2027, the distribution rate will be a floating rate equal to three-month LIBOR plus a spread of 6.31% per annum per $25.00 of liquidation preference per unit. Distributions on Series A Preference Units are cumulative from May 15, 2017 and will be payable on the 15th of March, June, September and December of each year, commencing on September 15, 2017,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A Preference Units through the most recent distribution payment date. Holders of the Series A Preference Units will not be entitled to any distribution, whether payable in cash, property or units, in excess of full cumulative distributions.</w:t>
      </w:r>
    </w:p>
    <w:p>
      <w:pPr>
        <w:spacing w:after="0" w:line="67"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On May 16th, 2017, the subordination period ended, and all 9,822,358 subordinated units held by GasLog converted on a one-for-one basis into common units. As a result of this conversion, there are no longer any subordinated units outstanding. These common units will participate pro rata with other common units in distributions of available cash.</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The following is a discussion of the material U.S. federal income tax considerations that may be relevant to prospective unitholders and, unless otherwise noted in the following discussion, is the opinion of Cravath, Swaine &amp; Moore LLP, our U.S. counsel, insofar as it contains legal conclusions with respect to matters of U.S. federal income tax law. The opinion of our counsel is dependent on the accuracy of factual representations made by us to them, including descriptions of our operations contained herein.</w:t>
      </w:r>
    </w:p>
    <w:p>
      <w:pPr>
        <w:spacing w:after="0" w:line="72"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This discussion is based upon provisions of the U.S. Internal Revenue Code of 1986, as amended, or the “Code,” Treasury Regulations promulgated thereunder and current administrative rulings and court decisions, all as in effect or existence on the date of this prospectus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77"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The following discussion applies only to beneficial owners of common units that own the common units as “capital assets” within the meaning of Section 1221 of the Code (</w:t>
      </w:r>
      <w:r>
        <w:rPr>
          <w:rFonts w:ascii="Arial" w:cs="Arial" w:eastAsia="Arial" w:hAnsi="Arial"/>
          <w:sz w:val="19"/>
          <w:szCs w:val="19"/>
          <w:i w:val="1"/>
          <w:iCs w:val="1"/>
          <w:color w:val="auto"/>
        </w:rPr>
        <w:t>i.e.</w:t>
      </w:r>
      <w:r>
        <w:rPr>
          <w:rFonts w:ascii="Arial" w:cs="Arial" w:eastAsia="Arial" w:hAnsi="Arial"/>
          <w:sz w:val="19"/>
          <w:szCs w:val="19"/>
          <w:color w:val="auto"/>
        </w:rPr>
        <w:t>, generally, for investment purposes) and is not intended to be applicable to all categories of investors, such as unitholders subject to special tax rules (</w:t>
      </w:r>
      <w:r>
        <w:rPr>
          <w:rFonts w:ascii="Arial" w:cs="Arial" w:eastAsia="Arial" w:hAnsi="Arial"/>
          <w:sz w:val="19"/>
          <w:szCs w:val="19"/>
          <w:i w:val="1"/>
          <w:iCs w:val="1"/>
          <w:color w:val="auto"/>
        </w:rPr>
        <w:t>e.g.</w:t>
      </w:r>
      <w:r>
        <w:rPr>
          <w:rFonts w:ascii="Arial" w:cs="Arial" w:eastAsia="Arial" w:hAnsi="Arial"/>
          <w:sz w:val="19"/>
          <w:szCs w:val="19"/>
          <w:color w:val="auto"/>
        </w:rPr>
        <w:t>,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the tax treatment of its partners generally will depend upon the status of the partner and the activities of the partnership. If you are a partner in a partnership holding our common units, you are encouraged to consult your own tax advisor regarding the tax consequences to you of the partnership’s ownership of our common units.</w:t>
      </w:r>
    </w:p>
    <w:p>
      <w:pPr>
        <w:spacing w:after="0" w:line="83"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unitholders. The opinions and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common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common units.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Election to be Treated as a Corporation</w:t>
      </w:r>
    </w:p>
    <w:p>
      <w:pPr>
        <w:spacing w:after="0" w:line="125" w:lineRule="exact"/>
        <w:rPr>
          <w:sz w:val="20"/>
          <w:szCs w:val="20"/>
          <w:color w:val="auto"/>
        </w:rPr>
      </w:pPr>
    </w:p>
    <w:p>
      <w:pPr>
        <w:jc w:val="both"/>
        <w:ind w:right="60" w:firstLine="357"/>
        <w:spacing w:after="0" w:line="302" w:lineRule="auto"/>
        <w:rPr>
          <w:sz w:val="20"/>
          <w:szCs w:val="20"/>
          <w:color w:val="auto"/>
        </w:rPr>
      </w:pPr>
      <w:r>
        <w:rPr>
          <w:rFonts w:ascii="Arial" w:cs="Arial" w:eastAsia="Arial" w:hAnsi="Arial"/>
          <w:sz w:val="17"/>
          <w:szCs w:val="17"/>
          <w:color w:val="auto"/>
        </w:rPr>
        <w:t>We have elected to be treated as a corporation for U.S. federal income tax purposes. As a result, except as provided below, we will be subject to U.S. federal income tax on our income to the extent such income is from U.S. sources or is otherwise effectively connected with the conduct of a trade or business in the United States. In addition, U.S. Holders (as defined below) will not be directly subject to U.S. federal income tax on our income, but rather will be subject to U.S. federal income tax on distributions received from us and dispositions of units as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Federal Income Taxation of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Taxation of Our Subsidiaries</w:t>
      </w:r>
    </w:p>
    <w:p>
      <w:pPr>
        <w:spacing w:after="0" w:line="119" w:lineRule="exact"/>
        <w:rPr>
          <w:sz w:val="20"/>
          <w:szCs w:val="20"/>
          <w:color w:val="auto"/>
        </w:rPr>
      </w:pPr>
    </w:p>
    <w:p>
      <w:pPr>
        <w:ind w:firstLine="357"/>
        <w:spacing w:after="0" w:line="344" w:lineRule="auto"/>
        <w:rPr>
          <w:sz w:val="20"/>
          <w:szCs w:val="20"/>
          <w:color w:val="auto"/>
        </w:rPr>
      </w:pPr>
      <w:r>
        <w:rPr>
          <w:rFonts w:ascii="Arial" w:cs="Arial" w:eastAsia="Arial" w:hAnsi="Arial"/>
          <w:sz w:val="17"/>
          <w:szCs w:val="17"/>
          <w:color w:val="auto"/>
        </w:rPr>
        <w:t>Our subsidiaries have elected (or are in the process of electing) to be treated as disregarded entities for U.S. federal income tax purposes. As a result, for purposes of the discussion below, our subsidiaries are treated (or will be treated) as branches rather than as separate corporations.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46" w:name="page47"/>
    <w:bookmarkEnd w:id="46"/>
    <w:p>
      <w:pPr>
        <w:spacing w:after="0"/>
        <w:rPr>
          <w:sz w:val="20"/>
          <w:szCs w:val="20"/>
          <w:color w:val="auto"/>
        </w:rPr>
      </w:pPr>
      <w:r>
        <w:rPr>
          <w:rFonts w:ascii="Arial" w:cs="Arial" w:eastAsia="Arial" w:hAnsi="Arial"/>
          <w:sz w:val="19"/>
          <w:szCs w:val="19"/>
          <w:b w:val="1"/>
          <w:bCs w:val="1"/>
          <w:i w:val="1"/>
          <w:iCs w:val="1"/>
          <w:color w:val="auto"/>
        </w:rPr>
        <w:t>U.S. Taxation of Shipping Income</w:t>
      </w:r>
    </w:p>
    <w:p>
      <w:pPr>
        <w:spacing w:after="0" w:line="119" w:lineRule="exact"/>
        <w:rPr>
          <w:sz w:val="20"/>
          <w:szCs w:val="20"/>
          <w:color w:val="auto"/>
        </w:rPr>
      </w:pPr>
    </w:p>
    <w:p>
      <w:pPr>
        <w:ind w:right="40" w:firstLine="357"/>
        <w:spacing w:after="0" w:line="275" w:lineRule="auto"/>
        <w:rPr>
          <w:sz w:val="20"/>
          <w:szCs w:val="20"/>
          <w:color w:val="auto"/>
        </w:rPr>
      </w:pPr>
      <w:r>
        <w:rPr>
          <w:rFonts w:ascii="Arial" w:cs="Arial" w:eastAsia="Arial" w:hAnsi="Arial"/>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63"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would impose on us a 4% U.S. income tax in respect of our U.S. Source International Transportation Income (without the allowance for deductions) unless we are exempt from U.S. federal income tax on such income under the rules contained in Section 883 of the Code. We do not expect to qualify for exemption under a tax treaty. The other 50% of the income described in the first sentence of this paragraph would not be subject to U.S. income tax.</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this purpose, “shipping income” means income that is derived from:</w:t>
      </w:r>
    </w:p>
    <w:p>
      <w:pPr>
        <w:spacing w:after="0" w:line="119" w:lineRule="exact"/>
        <w:rPr>
          <w:sz w:val="20"/>
          <w:szCs w:val="20"/>
          <w:color w:val="auto"/>
        </w:rPr>
      </w:pPr>
    </w:p>
    <w:p>
      <w:pPr>
        <w:ind w:left="600" w:hanging="235"/>
        <w:spacing w:after="0"/>
        <w:tabs>
          <w:tab w:leader="none" w:pos="6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use of ships;</w:t>
      </w:r>
    </w:p>
    <w:p>
      <w:pPr>
        <w:spacing w:after="0" w:line="105" w:lineRule="exact"/>
        <w:rPr>
          <w:rFonts w:ascii="Arial" w:cs="Arial" w:eastAsia="Arial" w:hAnsi="Arial"/>
          <w:sz w:val="19"/>
          <w:szCs w:val="19"/>
          <w:color w:val="auto"/>
        </w:rPr>
      </w:pPr>
    </w:p>
    <w:p>
      <w:pPr>
        <w:ind w:left="660" w:hanging="295"/>
        <w:spacing w:after="0"/>
        <w:tabs>
          <w:tab w:leader="none" w:pos="6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hiring or leasing of ships for use on a time, operating or bareboat charter basis;</w:t>
      </w:r>
    </w:p>
    <w:p>
      <w:pPr>
        <w:spacing w:after="0" w:line="119" w:lineRule="exact"/>
        <w:rPr>
          <w:rFonts w:ascii="Arial" w:cs="Arial" w:eastAsia="Arial" w:hAnsi="Arial"/>
          <w:sz w:val="19"/>
          <w:szCs w:val="19"/>
          <w:color w:val="auto"/>
        </w:rPr>
      </w:pPr>
    </w:p>
    <w:p>
      <w:pPr>
        <w:ind w:firstLine="365"/>
        <w:spacing w:after="0" w:line="283" w:lineRule="auto"/>
        <w:tabs>
          <w:tab w:leader="none" w:pos="697"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participation in a pool, partnership, strategic alliance, joint operating agreement or other joint venture we directly or indirectly own or participate in that generates such income; or</w:t>
      </w:r>
    </w:p>
    <w:p>
      <w:pPr>
        <w:spacing w:after="0" w:line="51" w:lineRule="exact"/>
        <w:rPr>
          <w:rFonts w:ascii="Arial" w:cs="Arial" w:eastAsia="Arial" w:hAnsi="Arial"/>
          <w:sz w:val="19"/>
          <w:szCs w:val="19"/>
          <w:color w:val="auto"/>
        </w:rPr>
      </w:pPr>
    </w:p>
    <w:p>
      <w:pPr>
        <w:ind w:left="700" w:hanging="335"/>
        <w:spacing w:after="0"/>
        <w:tabs>
          <w:tab w:leader="none" w:pos="7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performance of services directly related to those uses.</w:t>
      </w:r>
    </w:p>
    <w:p>
      <w:pPr>
        <w:spacing w:after="0" w:line="119" w:lineRule="exact"/>
        <w:rPr>
          <w:sz w:val="20"/>
          <w:szCs w:val="20"/>
          <w:color w:val="auto"/>
        </w:rPr>
      </w:pPr>
    </w:p>
    <w:p>
      <w:pPr>
        <w:ind w:right="640" w:firstLine="357"/>
        <w:spacing w:after="0" w:line="283" w:lineRule="auto"/>
        <w:rPr>
          <w:sz w:val="20"/>
          <w:szCs w:val="20"/>
          <w:color w:val="auto"/>
        </w:rPr>
      </w:pPr>
      <w:r>
        <w:rPr>
          <w:rFonts w:ascii="Arial" w:cs="Arial" w:eastAsia="Arial" w:hAnsi="Arial"/>
          <w:sz w:val="19"/>
          <w:szCs w:val="19"/>
          <w:color w:val="auto"/>
        </w:rPr>
        <w:t>Under Section 883 of the Code and the regulations thereunder, we would be exempt from U.S. federal income tax on our U.S. Source International Transportation Income if:</w:t>
      </w:r>
    </w:p>
    <w:p>
      <w:pPr>
        <w:spacing w:after="0" w:line="52" w:lineRule="exact"/>
        <w:rPr>
          <w:sz w:val="20"/>
          <w:szCs w:val="20"/>
          <w:color w:val="auto"/>
        </w:rPr>
      </w:pPr>
    </w:p>
    <w:p>
      <w:pPr>
        <w:ind w:right="200" w:firstLine="365"/>
        <w:spacing w:after="0" w:line="344" w:lineRule="auto"/>
        <w:tabs>
          <w:tab w:leader="none" w:pos="589"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are organized in a foreign country (the “country of organization”) that grants an “equivalent exemption” to corporations organized in the United States with respect to the types of U.S. Source International Transportation Income that we may earn (an “Equivalent Exemption”);</w:t>
      </w:r>
    </w:p>
    <w:p>
      <w:pPr>
        <w:spacing w:after="0" w:line="6" w:lineRule="exact"/>
        <w:rPr>
          <w:rFonts w:ascii="Arial" w:cs="Arial" w:eastAsia="Arial" w:hAnsi="Arial"/>
          <w:sz w:val="17"/>
          <w:szCs w:val="17"/>
          <w:color w:val="auto"/>
        </w:rPr>
      </w:pPr>
    </w:p>
    <w:p>
      <w:pPr>
        <w:ind w:left="660" w:hanging="295"/>
        <w:spacing w:after="0"/>
        <w:tabs>
          <w:tab w:leader="none" w:pos="6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we satisfy the Publicly-Traded Test (as described below) or the 50% Ownership Test (as described below); and</w:t>
      </w:r>
    </w:p>
    <w:p>
      <w:pPr>
        <w:spacing w:after="0" w:line="119" w:lineRule="exact"/>
        <w:rPr>
          <w:rFonts w:ascii="Arial" w:cs="Arial" w:eastAsia="Arial" w:hAnsi="Arial"/>
          <w:sz w:val="19"/>
          <w:szCs w:val="19"/>
          <w:color w:val="auto"/>
        </w:rPr>
      </w:pPr>
    </w:p>
    <w:p>
      <w:pPr>
        <w:ind w:left="700" w:hanging="335"/>
        <w:spacing w:after="0"/>
        <w:tabs>
          <w:tab w:leader="none" w:pos="7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we meet certain substantiation, reporting and other requirements.</w:t>
      </w:r>
    </w:p>
    <w:p>
      <w:pPr>
        <w:spacing w:after="0" w:line="119"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In order for a foreign corporation to meet the Publicly-Traded Test, its equity interests must be “primarily traded” and “regularly traded” on an established securities market in the United States or in a foreign jurisdiction that grants an Equivalent Exemption. The Treasury regulations under Section 883 of the Code provide, in pertinent part, that equity of a foreign corporation will be considered to be “primarily traded” on an established securities market in a country if, with respect to the class or classes of equity relied upon to meet the “regularly traded” requirement described below, the number of units of such class of equity that is traded during any tax year on all established securities markets in that country exceeds the number of equity interests in each such class that is traded during that year on established securities markets in any other single country. We believe that our common units are, and will continue to be, “primarily traded” on the NYSE, which is an established securities market for these purposes.</w:t>
      </w:r>
    </w:p>
    <w:p>
      <w:pPr>
        <w:spacing w:after="0" w:line="80" w:lineRule="exact"/>
        <w:rPr>
          <w:sz w:val="20"/>
          <w:szCs w:val="20"/>
          <w:color w:val="auto"/>
        </w:rPr>
      </w:pPr>
    </w:p>
    <w:p>
      <w:pPr>
        <w:ind w:right="200" w:firstLine="357"/>
        <w:spacing w:after="0" w:line="297" w:lineRule="auto"/>
        <w:rPr>
          <w:sz w:val="20"/>
          <w:szCs w:val="20"/>
          <w:color w:val="auto"/>
        </w:rPr>
      </w:pPr>
      <w:r>
        <w:rPr>
          <w:rFonts w:ascii="Arial" w:cs="Arial" w:eastAsia="Arial" w:hAnsi="Arial"/>
          <w:sz w:val="17"/>
          <w:szCs w:val="17"/>
          <w:color w:val="auto"/>
        </w:rPr>
        <w:t>The Publicly-Traded Test also requires equity interests in a foreign corporation to be “regularly traded” on an established securities market. The Treasury regulations under Section 883 of the Code provide that equity interests in a foreign corporation are considered to be “regularly traded” on an established securities market if one or more classes of such equity interests that, in the aggregate, represent more than 50% of the combined vote and value of all outstanding equity interests in the foreign corporation satisfy certain listing and trading volume requirements. These listing and trading volume requirements will be satisfied with respect to a class of equity interests if (i) such equity</w:t>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5" w:right="299" w:bottom="1440" w:gutter="0" w:footer="0" w:header="0"/>
        </w:sectPr>
      </w:pPr>
    </w:p>
    <w:bookmarkStart w:id="47" w:name="page48"/>
    <w:bookmarkEnd w:id="47"/>
    <w:p>
      <w:pPr>
        <w:ind w:right="40"/>
        <w:spacing w:after="0" w:line="259" w:lineRule="auto"/>
        <w:rPr>
          <w:sz w:val="20"/>
          <w:szCs w:val="20"/>
          <w:color w:val="auto"/>
        </w:rPr>
      </w:pPr>
      <w:r>
        <w:rPr>
          <w:rFonts w:ascii="Arial" w:cs="Arial" w:eastAsia="Arial" w:hAnsi="Arial"/>
          <w:sz w:val="19"/>
          <w:szCs w:val="19"/>
          <w:color w:val="auto"/>
        </w:rPr>
        <w:t>interests are traded on the market, other than in minimal quantities, on at least 60 days during the tax year (or 1/6 of the days in a short tax year) and (ii) the aggregate number of equity interests in such class traded on such market during the tax year is at least 10% of the average number of equity interests outstanding in that class during such year (as appropriately adjusted in the case of a short tax year), provided, that if a class of equity interests is traded on an established securities market in the United States and is regularly quoted by dealers making a market in such equity interests then tests (i) and (ii) will be deemed satisfied.</w:t>
      </w:r>
    </w:p>
    <w:p>
      <w:pPr>
        <w:spacing w:after="0" w:line="77"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Notwithstanding the foregoing, a class of equity interests may fail the regularly traded test if, for more than half the number of days during the tax year, persons who each own, either actually or constructively under certain attribution rules, 5% or more of the vote and value of the outstanding shares of the class of equity interests, or “5% Holders”, own in the aggregate 50% or more of the vote and value of the class of equity interests (which is referred to as the “Closely Held Block Exception”). The Closely Held Block Exception does not apply, however, if the foreign corporation can establish that a sufficient proportion of such 5% Holders are Qualified Shareholders (as defined below) so as to preclude the non-qualified 5% Holders from owning 50% or more of the total value of the class of equity interests for more than half the number of days during the tax year. If 50% or more of the vote and value of a class of equity interests is owned, in the aggregate, by 5% Holders, then a sufficient number of 5% Holders must verify that they are Qualified Shareholders by providing certain information to the foreign corporation, including information about their countries of residence for tax purposes and their actual and/or constructive ownership of such equity interests.</w:t>
      </w:r>
    </w:p>
    <w:p>
      <w:pPr>
        <w:spacing w:after="0" w:line="71"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As an alternative to satisfying the Publicly-Traded Test, a foreign corporation may qualify for an exemption under Section 883 of the Code by satisfying the 50% Ownership Test. A corporation generally will satisfy the 50% Ownership Test if more than 50% of the value of its outstanding equity interests is owned, or treated as owned after applying certain attribution rules, for at least half the number of days in the tax year by individual residents of jurisdictions that grant an Equivalent Exemption, foreign corporations organized in jurisdictions that grant an Equivalent Exemption and that meet the Publicly-Traded Test, or certain other qualified persons described in the Treasury regulations under Section 883 (which are referred to collectively as “Qualified Shareholders”).</w:t>
      </w:r>
    </w:p>
    <w:p>
      <w:pPr>
        <w:spacing w:after="0" w:line="76" w:lineRule="exact"/>
        <w:rPr>
          <w:sz w:val="20"/>
          <w:szCs w:val="20"/>
          <w:color w:val="auto"/>
        </w:rPr>
      </w:pPr>
    </w:p>
    <w:p>
      <w:pPr>
        <w:ind w:right="240" w:firstLine="357"/>
        <w:spacing w:after="0" w:line="313" w:lineRule="auto"/>
        <w:rPr>
          <w:sz w:val="20"/>
          <w:szCs w:val="20"/>
          <w:color w:val="auto"/>
        </w:rPr>
      </w:pPr>
      <w:r>
        <w:rPr>
          <w:rFonts w:ascii="Arial" w:cs="Arial" w:eastAsia="Arial" w:hAnsi="Arial"/>
          <w:sz w:val="17"/>
          <w:szCs w:val="17"/>
          <w:color w:val="auto"/>
        </w:rPr>
        <w:t>The Marshall Islands, the jurisdiction in which we are organized, grants an Equivalent Exemption with respect to the type of U.S. Source International Transportation Income we expect to earn. Therefore, we would be eligible for the exemption under Section 883 of the Code if we were to satisfy either the Publicly-Traded Test or the 50% Ownership Test and we satisfy certain substantiation, reporting or other requirements.</w:t>
      </w:r>
    </w:p>
    <w:p>
      <w:pPr>
        <w:spacing w:after="0" w:line="32" w:lineRule="exact"/>
        <w:rPr>
          <w:sz w:val="20"/>
          <w:szCs w:val="20"/>
          <w:color w:val="auto"/>
        </w:rPr>
      </w:pPr>
    </w:p>
    <w:p>
      <w:pPr>
        <w:ind w:right="200" w:firstLine="357"/>
        <w:spacing w:after="0" w:line="258" w:lineRule="auto"/>
        <w:rPr>
          <w:sz w:val="20"/>
          <w:szCs w:val="20"/>
          <w:color w:val="auto"/>
        </w:rPr>
      </w:pPr>
      <w:r>
        <w:rPr>
          <w:rFonts w:ascii="Arial" w:cs="Arial" w:eastAsia="Arial" w:hAnsi="Arial"/>
          <w:sz w:val="19"/>
          <w:szCs w:val="19"/>
          <w:color w:val="auto"/>
        </w:rPr>
        <w:t>Following the completion of our follow-on public offering in September 2014, GasLog no longer held more than 50% of the value of our equity. As a result, for tax years after 2014, we no longer qualified for the 50% Ownership Test by virtue of GasLog’s ownership of our equity, even if GasLog itself qualifies under Section 883. Moreover, we will not qualify under the Publicly-Traded Test so long as our common unitholders have the right to elect only a minority of our directors. Therefore, we do not expect to qualify for the exemption from U.S. federal income tax under Section 883 during the 2017 tax year, unless our general partner exercises the “GasLog option” described below. For 2016, the U.S. source gross transportation tax was $0.06 million.</w:t>
      </w:r>
    </w:p>
    <w:p>
      <w:pPr>
        <w:spacing w:after="0" w:line="76"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is exercised, our common units would then be considered to have more than 50% of the voting power of all our equity. Our common units would then be considered to be “regularly traded” on an established securities market if they represented more than 50% of the value of all our equity and the listing and trading conditions described above are satisfied. Based upon our expected cash flow and distributions on our outstanding equity units, we expect that the common units will represent more than 50% of the value of our equity, and we expect that we will also satisfy the listing and trading requirements. However, we cannot assure you this will be the case. If these conditions are satisfied, and except as provided below, we would satisfy the Publicly-Traded</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8" w:name="page49"/>
    <w:bookmarkEnd w:id="48"/>
    <w:p>
      <w:pPr>
        <w:jc w:val="both"/>
        <w:ind w:right="140"/>
        <w:spacing w:after="0" w:line="267" w:lineRule="auto"/>
        <w:rPr>
          <w:sz w:val="20"/>
          <w:szCs w:val="20"/>
          <w:color w:val="auto"/>
        </w:rPr>
      </w:pPr>
      <w:r>
        <w:rPr>
          <w:rFonts w:ascii="Arial" w:cs="Arial" w:eastAsia="Arial" w:hAnsi="Arial"/>
          <w:sz w:val="19"/>
          <w:szCs w:val="19"/>
          <w:color w:val="auto"/>
        </w:rPr>
        <w:t>Test unless the “Closely Held Block” exception to that test was applicable. If GasLog at that time satisfies the Publicly Traded Test, it would be a Qualified Shareholder of ours, to the extent it continued to own our common units, in determining whether the Closely Held Block Exception to the Publicly Traded Test applied.</w:t>
      </w:r>
    </w:p>
    <w:p>
      <w:pPr>
        <w:spacing w:after="0" w:line="68" w:lineRule="exact"/>
        <w:rPr>
          <w:sz w:val="20"/>
          <w:szCs w:val="20"/>
          <w:color w:val="auto"/>
        </w:rPr>
      </w:pPr>
    </w:p>
    <w:p>
      <w:pPr>
        <w:ind w:right="260" w:firstLine="357"/>
        <w:spacing w:after="0" w:line="262" w:lineRule="auto"/>
        <w:rPr>
          <w:sz w:val="20"/>
          <w:szCs w:val="20"/>
          <w:color w:val="auto"/>
        </w:rPr>
      </w:pPr>
      <w:r>
        <w:rPr>
          <w:rFonts w:ascii="Arial" w:cs="Arial" w:eastAsia="Arial" w:hAnsi="Arial"/>
          <w:sz w:val="19"/>
          <w:szCs w:val="19"/>
          <w:color w:val="auto"/>
        </w:rPr>
        <w:t>In addition, our partnership agreement provides that any person or group (including GasLog) that beneficially owns more than 4.9% of any class of our units then outstanding generally will be treated as owning only 4.9% of such units for purposes of voting for directors. We cannot assure you that this limitation will be effective to eliminate the possibility that we will have any 5% Holders for purposes of the Closely Held Block Exception.</w:t>
      </w:r>
    </w:p>
    <w:p>
      <w:pPr>
        <w:spacing w:after="0" w:line="7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However, assuming this limitation is effective, we anticipate that, in the event that GasLog exercises the GasLog option, we will be able to satisfy the Publicly-Traded Test if our common units represent more than half the value of our equity.</w:t>
      </w:r>
    </w:p>
    <w:p>
      <w:pPr>
        <w:spacing w:after="0" w:line="52"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However, we cannot assure you that we will be able to satisfy the Publicly-Traded Test in future years. There is no assurance that GasLog will exercise the GasLog option, which is necessary for us to satisfy the Publicly-Traded Test. Moreover, we cannot assure you that GasLog’s exercise of the GasLog option will be sufficient for us to satisfy the Publicly-Traded Test. In particular, we may not be able to satisfy the Publicly-Traded Test in the tax year during which GasLog exercises the GasLog option, because it is not clear if the Publicly-Traded Test must be satisfied on each day during the tax year and whether the exercise of the option would be considered effective immediately or only at the time of the unitholder meeting following exercise of the option. In addition, if an increase in the value of our incentive distribution rights causes our common units to fail the 50% value test, we will fail to satisfy the Publicly-Traded Test even if the option is exercised. Moreover, because we are in legal form a partnership, it is possible that the IRS would assert that our common units do not meet the “regularly traded” test. Furthermore, our board of directors could determine that it is in our best interests to take an action that would result in our not being able to satisfy the Publicly-Traded Test in the future. Should any of the requirements described above fail to be satisfied, we may not be able to satisfy the Publicly-Traded Test.</w:t>
      </w:r>
    </w:p>
    <w:p>
      <w:pPr>
        <w:spacing w:after="0" w:line="58"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In addition, our U.S. Source International Transportation Income that is considered to be “effectively connected” with the conduct of a U.S. trade or business is subject to the U.S. corporate income tax currently imposed at rates of up to 35%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77"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Our U.S. Source International Transportation Income would be considered effectively connected with the conduct of a U.S. trade or business only if:</w:t>
      </w:r>
    </w:p>
    <w:p>
      <w:pPr>
        <w:spacing w:after="0" w:line="25" w:lineRule="exact"/>
        <w:rPr>
          <w:sz w:val="20"/>
          <w:szCs w:val="20"/>
          <w:color w:val="auto"/>
        </w:rPr>
      </w:pPr>
    </w:p>
    <w:p>
      <w:pPr>
        <w:ind w:left="380" w:right="140" w:hanging="271"/>
        <w:spacing w:after="0" w:line="283" w:lineRule="auto"/>
        <w:tabs>
          <w:tab w:leader="none" w:pos="3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we had, or were considered to have, a fixed place of business in the United States involved in the earning of U.S. source gross transportation income; and</w:t>
      </w:r>
    </w:p>
    <w:p>
      <w:pPr>
        <w:spacing w:after="0" w:line="51" w:lineRule="exact"/>
        <w:rPr>
          <w:rFonts w:ascii="Arial" w:cs="Arial" w:eastAsia="Arial" w:hAnsi="Arial"/>
          <w:sz w:val="19"/>
          <w:szCs w:val="19"/>
          <w:color w:val="auto"/>
        </w:rPr>
      </w:pPr>
    </w:p>
    <w:p>
      <w:pPr>
        <w:ind w:right="40" w:firstLine="365"/>
        <w:spacing w:after="0" w:line="267" w:lineRule="auto"/>
        <w:tabs>
          <w:tab w:leader="none" w:pos="643" w:val="left"/>
        </w:tabs>
        <w:numPr>
          <w:ilvl w:val="1"/>
          <w:numId w:val="36"/>
        </w:numPr>
        <w:rPr>
          <w:rFonts w:ascii="Arial" w:cs="Arial" w:eastAsia="Arial" w:hAnsi="Arial"/>
          <w:sz w:val="19"/>
          <w:szCs w:val="19"/>
          <w:color w:val="auto"/>
        </w:rPr>
      </w:pPr>
      <w:r>
        <w:rPr>
          <w:rFonts w:ascii="Arial" w:cs="Arial" w:eastAsia="Arial" w:hAnsi="Arial"/>
          <w:sz w:val="19"/>
          <w:szCs w:val="19"/>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68"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Taxation of Gain on Sale of Shipping Assets</w:t>
      </w:r>
    </w:p>
    <w:p>
      <w:pPr>
        <w:spacing w:after="0" w:line="119" w:lineRule="exact"/>
        <w:rPr>
          <w:sz w:val="20"/>
          <w:szCs w:val="20"/>
          <w:color w:val="auto"/>
        </w:rPr>
      </w:pPr>
    </w:p>
    <w:p>
      <w:pPr>
        <w:ind w:right="100"/>
        <w:spacing w:after="0" w:line="344" w:lineRule="auto"/>
        <w:rPr>
          <w:sz w:val="20"/>
          <w:szCs w:val="20"/>
          <w:color w:val="auto"/>
        </w:rPr>
      </w:pPr>
      <w:r>
        <w:rPr>
          <w:rFonts w:ascii="Arial" w:cs="Arial" w:eastAsia="Arial" w:hAnsi="Arial"/>
          <w:sz w:val="17"/>
          <w:szCs w:val="17"/>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9" w:name="page50"/>
    <w:bookmarkEnd w:id="49"/>
    <w:p>
      <w:pPr>
        <w:jc w:val="both"/>
        <w:ind w:right="100"/>
        <w:spacing w:after="0" w:line="267" w:lineRule="auto"/>
        <w:rPr>
          <w:sz w:val="20"/>
          <w:szCs w:val="20"/>
          <w:color w:val="auto"/>
        </w:rPr>
      </w:pPr>
      <w:r>
        <w:rPr>
          <w:rFonts w:ascii="Arial" w:cs="Arial" w:eastAsia="Arial" w:hAnsi="Arial"/>
          <w:sz w:val="19"/>
          <w:szCs w:val="19"/>
          <w:color w:val="auto"/>
        </w:rPr>
        <w:t>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Federal Income Taxation of U.S. Holders</w:t>
      </w:r>
    </w:p>
    <w:p>
      <w:pPr>
        <w:spacing w:after="0" w:line="125" w:lineRule="exact"/>
        <w:rPr>
          <w:sz w:val="20"/>
          <w:szCs w:val="20"/>
          <w:color w:val="auto"/>
        </w:rPr>
      </w:pPr>
    </w:p>
    <w:p>
      <w:pPr>
        <w:jc w:val="both"/>
        <w:ind w:right="80" w:firstLine="357"/>
        <w:spacing w:after="0" w:line="283" w:lineRule="auto"/>
        <w:rPr>
          <w:sz w:val="20"/>
          <w:szCs w:val="20"/>
          <w:color w:val="auto"/>
        </w:rPr>
      </w:pPr>
      <w:r>
        <w:rPr>
          <w:rFonts w:ascii="Arial" w:cs="Arial" w:eastAsia="Arial" w:hAnsi="Arial"/>
          <w:sz w:val="19"/>
          <w:szCs w:val="19"/>
          <w:color w:val="auto"/>
        </w:rPr>
        <w:t>As used herein, the term “U.S. Holder” means a beneficial owner of our common units that owns (actually or constructively) less than 10.0% of our equity and that is:</w:t>
      </w:r>
    </w:p>
    <w:p>
      <w:pPr>
        <w:spacing w:after="0" w:line="25" w:lineRule="exact"/>
        <w:rPr>
          <w:sz w:val="20"/>
          <w:szCs w:val="20"/>
          <w:color w:val="auto"/>
        </w:rPr>
      </w:pPr>
    </w:p>
    <w:p>
      <w:pPr>
        <w:ind w:left="540" w:hanging="168"/>
        <w:spacing w:after="0"/>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 individual U.S. citizen or resident (as determined for U.S. federal income tax purposes),</w:t>
      </w:r>
    </w:p>
    <w:p>
      <w:pPr>
        <w:spacing w:after="0" w:line="105" w:lineRule="exact"/>
        <w:rPr>
          <w:rFonts w:ascii="Arial" w:cs="Arial" w:eastAsia="Arial" w:hAnsi="Arial"/>
          <w:sz w:val="19"/>
          <w:szCs w:val="19"/>
          <w:color w:val="auto"/>
        </w:rPr>
      </w:pPr>
    </w:p>
    <w:p>
      <w:pPr>
        <w:ind w:left="540" w:right="20" w:hanging="168"/>
        <w:spacing w:after="0" w:line="283" w:lineRule="auto"/>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corporation (or other entity that is classified as a corporation for U.S. federal income tax purposes) organized under the laws of the United States, any state thereof or the District of Columbia,</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 estate the income of which is subject to U.S. federal income taxation regardless of its source, or</w:t>
      </w:r>
    </w:p>
    <w:p>
      <w:pPr>
        <w:spacing w:after="0" w:line="105" w:lineRule="exact"/>
        <w:rPr>
          <w:rFonts w:ascii="Arial" w:cs="Arial" w:eastAsia="Arial" w:hAnsi="Arial"/>
          <w:sz w:val="19"/>
          <w:szCs w:val="19"/>
          <w:color w:val="auto"/>
        </w:rPr>
      </w:pPr>
    </w:p>
    <w:p>
      <w:pPr>
        <w:ind w:left="540" w:hanging="168"/>
        <w:spacing w:after="0" w:line="267" w:lineRule="auto"/>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w:t>
      </w:r>
    </w:p>
    <w:p>
      <w:pPr>
        <w:spacing w:after="0" w:line="119"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Subject to the discussion below of the rules applicable to PFICs, any distributions to a U.S. Holder made by us with respect to our common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and thereafter as capital gain. U.S. Holders that are corporations generally will not be entitled to claim dividends received deduction with respect to distributions they receive from us because we are not a U.S. corporation. Dividends received with respect to our common units generally will be treated as foreign source “passive category income” for purposes of computing allowable foreign tax credits for U.S. federal income tax purposes.</w:t>
      </w:r>
    </w:p>
    <w:p>
      <w:pPr>
        <w:spacing w:after="0" w:line="77" w:lineRule="exact"/>
        <w:rPr>
          <w:sz w:val="20"/>
          <w:szCs w:val="20"/>
          <w:color w:val="auto"/>
        </w:rPr>
      </w:pPr>
    </w:p>
    <w:p>
      <w:pPr>
        <w:ind w:right="20" w:firstLine="357"/>
        <w:spacing w:after="0" w:line="270" w:lineRule="auto"/>
        <w:rPr>
          <w:sz w:val="20"/>
          <w:szCs w:val="20"/>
          <w:color w:val="auto"/>
        </w:rPr>
      </w:pPr>
      <w:r>
        <w:rPr>
          <w:rFonts w:ascii="Arial" w:cs="Arial" w:eastAsia="Arial" w:hAnsi="Arial"/>
          <w:sz w:val="18"/>
          <w:szCs w:val="18"/>
          <w:color w:val="auto"/>
        </w:rPr>
        <w:t>Dividends received with respect to our common units by a U.S. Holder that is an individual, trust or estate, or a “U.S. Individual Holder”, generally will be treated as “qualified dividend income”, which is taxable to such U.S. Individual Holder at preferential tax rates provided that: (i) our common units are readily tradable on an established securities market in the United States (such as the New York Stock Exchange on which we expect our common units to be traded); (ii) we are not a PFIC for the taxable year during which the dividend is paid or the immediately preceding taxable year (which we do not believe we are, have been or will be, as discussed below under “—PFIC Status and Significant Tax Consequences”); (iii) the U.S. Individual Holder has owned the common units for more than 60 days during the 121-day period beginning 60 days before the date on which the common units become ex-dividend (and has not entered into certain risk limiting transactions with respect to such common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at ordinary income rates to a U.S. Individual Holder.</w:t>
      </w:r>
    </w:p>
    <w:p>
      <w:pPr>
        <w:spacing w:after="0" w:line="72"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color w:val="auto"/>
        </w:rPr>
        <w:t>Special rules may apply to any amounts received in respect of our common units that are treated as “extraordinary dividends”. In general, an extraordinary dividend is a dividend with respect to a common unit that is equal to or in excess of 10.0% of a unitholder’s adjusted tax basis (or fair market value upon the unitholder’s election) in such common unit. In addition, extraordinary dividends include dividends received within a one-year period that, in the aggregate, equal or exceed 20.0% of a unitholder’s adjusted tax basis (or fair market value). If we pay an “extraordinary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0" w:name="page51"/>
    <w:bookmarkEnd w:id="50"/>
    <w:p>
      <w:pPr>
        <w:ind w:right="120"/>
        <w:spacing w:after="0" w:line="283" w:lineRule="auto"/>
        <w:rPr>
          <w:sz w:val="20"/>
          <w:szCs w:val="20"/>
          <w:color w:val="auto"/>
        </w:rPr>
      </w:pPr>
      <w:r>
        <w:rPr>
          <w:rFonts w:ascii="Arial" w:cs="Arial" w:eastAsia="Arial" w:hAnsi="Arial"/>
          <w:sz w:val="19"/>
          <w:szCs w:val="19"/>
          <w:color w:val="auto"/>
        </w:rPr>
        <w:t>dividend” on our common units that is treated as “qualified dividend income”, then any loss recognized by a U.S. Individual Holder from the sale or exchange of such common units will be treated as long-term capital loss to the extent of the amount of such dividend.</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 Exchange or Other Disposition of Common Units</w:t>
      </w:r>
    </w:p>
    <w:p>
      <w:pPr>
        <w:spacing w:after="0" w:line="119"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Medicare Tax on Net Investment Income</w:t>
      </w:r>
    </w:p>
    <w:p>
      <w:pPr>
        <w:spacing w:after="0" w:line="119" w:lineRule="exact"/>
        <w:rPr>
          <w:sz w:val="20"/>
          <w:szCs w:val="20"/>
          <w:color w:val="auto"/>
        </w:rPr>
      </w:pPr>
    </w:p>
    <w:p>
      <w:pPr>
        <w:ind w:right="140" w:firstLine="357"/>
        <w:spacing w:after="0" w:line="258" w:lineRule="auto"/>
        <w:rPr>
          <w:sz w:val="20"/>
          <w:szCs w:val="20"/>
          <w:color w:val="auto"/>
        </w:rPr>
      </w:pPr>
      <w:r>
        <w:rPr>
          <w:rFonts w:ascii="Arial" w:cs="Arial" w:eastAsia="Arial" w:hAnsi="Arial"/>
          <w:sz w:val="19"/>
          <w:szCs w:val="19"/>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PFIC Status and Significant Tax Consequences</w:t>
      </w:r>
    </w:p>
    <w:p>
      <w:pPr>
        <w:spacing w:after="0" w:line="119"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Adverse U.S. federal income tax rules apply to a U.S. Holder that owns an equity interest in a non-U.S. corporation that is classified as a PFIC for U.S. federal income tax purposes. In general, we will be treated as a PFIC with respect to a U.S. Holder if, for any taxable year in which the holder held our units, either:</w:t>
      </w:r>
    </w:p>
    <w:p>
      <w:pPr>
        <w:spacing w:after="0" w:line="54" w:lineRule="exact"/>
        <w:rPr>
          <w:sz w:val="20"/>
          <w:szCs w:val="20"/>
          <w:color w:val="auto"/>
        </w:rPr>
      </w:pPr>
    </w:p>
    <w:p>
      <w:pPr>
        <w:ind w:left="540" w:right="120" w:hanging="168"/>
        <w:spacing w:after="0" w:line="267" w:lineRule="auto"/>
        <w:tabs>
          <w:tab w:leader="none" w:pos="5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at least 75.0% of our gross income (including the gross income of our vessel-owning subsidiaries) for such taxable year consists of passive income (</w:t>
      </w:r>
      <w:r>
        <w:rPr>
          <w:rFonts w:ascii="Arial" w:cs="Arial" w:eastAsia="Arial" w:hAnsi="Arial"/>
          <w:sz w:val="19"/>
          <w:szCs w:val="19"/>
          <w:i w:val="1"/>
          <w:iCs w:val="1"/>
          <w:color w:val="auto"/>
        </w:rPr>
        <w:t>e.g.</w:t>
      </w:r>
      <w:r>
        <w:rPr>
          <w:rFonts w:ascii="Arial" w:cs="Arial" w:eastAsia="Arial" w:hAnsi="Arial"/>
          <w:sz w:val="19"/>
          <w:szCs w:val="19"/>
          <w:color w:val="auto"/>
        </w:rPr>
        <w:t>, dividends, interest, capital gains from the sale or exchange of investment property and rents derived other than in the active conduct of a rental business); or</w:t>
      </w:r>
    </w:p>
    <w:p>
      <w:pPr>
        <w:spacing w:after="0" w:line="54"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at least 50.0% of the average value of the assets held by us (including the assets of our vessel-owning subsidiaries) during such taxable year produce, or are held for the production of, passive income.</w:t>
      </w:r>
    </w:p>
    <w:p>
      <w:pPr>
        <w:spacing w:after="0" w:line="52" w:lineRule="exact"/>
        <w:rPr>
          <w:sz w:val="20"/>
          <w:szCs w:val="20"/>
          <w:color w:val="auto"/>
        </w:rPr>
      </w:pPr>
    </w:p>
    <w:p>
      <w:pPr>
        <w:jc w:val="both"/>
        <w:ind w:right="220" w:firstLine="357"/>
        <w:spacing w:after="0" w:line="267" w:lineRule="auto"/>
        <w:rPr>
          <w:sz w:val="20"/>
          <w:szCs w:val="20"/>
          <w:color w:val="auto"/>
        </w:rPr>
      </w:pPr>
      <w:r>
        <w:rPr>
          <w:rFonts w:ascii="Arial" w:cs="Arial" w:eastAsia="Arial" w:hAnsi="Arial"/>
          <w:sz w:val="19"/>
          <w:szCs w:val="19"/>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68"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Based on our past, current and projected methods of operation, and an opinion of counsel, we do not believe that we were, are or will be a PFIC for any of previous taxable years or for our current or any future taxable year. We have received opinions of our U.S. counsel, Cravath, Swaine &amp; Moore LLP, in support of this position that conclude that the income our subsidiaries earn from certain of our time-chartering activities should not constitute passive income for purposes of determining whether we are a PFIC. In addition, we have represented to our U.S. counsel that more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1" w:name="page52"/>
    <w:bookmarkEnd w:id="51"/>
    <w:p>
      <w:pPr>
        <w:spacing w:after="0" w:line="297" w:lineRule="auto"/>
        <w:rPr>
          <w:sz w:val="20"/>
          <w:szCs w:val="20"/>
          <w:color w:val="auto"/>
        </w:rPr>
      </w:pPr>
      <w:r>
        <w:rPr>
          <w:rFonts w:ascii="Arial" w:cs="Arial" w:eastAsia="Arial" w:hAnsi="Arial"/>
          <w:sz w:val="17"/>
          <w:szCs w:val="17"/>
          <w:color w:val="auto"/>
        </w:rPr>
        <w:t>than 25.0% of our gross income for each of our previous taxable years arose and that we expect that more than 25.0% of our gross income for our current and each future taxable year will arise from such time-chartering activities, and more than 50.0% of the average value of our assets for each such year was or will be held for the production of such nonpassive income. Assuming the composition of our income and assets is consistent with these representations, and assuming the accuracy of other representations we have made to our U.S. counsel for purposes of their opinion, our U.S. counsel is of the opinion that we should not be a PFIC any of our previous taxable years or for our current or any future taxable year.</w:t>
      </w:r>
    </w:p>
    <w:p>
      <w:pPr>
        <w:spacing w:after="0" w:line="46"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 xml:space="preserve">Our counsel has indicated to us that the conclusions described above are not free from doubt. While there is legal authority supporting our conclusions, including IRS pronouncements concerning the characterization of income derived from time charters as services income, the United States Court of Appeals for the Fifth Circuit (or the Fifth Circuit) held in </w:t>
      </w:r>
      <w:r>
        <w:rPr>
          <w:rFonts w:ascii="Arial" w:cs="Arial" w:eastAsia="Arial" w:hAnsi="Arial"/>
          <w:sz w:val="19"/>
          <w:szCs w:val="19"/>
          <w:i w:val="1"/>
          <w:iCs w:val="1"/>
          <w:color w:val="auto"/>
        </w:rPr>
        <w:t>Tidewater Inc. v. United States,</w:t>
      </w:r>
      <w:r>
        <w:rPr>
          <w:rFonts w:ascii="Arial" w:cs="Arial" w:eastAsia="Arial" w:hAnsi="Arial"/>
          <w:sz w:val="19"/>
          <w:szCs w:val="19"/>
          <w:color w:val="auto"/>
        </w:rPr>
        <w:t xml:space="preserve">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Tidewater case and, at the same time, announced the position of the IRS that the marine time charter agreements at issue in that case should be treated as service contracts.</w:t>
      </w:r>
    </w:p>
    <w:p>
      <w:pPr>
        <w:spacing w:after="0" w:line="83" w:lineRule="exact"/>
        <w:rPr>
          <w:sz w:val="20"/>
          <w:szCs w:val="20"/>
          <w:color w:val="auto"/>
        </w:rPr>
      </w:pPr>
    </w:p>
    <w:p>
      <w:pPr>
        <w:ind w:right="60" w:firstLine="357"/>
        <w:spacing w:after="0" w:line="292" w:lineRule="auto"/>
        <w:rPr>
          <w:sz w:val="20"/>
          <w:szCs w:val="20"/>
          <w:color w:val="auto"/>
        </w:rPr>
      </w:pPr>
      <w:r>
        <w:rPr>
          <w:rFonts w:ascii="Arial" w:cs="Arial" w:eastAsia="Arial" w:hAnsi="Arial"/>
          <w:sz w:val="17"/>
          <w:szCs w:val="17"/>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taxable year, we cannot assure unitholders that the nature of our operations will not change in the future and that we will not become a PFIC in any future taxable year.</w:t>
      </w:r>
    </w:p>
    <w:p>
      <w:pPr>
        <w:spacing w:after="0" w:line="50"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As discussed more fully below, if we were to be treated as a PFIC for any taxable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PFIC units even if we are not a PFIC in a subsequent year and, if the total value of all PFIC stock that such holder directly or indirectly owns exceeds certain thresholds, such holder must file an annual report with the IRS.</w:t>
      </w:r>
    </w:p>
    <w:p>
      <w:pPr>
        <w:spacing w:after="0" w:line="63"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PFIC rules are complex, and you are encouraged to consult your own tax advisor regarding the PFIC rules, including the annual PFIC reporting requirement.</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Taxation of U.S. Holders Making a Timely QEF Election</w:t>
      </w:r>
    </w:p>
    <w:p>
      <w:pPr>
        <w:spacing w:after="0" w:line="119" w:lineRule="exact"/>
        <w:rPr>
          <w:sz w:val="20"/>
          <w:szCs w:val="20"/>
          <w:color w:val="auto"/>
        </w:rPr>
      </w:pPr>
    </w:p>
    <w:p>
      <w:pPr>
        <w:ind w:right="120" w:firstLine="357"/>
        <w:spacing w:after="0" w:line="277" w:lineRule="auto"/>
        <w:rPr>
          <w:sz w:val="20"/>
          <w:szCs w:val="20"/>
          <w:color w:val="auto"/>
        </w:rPr>
      </w:pPr>
      <w:r>
        <w:rPr>
          <w:rFonts w:ascii="Arial" w:cs="Arial" w:eastAsia="Arial" w:hAnsi="Arial"/>
          <w:sz w:val="18"/>
          <w:szCs w:val="18"/>
          <w:color w:val="auto"/>
        </w:rPr>
        <w:t>If we were to be treated as a PFIC for any taxable year, and a U.S. Holder makes a timely QEF election, such holder hereinafter an “Electing Holder”, then, for U.S. federal income tax purposes, that holder must report as income for its taxable year its pro rata share of our ordinary earnings and net capital gain, if any, for our taxable years that end with or within the taxable year for which that holder is reporting, regardless of whether or not the Electing Holder received distributions from us in that year. The Electing Holder’s adjusted tax basis in the common units will be increased to reflect taxed but undistributed earnings and profits. Distributions of earnings and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2" w:name="page53"/>
    <w:bookmarkEnd w:id="52"/>
    <w:p>
      <w:pPr>
        <w:ind w:right="60"/>
        <w:spacing w:after="0" w:line="273" w:lineRule="auto"/>
        <w:rPr>
          <w:sz w:val="20"/>
          <w:szCs w:val="20"/>
          <w:color w:val="auto"/>
        </w:rPr>
      </w:pPr>
      <w:r>
        <w:rPr>
          <w:rFonts w:ascii="Arial" w:cs="Arial" w:eastAsia="Arial" w:hAnsi="Arial"/>
          <w:sz w:val="18"/>
          <w:szCs w:val="18"/>
          <w:color w:val="auto"/>
        </w:rPr>
        <w:t>profits that were previously taxed will result in a corresponding reduction in the Electing Holder’s adjusted tax basis in common units and will not be taxed again once distributed. An Electing Holder generally will recognize capital gain or loss on the sale, exchange or other disposition of our common units. A U.S. Holder makes a QEF election with respect to any year that we are a PFIC by filing IRS Form 8621 with its U.S. federal income tax return. If, contrary to our expectations, we determine that we are treated as a PFIC for any taxable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Taxation of U.S. Holders Making a “Mark-to-Market” Election</w:t>
      </w:r>
    </w:p>
    <w:p>
      <w:pPr>
        <w:spacing w:after="0" w:line="119"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If we were to be treated as a PFIC for any taxable year and, as we anticipate, our units were treated as “marketable stock”, then, as an alternative to making a QEF election,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common units at the end of the taxable year over the holder’s adjusted tax basis in the common units. The U.S. Holder also would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its common units would be adjusted to reflect any such income or loss recognized. Gain recognized on the sale, exchange or other disposition of our common units would be treated as ordinary income, and any loss recognized on the sale, exchange or other disposition of the common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Taxation of U.S. Holders Not Making a Timely QEF or Mark-to-Market Election</w:t>
      </w:r>
    </w:p>
    <w:p>
      <w:pPr>
        <w:spacing w:after="0" w:line="119" w:lineRule="exact"/>
        <w:rPr>
          <w:sz w:val="20"/>
          <w:szCs w:val="20"/>
          <w:color w:val="auto"/>
        </w:rPr>
      </w:pPr>
    </w:p>
    <w:p>
      <w:pPr>
        <w:ind w:right="20" w:firstLine="357"/>
        <w:spacing w:after="0" w:line="291" w:lineRule="auto"/>
        <w:rPr>
          <w:sz w:val="20"/>
          <w:szCs w:val="20"/>
          <w:color w:val="auto"/>
        </w:rPr>
      </w:pPr>
      <w:r>
        <w:rPr>
          <w:rFonts w:ascii="Arial" w:cs="Arial" w:eastAsia="Arial" w:hAnsi="Arial"/>
          <w:sz w:val="17"/>
          <w:szCs w:val="17"/>
          <w:color w:val="auto"/>
        </w:rPr>
        <w:t>If we were to be treated as a PFIC for any taxable year, a U.S. Holder that does not make either a QEF election or a “mark-to-market” election for that year, such holder hereinafter a “Non-Electing Holder”, would be subject to special rules resulting in increased tax liability with respect to</w:t>
      </w:r>
    </w:p>
    <w:p>
      <w:pPr>
        <w:spacing w:after="0" w:line="1" w:lineRule="exact"/>
        <w:rPr>
          <w:sz w:val="20"/>
          <w:szCs w:val="20"/>
          <w:color w:val="auto"/>
        </w:rPr>
      </w:pPr>
    </w:p>
    <w:p>
      <w:pPr>
        <w:ind w:right="80" w:firstLine="8"/>
        <w:spacing w:after="0" w:line="256" w:lineRule="auto"/>
        <w:tabs>
          <w:tab w:leader="none" w:pos="275"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excess distribution (</w:t>
      </w:r>
      <w:r>
        <w:rPr>
          <w:rFonts w:ascii="Arial" w:cs="Arial" w:eastAsia="Arial" w:hAnsi="Arial"/>
          <w:sz w:val="19"/>
          <w:szCs w:val="19"/>
          <w:i w:val="1"/>
          <w:iCs w:val="1"/>
          <w:color w:val="auto"/>
        </w:rPr>
        <w:t>i.e.</w:t>
      </w:r>
      <w:r>
        <w:rPr>
          <w:rFonts w:ascii="Arial" w:cs="Arial" w:eastAsia="Arial" w:hAnsi="Arial"/>
          <w:sz w:val="19"/>
          <w:szCs w:val="19"/>
          <w:color w:val="auto"/>
        </w:rPr>
        <w:t>, the portion of any distributions received by the Non-Electing Holder on our common units in a taxable year in excess of 125.0% of the average annual distributions received by the Non-Electing Holder in the three preceding taxable years, or, if shorter, the portion of the Non-Electing Holder’s holding period for the common units before the taxable year) and (2) any gain realized on the sale, exchange or other disposition of the units. Under these special rules:</w:t>
      </w:r>
    </w:p>
    <w:p>
      <w:pPr>
        <w:spacing w:after="0" w:line="64" w:lineRule="exact"/>
        <w:rPr>
          <w:rFonts w:ascii="Arial" w:cs="Arial" w:eastAsia="Arial" w:hAnsi="Arial"/>
          <w:sz w:val="19"/>
          <w:szCs w:val="19"/>
          <w:color w:val="auto"/>
        </w:rPr>
      </w:pPr>
    </w:p>
    <w:p>
      <w:pPr>
        <w:ind w:left="540" w:hanging="168"/>
        <w:spacing w:after="0"/>
        <w:tabs>
          <w:tab w:leader="none" w:pos="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Holder’s aggregate holding period for the common units;</w:t>
      </w:r>
    </w:p>
    <w:p>
      <w:pPr>
        <w:spacing w:after="0" w:line="117" w:lineRule="exact"/>
        <w:rPr>
          <w:rFonts w:ascii="Arial" w:cs="Arial" w:eastAsia="Arial" w:hAnsi="Arial"/>
          <w:sz w:val="18"/>
          <w:szCs w:val="18"/>
          <w:color w:val="auto"/>
        </w:rPr>
      </w:pPr>
    </w:p>
    <w:p>
      <w:pPr>
        <w:ind w:left="540" w:right="20" w:hanging="168"/>
        <w:spacing w:after="0" w:line="283" w:lineRule="auto"/>
        <w:tabs>
          <w:tab w:leader="none" w:pos="54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amount allocated to the current taxable year and any taxable year prior to the taxable year we were first treated as a PFIC with respect to the Non-Electing Holder would be taxed as ordinary income; and</w:t>
      </w:r>
    </w:p>
    <w:p>
      <w:pPr>
        <w:spacing w:after="0" w:line="38" w:lineRule="exact"/>
        <w:rPr>
          <w:rFonts w:ascii="Arial" w:cs="Arial" w:eastAsia="Arial" w:hAnsi="Arial"/>
          <w:sz w:val="19"/>
          <w:szCs w:val="19"/>
          <w:color w:val="auto"/>
        </w:rPr>
      </w:pPr>
    </w:p>
    <w:p>
      <w:pPr>
        <w:ind w:left="540" w:right="20" w:hanging="168"/>
        <w:spacing w:after="0" w:line="267" w:lineRule="auto"/>
        <w:tabs>
          <w:tab w:leader="none" w:pos="54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68"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These penalties would not apply to a qualified pension, profit sharing or other retirement trust or other tax-exempt organization that did not borrow money or otherwise utilize leverage in</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3" w:name="page54"/>
    <w:bookmarkEnd w:id="53"/>
    <w:p>
      <w:pPr>
        <w:ind w:right="40"/>
        <w:spacing w:after="0" w:line="313" w:lineRule="auto"/>
        <w:rPr>
          <w:sz w:val="20"/>
          <w:szCs w:val="20"/>
          <w:color w:val="auto"/>
        </w:rPr>
      </w:pPr>
      <w:r>
        <w:rPr>
          <w:rFonts w:ascii="Arial" w:cs="Arial" w:eastAsia="Arial" w:hAnsi="Arial"/>
          <w:sz w:val="17"/>
          <w:szCs w:val="17"/>
          <w:color w:val="auto"/>
        </w:rPr>
        <w:t>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 A Non-Electing Holder may be required to report its ownership of our units by filing IRS Form 8621 with its U.S. federal income tax return.</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Federal Income Taxation of Non-U.S. Holders</w:t>
      </w:r>
    </w:p>
    <w:p>
      <w:pPr>
        <w:spacing w:after="0" w:line="119"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A beneficial owner of our common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you are encouraged to consult your own tax advisor regarding the tax consequences to you of the partnership’s ownership of our common units.</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w:t>
      </w:r>
    </w:p>
    <w:p>
      <w:pPr>
        <w:spacing w:after="0" w:line="119" w:lineRule="exact"/>
        <w:rPr>
          <w:sz w:val="20"/>
          <w:szCs w:val="20"/>
          <w:color w:val="auto"/>
        </w:rPr>
      </w:pPr>
    </w:p>
    <w:p>
      <w:pPr>
        <w:ind w:right="120" w:firstLine="357"/>
        <w:spacing w:after="0" w:line="277"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if the income arising from the distribution is not attributable to a U.S. permanent establishment maintained by the Non-U.S. Holder.</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Disposition of Units</w:t>
      </w:r>
    </w:p>
    <w:p>
      <w:pPr>
        <w:spacing w:after="0" w:line="119" w:lineRule="exact"/>
        <w:rPr>
          <w:sz w:val="20"/>
          <w:szCs w:val="20"/>
          <w:color w:val="auto"/>
        </w:rPr>
      </w:pPr>
    </w:p>
    <w:p>
      <w:pPr>
        <w:ind w:right="40" w:firstLine="357"/>
        <w:spacing w:after="0" w:line="273" w:lineRule="auto"/>
        <w:rPr>
          <w:sz w:val="20"/>
          <w:szCs w:val="20"/>
          <w:color w:val="auto"/>
        </w:rPr>
      </w:pPr>
      <w:r>
        <w:rPr>
          <w:rFonts w:ascii="Arial" w:cs="Arial" w:eastAsia="Arial" w:hAnsi="Arial"/>
          <w:sz w:val="18"/>
          <w:szCs w:val="18"/>
          <w:color w:val="auto"/>
        </w:rPr>
        <w:t>In general, a Non-U.S. Holder is not subject to U.S. federal income tax or withholding tax on any gain resulting from the disposition of our common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common units if they are present in the United States for 183 days or more during the taxable year in which those units are disposed and meet certain other requirements.</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Backup Withholding and Information Reporting</w:t>
      </w:r>
    </w:p>
    <w:p>
      <w:pPr>
        <w:spacing w:after="0" w:line="125" w:lineRule="exact"/>
        <w:rPr>
          <w:sz w:val="20"/>
          <w:szCs w:val="20"/>
          <w:color w:val="auto"/>
        </w:rPr>
      </w:pPr>
    </w:p>
    <w:p>
      <w:pPr>
        <w:ind w:right="520" w:firstLine="357"/>
        <w:spacing w:after="0" w:line="339" w:lineRule="auto"/>
        <w:rPr>
          <w:sz w:val="20"/>
          <w:szCs w:val="20"/>
          <w:color w:val="auto"/>
        </w:rPr>
      </w:pPr>
      <w:r>
        <w:rPr>
          <w:rFonts w:ascii="Arial" w:cs="Arial" w:eastAsia="Arial" w:hAnsi="Arial"/>
          <w:sz w:val="17"/>
          <w:szCs w:val="17"/>
          <w:color w:val="auto"/>
        </w:rPr>
        <w:t>In general, payments to a U.S. Individual Holder of distributions or the proceeds of a disposition of common units will be subject to information reporting. These payments to a U.S. Individual Holder also may be subject to backup withholding if the U.S. Individual Holder:</w:t>
      </w:r>
    </w:p>
    <w:p>
      <w:pPr>
        <w:spacing w:after="0" w:line="2" w:lineRule="exact"/>
        <w:rPr>
          <w:sz w:val="20"/>
          <w:szCs w:val="20"/>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fails to provide an accurate taxpayer identification number;</w:t>
      </w:r>
    </w:p>
    <w:p>
      <w:pPr>
        <w:spacing w:after="0" w:line="92" w:lineRule="exact"/>
        <w:rPr>
          <w:rFonts w:ascii="Arial" w:cs="Arial" w:eastAsia="Arial" w:hAnsi="Arial"/>
          <w:sz w:val="19"/>
          <w:szCs w:val="19"/>
          <w:color w:val="auto"/>
        </w:rPr>
      </w:pPr>
    </w:p>
    <w:p>
      <w:pPr>
        <w:ind w:left="540" w:right="180" w:hanging="168"/>
        <w:spacing w:after="0" w:line="283" w:lineRule="auto"/>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is notified by the IRS that it has failed to report all interest or corporate distributions required to be reported on its U.S. federal income tax returns; or</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 certain circumstances, fails to comply with applicable certification requirements.</w:t>
      </w:r>
    </w:p>
    <w:p>
      <w:pPr>
        <w:spacing w:after="0" w:line="133"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Non-U.S. Holders may be required to establish their exemption from information reporting and backup withholding by certifying their status on IRS Form W-8BEN, W-8BEN-E, W-8ECI or W-8IMY, as applicable.</w:t>
      </w:r>
    </w:p>
    <w:p>
      <w:pPr>
        <w:spacing w:after="0" w:line="38"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4" w:name="page55"/>
    <w:bookmarkEnd w:id="54"/>
    <w:p>
      <w:pPr>
        <w:ind w:firstLine="357"/>
        <w:spacing w:after="0" w:line="281" w:lineRule="auto"/>
        <w:rPr>
          <w:sz w:val="20"/>
          <w:szCs w:val="20"/>
          <w:color w:val="auto"/>
        </w:rPr>
      </w:pPr>
      <w:r>
        <w:rPr>
          <w:rFonts w:ascii="Arial" w:cs="Arial" w:eastAsia="Arial" w:hAnsi="Arial"/>
          <w:sz w:val="18"/>
          <w:szCs w:val="18"/>
          <w:color w:val="auto"/>
        </w:rPr>
        <w:t>U.S. Holders purchasing more than $100,000 of our common units in this offering may be required to file IRS Form 926 reporting such payment. For purposes of determining the total dollar value of common units purchased by a U.S. Holder in this offering, units purchased by certain related parties (including family members) are included. Substantial penalties may be imposed upon a U.S. Holder that fails to comply with this reporting obligation. Each U.S. Holder is encouraged to consult its own tax advisor as to the possible obligation to file IRS Form 926.</w:t>
      </w:r>
    </w:p>
    <w:p>
      <w:pPr>
        <w:spacing w:after="0" w:line="57"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Unitholders are encouraged to consult their tax advisors regarding their reporting obligations, if any, that would result from their purchase, ownership or disposition of our units.</w:t>
      </w:r>
    </w:p>
    <w:p>
      <w:pPr>
        <w:spacing w:after="0" w:line="286" w:lineRule="exact"/>
        <w:rPr>
          <w:sz w:val="20"/>
          <w:szCs w:val="20"/>
          <w:color w:val="auto"/>
        </w:rPr>
      </w:pPr>
    </w:p>
    <w:p>
      <w:pPr>
        <w:ind w:left="3580"/>
        <w:spacing w:after="0"/>
        <w:rPr>
          <w:sz w:val="20"/>
          <w:szCs w:val="20"/>
          <w:color w:val="auto"/>
        </w:rPr>
      </w:pPr>
      <w:r>
        <w:rPr>
          <w:rFonts w:ascii="Arial" w:cs="Arial" w:eastAsia="Arial" w:hAnsi="Arial"/>
          <w:sz w:val="19"/>
          <w:szCs w:val="19"/>
          <w:b w:val="1"/>
          <w:bCs w:val="1"/>
          <w:color w:val="auto"/>
        </w:rPr>
        <w:t>NON-UNITED STATES TAX CONSIDERATIONS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Unless the context otherwise requires, references in this section to “we”, “our” or “us” are references to GasLog Partners LP.</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Marshall Islands Tax Consequences</w:t>
      </w:r>
    </w:p>
    <w:p>
      <w:pPr>
        <w:spacing w:after="0" w:line="125"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 following discussion is based upon the opinion of Cozen O’Connor,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68" w:lineRule="exact"/>
        <w:rPr>
          <w:sz w:val="20"/>
          <w:szCs w:val="20"/>
          <w:color w:val="auto"/>
        </w:rPr>
      </w:pPr>
    </w:p>
    <w:p>
      <w:pPr>
        <w:ind w:right="100" w:firstLine="357"/>
        <w:spacing w:after="0" w:line="257" w:lineRule="auto"/>
        <w:rPr>
          <w:sz w:val="20"/>
          <w:szCs w:val="20"/>
          <w:color w:val="auto"/>
        </w:rPr>
      </w:pPr>
      <w:r>
        <w:rPr>
          <w:rFonts w:ascii="Arial" w:cs="Arial" w:eastAsia="Arial" w:hAnsi="Arial"/>
          <w:sz w:val="19"/>
          <w:szCs w:val="19"/>
          <w:color w:val="auto"/>
        </w:rPr>
        <w:t>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unitholder (so long as you are not a citizen or resident of the Marshall Islands). In addition, you will not be subject to Marshall Islands stamp, capital gains or other taxes on the purchase, ownership or disposition of common units, and you will not be required by the Republic of the Marshall Islands to file a tax return relating to your ownership of common units (so long as you are not a citizen or resident of the Marshall Islands).</w:t>
      </w:r>
    </w:p>
    <w:p>
      <w:pPr>
        <w:spacing w:after="0" w:line="77" w:lineRule="exact"/>
        <w:rPr>
          <w:sz w:val="20"/>
          <w:szCs w:val="20"/>
          <w:color w:val="auto"/>
        </w:rPr>
      </w:pPr>
    </w:p>
    <w:p>
      <w:pPr>
        <w:ind w:right="360" w:firstLine="357"/>
        <w:spacing w:after="0" w:line="312" w:lineRule="auto"/>
        <w:rPr>
          <w:sz w:val="20"/>
          <w:szCs w:val="20"/>
          <w:color w:val="auto"/>
        </w:rPr>
      </w:pPr>
      <w:r>
        <w:rPr>
          <w:rFonts w:ascii="Arial" w:cs="Arial" w:eastAsia="Arial" w:hAnsi="Arial"/>
          <w:sz w:val="18"/>
          <w:szCs w:val="18"/>
          <w:color w:val="auto"/>
        </w:rPr>
        <w:t>EACH PROSPECTIVE UNITHOLDER IS ENCOURAGED TO CONSULT ITS OWN TAX COUNSEL OR OTHER ADVISOR WITH REGARD TO THE LEGAL AND TAX CONSEQUENCES OF UNIT OWNERSHIP UNDER ITS PARTICULAR CIRCUMSTANCES.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PLAN OF DISTRIBUTION</w:t>
      </w:r>
    </w:p>
    <w:p>
      <w:pPr>
        <w:spacing w:after="0" w:line="125" w:lineRule="exact"/>
        <w:rPr>
          <w:sz w:val="20"/>
          <w:szCs w:val="20"/>
          <w:color w:val="auto"/>
        </w:rPr>
      </w:pPr>
    </w:p>
    <w:p>
      <w:pPr>
        <w:ind w:right="20" w:firstLine="357"/>
        <w:spacing w:after="0" w:line="292" w:lineRule="auto"/>
        <w:rPr>
          <w:sz w:val="20"/>
          <w:szCs w:val="20"/>
          <w:color w:val="auto"/>
        </w:rPr>
      </w:pPr>
      <w:r>
        <w:rPr>
          <w:rFonts w:ascii="Arial" w:cs="Arial" w:eastAsia="Arial" w:hAnsi="Arial"/>
          <w:sz w:val="17"/>
          <w:szCs w:val="17"/>
          <w:color w:val="auto"/>
        </w:rPr>
        <w:t>We have entered into the Equity Distribution Agreement with Citigroup Global Markets Inc., Merrill Lynch, Pierce, Fenner &amp; Smith Incorporated, Credit Suisse Securities (USA) LLC and Morgan Stanley &amp; Co. LLC, or the “Agents,” under which we may offer and sell common units representing limited partner interests in GasLog Partners LP having an aggregate offering price of up to $100 million from time to time through the Agents, as our sales agents. We have filed the Equity Distribution Agreement as an exhibit to a Report on Form 6-K, which is incorporated by reference in this prospectus supplement. The sales, if any, of common units made under the Equity Distribution Agreement will be made by means of ordinary brokers’ transactions on the New York Stock Exchange at market prices, in block transactions, or as otherwise agreed upon by the Agents and us. As sales agents, the Agents will not engage in any transactions that stabilize the price of our common units.</w:t>
      </w:r>
    </w:p>
    <w:p>
      <w:pPr>
        <w:spacing w:after="0" w:line="50"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Under the terms of the Equity Distribution Agreement, we also may sell common units to the Agents as principals for their own account at a price agreed upon at the time of sale. If we sell</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5" w:name="page56"/>
    <w:bookmarkEnd w:id="55"/>
    <w:p>
      <w:pPr>
        <w:ind w:right="580"/>
        <w:spacing w:after="0" w:line="283" w:lineRule="auto"/>
        <w:rPr>
          <w:sz w:val="20"/>
          <w:szCs w:val="20"/>
          <w:color w:val="auto"/>
        </w:rPr>
      </w:pPr>
      <w:r>
        <w:rPr>
          <w:rFonts w:ascii="Arial" w:cs="Arial" w:eastAsia="Arial" w:hAnsi="Arial"/>
          <w:sz w:val="19"/>
          <w:szCs w:val="19"/>
          <w:color w:val="auto"/>
        </w:rPr>
        <w:t>common units to the Agents as principals, we will enter into a separate agreement with the Agents, and we will describe this agreement in a separate prospectus supplement or pricing supplement.</w:t>
      </w:r>
    </w:p>
    <w:p>
      <w:pPr>
        <w:spacing w:after="0" w:line="52"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We will designate the maximum amount of common units to be sold through the Agents on a daily basis or otherwise as we and the Agents agree and the minimum price per unit at which such common units may be sold. Subject to the terms and conditions of the Equity Distribution Agreement, the Agents will use their reasonable efforts to sell on our behalf all of the designated common units. We may instruct the Agents not to sell any common units if the sales cannot be effected at or above the price designated by us in any such instruction. We or the Agents may suspend the offering of common units at any time and from time to time by notifying the other party.</w:t>
      </w:r>
    </w:p>
    <w:p>
      <w:pPr>
        <w:spacing w:after="0" w:line="77"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The Agents will provide to us written confirmation following the close of trading on the NYSE each day on which common units are sold under the Equity Distribution Agreement. Each confirmation will include the number of common units sold on that day, the gross sales proceeds, the net proceeds to us (after regulatory transaction fees, if any, but before other expenses) and the compensation payable by us to the Agents. We will report at least quarterly the number of common units sold through the Agents under the Equity Distribution Agreement, the net proceeds to us (before expenses) and the compensation paid by us to the Agents in connection with the sales of common units.</w:t>
      </w:r>
    </w:p>
    <w:p>
      <w:pPr>
        <w:spacing w:after="0" w:line="62" w:lineRule="exact"/>
        <w:rPr>
          <w:sz w:val="20"/>
          <w:szCs w:val="20"/>
          <w:color w:val="auto"/>
        </w:rPr>
      </w:pPr>
    </w:p>
    <w:p>
      <w:pPr>
        <w:ind w:right="160" w:firstLine="357"/>
        <w:spacing w:after="0" w:line="312" w:lineRule="auto"/>
        <w:rPr>
          <w:sz w:val="20"/>
          <w:szCs w:val="20"/>
          <w:color w:val="auto"/>
        </w:rPr>
      </w:pPr>
      <w:r>
        <w:rPr>
          <w:rFonts w:ascii="Arial" w:cs="Arial" w:eastAsia="Arial" w:hAnsi="Arial"/>
          <w:sz w:val="18"/>
          <w:szCs w:val="18"/>
          <w:color w:val="auto"/>
        </w:rPr>
        <w:t>We will pay the Agents a commission of up to 2.0% of the gross sales price per common units sold through it as our agents under the Equity Distribution Agreement. We have agreed to reimburse the Agents for certain of their expenses in an amount up to $150,000.</w:t>
      </w:r>
    </w:p>
    <w:p>
      <w:pPr>
        <w:spacing w:after="0" w:line="29" w:lineRule="exact"/>
        <w:rPr>
          <w:sz w:val="20"/>
          <w:szCs w:val="20"/>
          <w:color w:val="auto"/>
        </w:rPr>
      </w:pPr>
    </w:p>
    <w:p>
      <w:pPr>
        <w:jc w:val="both"/>
        <w:ind w:right="200" w:firstLine="357"/>
        <w:spacing w:after="0" w:line="289" w:lineRule="auto"/>
        <w:rPr>
          <w:sz w:val="20"/>
          <w:szCs w:val="20"/>
          <w:color w:val="auto"/>
        </w:rPr>
      </w:pPr>
      <w:r>
        <w:rPr>
          <w:rFonts w:ascii="Arial" w:cs="Arial" w:eastAsia="Arial" w:hAnsi="Arial"/>
          <w:sz w:val="18"/>
          <w:szCs w:val="18"/>
          <w:color w:val="auto"/>
        </w:rPr>
        <w:t>Settlement for sales of common units will occur (1) prior to September 5, 2017, on the third business day following the date on which such sales are made and (2) on and after September 5, 2017, on the second business day following the date on which such sales are made in return for payment of the net proceeds to us. There is no arrangement for funds to be received in an escrow, trust or similar arrangement.</w:t>
      </w:r>
    </w:p>
    <w:p>
      <w:pPr>
        <w:spacing w:after="0" w:line="49"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If we or the Agents have reason to believe that our common units are no longer an “actively-traded security” as defined under Rule 101(c)(l) of Regulation M under the U.S. Securities Exchange Act of 1934, as amended, such party will promptly notify the other and sales of common units pursuant to the Equity Distribution Agreement or any terms agreement will be suspended until, in our collective judgment, Rule 101(c)(1) or another exemptive provision has been satisfied.</w:t>
      </w:r>
    </w:p>
    <w:p>
      <w:pPr>
        <w:spacing w:after="0" w:line="59" w:lineRule="exact"/>
        <w:rPr>
          <w:sz w:val="20"/>
          <w:szCs w:val="20"/>
          <w:color w:val="auto"/>
        </w:rPr>
      </w:pPr>
    </w:p>
    <w:p>
      <w:pPr>
        <w:ind w:right="360" w:firstLine="357"/>
        <w:spacing w:after="0" w:line="344" w:lineRule="auto"/>
        <w:rPr>
          <w:sz w:val="20"/>
          <w:szCs w:val="20"/>
          <w:color w:val="auto"/>
        </w:rPr>
      </w:pPr>
      <w:r>
        <w:rPr>
          <w:rFonts w:ascii="Arial" w:cs="Arial" w:eastAsia="Arial" w:hAnsi="Arial"/>
          <w:sz w:val="17"/>
          <w:szCs w:val="17"/>
          <w:color w:val="auto"/>
        </w:rPr>
        <w:t>The offering of common units pursuant to the Equity Distribution Agreement will terminate upon the earlier of (1) the sale of all common units subject to the Equity Distribution Agreement and (2) the termination of the Equity Distribution Agreement by us or by the Agents.</w:t>
      </w:r>
    </w:p>
    <w:p>
      <w:pPr>
        <w:spacing w:after="0" w:line="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In connection with the sale of the common units on our behalf, each of the Agents may be deemed to be an “underwriter” within the meaning of the Securities Act of 1933, as amended (or the Securities Act), and the compensation paid to the Agents may be deemed to be underwriting commissions or discounts. We have agreed to provide indemnification and contribution to the Agents against certain liabilities, including liabilities under the Securities Act.</w:t>
      </w:r>
    </w:p>
    <w:p>
      <w:pPr>
        <w:spacing w:after="0" w:line="72"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The Agents and their affiliates have, from time to time, performed, and may in the future perform, various financial advisory and commercial and investment banking services for us and our affiliates, for which they have received and in the future will receive customary compensation and expense reimbursement. Affiliates of the Agents are lenders under certain of our and our affiliates’ credit facilities. To the extent we use proceeds from this offering to repay indebtedness under our credit facilities, affiliates of the Agents may receive a portion of the proceeds from this offering.</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LEGAL MATTERS</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The validity of the common units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6" w:name="page57"/>
    <w:bookmarkEnd w:id="56"/>
    <w:p>
      <w:pPr>
        <w:ind w:right="260"/>
        <w:spacing w:after="0" w:line="283" w:lineRule="auto"/>
        <w:rPr>
          <w:sz w:val="20"/>
          <w:szCs w:val="20"/>
          <w:color w:val="auto"/>
        </w:rPr>
      </w:pPr>
      <w:r>
        <w:rPr>
          <w:rFonts w:ascii="Arial" w:cs="Arial" w:eastAsia="Arial" w:hAnsi="Arial"/>
          <w:sz w:val="19"/>
          <w:szCs w:val="19"/>
          <w:color w:val="auto"/>
        </w:rPr>
        <w:t>Swaine &amp; Moore LLP, New York, New York. Certain matters with respect to this offering will be passed upon for the underwriter by Latham &amp; Watkins LLP.</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EXPERTS</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The consolidated financial statements of GasLog Partners LP as of December 31, 2015 and 2016 and for each of the three years in the period ended December 31, 2016 incorporated in this prospectus supplement by reference from the Company’s Annual Report on Form 20-F for the year ended December 31, 2016, have been audited by Deloitte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EXPENSES RELATED TO THIS OFFERING</w:t>
      </w:r>
    </w:p>
    <w:p>
      <w:pPr>
        <w:spacing w:after="0" w:line="125"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The following table sets forth the main costs and expenses, other than the underwriting discounts and commissions, in connection with this offering, which we will be required to pay.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480" w:type="dxa"/>
            <w:vAlign w:val="bottom"/>
            <w:shd w:val="clear" w:color="auto" w:fill="E5FFFF"/>
          </w:tcPr>
          <w:p>
            <w:pPr>
              <w:spacing w:after="0"/>
              <w:rPr>
                <w:sz w:val="20"/>
                <w:szCs w:val="20"/>
                <w:color w:val="auto"/>
              </w:rPr>
            </w:pPr>
            <w:r>
              <w:rPr>
                <w:rFonts w:ascii="Arial" w:cs="Arial" w:eastAsia="Arial" w:hAnsi="Arial"/>
                <w:sz w:val="19"/>
                <w:szCs w:val="19"/>
                <w:color w:val="auto"/>
              </w:rPr>
              <w:t>U.S. Securities and Exchange Commission registration fee</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9,085</w:t>
            </w:r>
          </w:p>
        </w:tc>
      </w:tr>
      <w:tr>
        <w:trPr>
          <w:trHeight w:val="243"/>
        </w:trPr>
        <w:tc>
          <w:tcPr>
            <w:tcW w:w="10480" w:type="dxa"/>
            <w:vAlign w:val="bottom"/>
          </w:tcPr>
          <w:p>
            <w:pPr>
              <w:spacing w:after="0"/>
              <w:rPr>
                <w:sz w:val="20"/>
                <w:szCs w:val="20"/>
                <w:color w:val="auto"/>
              </w:rPr>
            </w:pPr>
            <w:r>
              <w:rPr>
                <w:rFonts w:ascii="Arial" w:cs="Arial" w:eastAsia="Arial" w:hAnsi="Arial"/>
                <w:sz w:val="19"/>
                <w:szCs w:val="19"/>
                <w:color w:val="auto"/>
              </w:rPr>
              <w:t>The New York Stock Exchange listing fee</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10,000</w:t>
            </w:r>
          </w:p>
        </w:tc>
      </w:tr>
      <w:tr>
        <w:trPr>
          <w:trHeight w:val="243"/>
        </w:trPr>
        <w:tc>
          <w:tcPr>
            <w:tcW w:w="10480" w:type="dxa"/>
            <w:vAlign w:val="bottom"/>
            <w:shd w:val="clear" w:color="auto" w:fill="E5FFFF"/>
          </w:tcPr>
          <w:p>
            <w:pPr>
              <w:spacing w:after="0"/>
              <w:rPr>
                <w:sz w:val="20"/>
                <w:szCs w:val="20"/>
                <w:color w:val="auto"/>
              </w:rPr>
            </w:pPr>
            <w:r>
              <w:rPr>
                <w:rFonts w:ascii="Arial" w:cs="Arial" w:eastAsia="Arial" w:hAnsi="Arial"/>
                <w:sz w:val="19"/>
                <w:szCs w:val="19"/>
                <w:color w:val="auto"/>
              </w:rPr>
              <w:t>Legal fees and expenses</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425,000</w:t>
            </w:r>
          </w:p>
        </w:tc>
      </w:tr>
      <w:tr>
        <w:trPr>
          <w:trHeight w:val="243"/>
        </w:trPr>
        <w:tc>
          <w:tcPr>
            <w:tcW w:w="10480" w:type="dxa"/>
            <w:vAlign w:val="bottom"/>
          </w:tcPr>
          <w:p>
            <w:pPr>
              <w:spacing w:after="0"/>
              <w:rPr>
                <w:sz w:val="20"/>
                <w:szCs w:val="20"/>
                <w:color w:val="auto"/>
              </w:rPr>
            </w:pPr>
            <w:r>
              <w:rPr>
                <w:rFonts w:ascii="Arial" w:cs="Arial" w:eastAsia="Arial" w:hAnsi="Arial"/>
                <w:sz w:val="19"/>
                <w:szCs w:val="19"/>
                <w:color w:val="auto"/>
              </w:rPr>
              <w:t>Accounting fees and expenses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40,000</w:t>
            </w:r>
          </w:p>
        </w:tc>
      </w:tr>
      <w:tr>
        <w:trPr>
          <w:trHeight w:val="243"/>
        </w:trPr>
        <w:tc>
          <w:tcPr>
            <w:tcW w:w="10480" w:type="dxa"/>
            <w:vAlign w:val="bottom"/>
            <w:shd w:val="clear" w:color="auto" w:fill="E5FFFF"/>
          </w:tcPr>
          <w:p>
            <w:pPr>
              <w:spacing w:after="0"/>
              <w:rPr>
                <w:sz w:val="20"/>
                <w:szCs w:val="20"/>
                <w:color w:val="auto"/>
              </w:rPr>
            </w:pPr>
            <w:r>
              <w:rPr>
                <w:rFonts w:ascii="Arial" w:cs="Arial" w:eastAsia="Arial" w:hAnsi="Arial"/>
                <w:sz w:val="19"/>
                <w:szCs w:val="19"/>
                <w:color w:val="auto"/>
              </w:rPr>
              <w:t>Printing and engraving costs</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50,000</w:t>
            </w:r>
          </w:p>
        </w:tc>
      </w:tr>
      <w:tr>
        <w:trPr>
          <w:trHeight w:val="243"/>
        </w:trPr>
        <w:tc>
          <w:tcPr>
            <w:tcW w:w="10480" w:type="dxa"/>
            <w:vAlign w:val="bottom"/>
          </w:tcPr>
          <w:p>
            <w:pPr>
              <w:spacing w:after="0"/>
              <w:rPr>
                <w:sz w:val="20"/>
                <w:szCs w:val="20"/>
                <w:color w:val="auto"/>
              </w:rPr>
            </w:pPr>
            <w:r>
              <w:rPr>
                <w:rFonts w:ascii="Arial" w:cs="Arial" w:eastAsia="Arial" w:hAnsi="Arial"/>
                <w:sz w:val="19"/>
                <w:szCs w:val="19"/>
                <w:color w:val="auto"/>
              </w:rPr>
              <w:t>Transfer agent fees and other</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5,000</w:t>
            </w:r>
          </w:p>
        </w:tc>
      </w:tr>
      <w:tr>
        <w:trPr>
          <w:trHeight w:val="243"/>
        </w:trPr>
        <w:tc>
          <w:tcPr>
            <w:tcW w:w="10480" w:type="dxa"/>
            <w:vAlign w:val="bottom"/>
            <w:shd w:val="clear" w:color="auto" w:fill="E5FFFF"/>
          </w:tcPr>
          <w:p>
            <w:pPr>
              <w:spacing w:after="0"/>
              <w:rPr>
                <w:sz w:val="20"/>
                <w:szCs w:val="20"/>
                <w:color w:val="auto"/>
              </w:rPr>
            </w:pPr>
            <w:r>
              <w:rPr>
                <w:rFonts w:ascii="Arial" w:cs="Arial" w:eastAsia="Arial" w:hAnsi="Arial"/>
                <w:sz w:val="19"/>
                <w:szCs w:val="19"/>
                <w:color w:val="auto"/>
              </w:rPr>
              <w:t>Miscellaneous</w:t>
            </w:r>
          </w:p>
        </w:tc>
        <w:tc>
          <w:tcPr>
            <w:tcW w:w="18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22,915</w:t>
            </w:r>
          </w:p>
        </w:tc>
      </w:tr>
      <w:tr>
        <w:trPr>
          <w:trHeight w:val="250"/>
        </w:trPr>
        <w:tc>
          <w:tcPr>
            <w:tcW w:w="10480" w:type="dxa"/>
            <w:vAlign w:val="bottom"/>
          </w:tcPr>
          <w:p>
            <w:pPr>
              <w:spacing w:after="0"/>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8"/>
              </w:rPr>
              <w:t>562,000</w:t>
            </w:r>
          </w:p>
        </w:tc>
      </w:tr>
      <w:tr>
        <w:trPr>
          <w:trHeight w:val="20"/>
        </w:trPr>
        <w:tc>
          <w:tcPr>
            <w:tcW w:w="10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125" w:lineRule="exact"/>
        <w:rPr>
          <w:sz w:val="20"/>
          <w:szCs w:val="20"/>
          <w:color w:val="auto"/>
        </w:rPr>
      </w:pPr>
    </w:p>
    <w:p>
      <w:pPr>
        <w:ind w:right="20" w:firstLine="357"/>
        <w:spacing w:after="0" w:line="269" w:lineRule="auto"/>
        <w:rPr>
          <w:sz w:val="20"/>
          <w:szCs w:val="20"/>
          <w:color w:val="auto"/>
        </w:rPr>
      </w:pPr>
      <w:r>
        <w:rPr>
          <w:rFonts w:ascii="Arial" w:cs="Arial" w:eastAsia="Arial" w:hAnsi="Arial"/>
          <w:sz w:val="18"/>
          <w:szCs w:val="18"/>
          <w:color w:val="auto"/>
        </w:rPr>
        <w:t xml:space="preserve">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that contains reports, proxy and information statements and other information regarding registrants that file electronically with the SEC. For further information pertaining to the securities offered by this prospectus supplement and GasLog Partners, reference is made to the registration statement.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125"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The SEC allows us to “incorporate by reference” information that we file with it. This means that we can disclose important information to you by referring you to those filed documents. The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7" w:name="page58"/>
    <w:bookmarkEnd w:id="57"/>
    <w:p>
      <w:pPr>
        <w:ind w:right="20"/>
        <w:spacing w:after="0" w:line="267" w:lineRule="auto"/>
        <w:rPr>
          <w:sz w:val="20"/>
          <w:szCs w:val="20"/>
          <w:color w:val="auto"/>
        </w:rPr>
      </w:pPr>
      <w:r>
        <w:rPr>
          <w:rFonts w:ascii="Arial" w:cs="Arial" w:eastAsia="Arial" w:hAnsi="Arial"/>
          <w:sz w:val="19"/>
          <w:szCs w:val="19"/>
          <w:color w:val="auto"/>
        </w:rPr>
        <w:t>information incorporated by reference is considered to be a part of this prospectus supplement, and information that we file later with the SEC will also be considered to be part of this prospectus supplement and will automatically update and supersede previously filed information, including information contained in this document.</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This prospectus supplement incorporates by reference certain documents, to the extent noted therein, including the following:</w:t>
      </w:r>
    </w:p>
    <w:p>
      <w:pPr>
        <w:spacing w:after="0" w:line="106" w:lineRule="exact"/>
        <w:rPr>
          <w:sz w:val="20"/>
          <w:szCs w:val="20"/>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our Annual Report on Form 20-F for the year ended December 31, 2016, filed with the SEC on February 13, 2017; and</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our reports on Form 6-K filed with the SEC on March 23, 2017, April 27, 2017 and May 15, 2017.</w:t>
      </w:r>
    </w:p>
    <w:p>
      <w:pPr>
        <w:spacing w:after="0" w:line="133" w:lineRule="exact"/>
        <w:rPr>
          <w:sz w:val="20"/>
          <w:szCs w:val="20"/>
          <w:color w:val="auto"/>
        </w:rPr>
      </w:pPr>
    </w:p>
    <w:p>
      <w:pPr>
        <w:ind w:right="60" w:firstLine="357"/>
        <w:spacing w:after="0" w:line="302" w:lineRule="auto"/>
        <w:rPr>
          <w:sz w:val="20"/>
          <w:szCs w:val="20"/>
          <w:color w:val="auto"/>
        </w:rPr>
      </w:pPr>
      <w:r>
        <w:rPr>
          <w:rFonts w:ascii="Arial" w:cs="Arial" w:eastAsia="Arial" w:hAnsi="Arial"/>
          <w:sz w:val="17"/>
          <w:szCs w:val="17"/>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our common units made by this prospectus supplement has been terminated. In all cases, you should rely on the later information over different information included in this prospectus supplement.</w:t>
      </w:r>
    </w:p>
    <w:p>
      <w:pPr>
        <w:spacing w:after="0" w:line="29" w:lineRule="exact"/>
        <w:rPr>
          <w:sz w:val="20"/>
          <w:szCs w:val="20"/>
          <w:color w:val="auto"/>
        </w:rPr>
      </w:pPr>
    </w:p>
    <w:p>
      <w:pPr>
        <w:ind w:right="200" w:firstLine="357"/>
        <w:spacing w:after="0" w:line="302" w:lineRule="auto"/>
        <w:rPr>
          <w:sz w:val="20"/>
          <w:szCs w:val="20"/>
          <w:color w:val="auto"/>
        </w:rPr>
      </w:pPr>
      <w:r>
        <w:rPr>
          <w:rFonts w:ascii="Arial" w:cs="Arial" w:eastAsia="Arial" w:hAnsi="Arial"/>
          <w:sz w:val="17"/>
          <w:szCs w:val="17"/>
          <w:color w:val="auto"/>
        </w:rPr>
        <w:t xml:space="preserve">We will provide, free of charge upon written or oral request, to each person to whom this prospectus supplement is delivered, including any beneficial owner of our common units, a copy of any or all of the information that has been incorporated by reference into this prospectus supplement, but which has not been delivered with the prospectus supplement. Copies of these documents also may be obtained on the “Investor Relations” section of our website at </w:t>
      </w:r>
      <w:r>
        <w:rPr>
          <w:rFonts w:ascii="Arial" w:cs="Arial" w:eastAsia="Arial" w:hAnsi="Arial"/>
          <w:sz w:val="17"/>
          <w:szCs w:val="17"/>
          <w:i w:val="1"/>
          <w:iCs w:val="1"/>
          <w:color w:val="auto"/>
        </w:rPr>
        <w:t>www.gaslogmlp.com.</w:t>
      </w:r>
      <w:r>
        <w:rPr>
          <w:rFonts w:ascii="Arial" w:cs="Arial" w:eastAsia="Arial" w:hAnsi="Arial"/>
          <w:sz w:val="17"/>
          <w:szCs w:val="17"/>
          <w:color w:val="auto"/>
        </w:rPr>
        <w:t xml:space="preserve"> Requests for such information should be made to us at the following address: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Nicola Lloyd, General Counsel</w:t>
      </w:r>
    </w:p>
    <w:p>
      <w:pPr>
        <w:spacing w:after="0" w:line="103"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8" w:name="page59"/>
    <w:bookmarkEnd w:id="58"/>
    <w:p>
      <w:pPr>
        <w:spacing w:after="0"/>
        <w:rPr>
          <w:sz w:val="20"/>
          <w:szCs w:val="20"/>
          <w:color w:val="auto"/>
        </w:rPr>
      </w:pPr>
      <w:r>
        <w:rPr>
          <w:rFonts w:ascii="Arial" w:cs="Arial" w:eastAsia="Arial" w:hAnsi="Arial"/>
          <w:sz w:val="19"/>
          <w:szCs w:val="19"/>
          <w:b w:val="1"/>
          <w:bCs w:val="1"/>
          <w:color w:val="auto"/>
        </w:rPr>
        <w:t>PROSPECTUS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34"/>
          <w:szCs w:val="34"/>
          <w:b w:val="1"/>
          <w:bCs w:val="1"/>
          <w:color w:val="auto"/>
        </w:rPr>
        <w:t>$600,000,000</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44"/>
          <w:szCs w:val="44"/>
          <w:b w:val="1"/>
          <w:bCs w:val="1"/>
          <w:color w:val="auto"/>
        </w:rPr>
        <w:t>GasLog Partners LP</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Common Units Representing Limited Partner Interests</w:t>
      </w:r>
    </w:p>
    <w:p>
      <w:pPr>
        <w:spacing w:after="0" w:line="30"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Other Classes of Units Representing Limited Partner Interests</w:t>
      </w:r>
    </w:p>
    <w:p>
      <w:pPr>
        <w:jc w:val="center"/>
        <w:ind w:right="-99"/>
        <w:spacing w:after="0"/>
        <w:rPr>
          <w:sz w:val="20"/>
          <w:szCs w:val="20"/>
          <w:color w:val="auto"/>
        </w:rPr>
      </w:pPr>
      <w:r>
        <w:rPr>
          <w:rFonts w:ascii="Arial" w:cs="Arial" w:eastAsia="Arial" w:hAnsi="Arial"/>
          <w:sz w:val="27"/>
          <w:szCs w:val="27"/>
          <w:b w:val="1"/>
          <w:bCs w:val="1"/>
          <w:color w:val="auto"/>
        </w:rPr>
        <w:t>Debt Securities</w:t>
      </w:r>
    </w:p>
    <w:p>
      <w:pPr>
        <w:jc w:val="center"/>
        <w:ind w:right="-99"/>
        <w:spacing w:after="0"/>
        <w:rPr>
          <w:sz w:val="20"/>
          <w:szCs w:val="20"/>
          <w:color w:val="auto"/>
        </w:rPr>
      </w:pPr>
      <w:r>
        <w:rPr>
          <w:rFonts w:ascii="Arial" w:cs="Arial" w:eastAsia="Arial" w:hAnsi="Arial"/>
          <w:sz w:val="27"/>
          <w:szCs w:val="27"/>
          <w:b w:val="1"/>
          <w:bCs w:val="1"/>
          <w:color w:val="auto"/>
        </w:rPr>
        <w:t>Warrants</w:t>
      </w:r>
    </w:p>
    <w:p>
      <w:pPr>
        <w:jc w:val="center"/>
        <w:ind w:right="-99"/>
        <w:spacing w:after="0"/>
        <w:rPr>
          <w:sz w:val="20"/>
          <w:szCs w:val="20"/>
          <w:color w:val="auto"/>
        </w:rPr>
      </w:pPr>
      <w:r>
        <w:rPr>
          <w:rFonts w:ascii="Arial" w:cs="Arial" w:eastAsia="Arial" w:hAnsi="Arial"/>
          <w:sz w:val="27"/>
          <w:szCs w:val="27"/>
          <w:b w:val="1"/>
          <w:bCs w:val="1"/>
          <w:color w:val="auto"/>
        </w:rPr>
        <w:t>Rights</w:t>
      </w:r>
    </w:p>
    <w:p>
      <w:pPr>
        <w:jc w:val="center"/>
        <w:ind w:right="-99"/>
        <w:spacing w:after="0"/>
        <w:rPr>
          <w:sz w:val="20"/>
          <w:szCs w:val="20"/>
          <w:color w:val="auto"/>
        </w:rPr>
      </w:pPr>
      <w:r>
        <w:rPr>
          <w:rFonts w:ascii="Arial" w:cs="Arial" w:eastAsia="Arial" w:hAnsi="Arial"/>
          <w:sz w:val="27"/>
          <w:szCs w:val="27"/>
          <w:b w:val="1"/>
          <w:bCs w:val="1"/>
          <w:color w:val="auto"/>
        </w:rPr>
        <w:t>Combination Units</w:t>
      </w:r>
    </w:p>
    <w:p>
      <w:pPr>
        <w:spacing w:after="0" w:line="88" w:lineRule="exact"/>
        <w:rPr>
          <w:sz w:val="20"/>
          <w:szCs w:val="20"/>
          <w:color w:val="auto"/>
        </w:rPr>
      </w:pPr>
    </w:p>
    <w:p>
      <w:pPr>
        <w:ind w:right="100" w:firstLine="357"/>
        <w:spacing w:after="0" w:line="275" w:lineRule="auto"/>
        <w:rPr>
          <w:sz w:val="20"/>
          <w:szCs w:val="20"/>
          <w:color w:val="auto"/>
        </w:rPr>
      </w:pPr>
      <w:r>
        <w:rPr>
          <w:rFonts w:ascii="Arial" w:cs="Arial" w:eastAsia="Arial" w:hAnsi="Arial"/>
          <w:sz w:val="18"/>
          <w:szCs w:val="18"/>
          <w:color w:val="auto"/>
        </w:rPr>
        <w:t>Through this prospectus, we may offer common units representing limited partner interests (the “Common Units”) and other classes of units representing limited partner interests (the “Other Units”), debt securities, warrants to purchase Common Units, Other Units or other rights (the “Warrants”), rights to purchase Common Units and Other Units (the “Rights”), and units consisting of any combination of the Common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6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68" w:lineRule="exact"/>
        <w:rPr>
          <w:sz w:val="20"/>
          <w:szCs w:val="20"/>
          <w:color w:val="auto"/>
        </w:rPr>
      </w:pPr>
    </w:p>
    <w:p>
      <w:pPr>
        <w:ind w:right="60" w:firstLine="357"/>
        <w:spacing w:after="0" w:line="28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Common Units are traded on the New York Stock Exchange under the symbol “GLOP”.</w:t>
      </w:r>
    </w:p>
    <w:p>
      <w:pPr>
        <w:spacing w:after="0" w:line="106"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Our principal executive offices are located at Gildo Pastor Center, 7 Rue du Gabian, MC 98000, Monaco. Our telephone number at such address is +377 97 97 51 15.</w:t>
      </w:r>
    </w:p>
    <w:p>
      <w:pPr>
        <w:spacing w:after="0" w:line="37" w:lineRule="exact"/>
        <w:rPr>
          <w:sz w:val="20"/>
          <w:szCs w:val="20"/>
          <w:color w:val="auto"/>
        </w:rPr>
      </w:pPr>
    </w:p>
    <w:p>
      <w:pPr>
        <w:ind w:right="460" w:firstLine="429"/>
        <w:spacing w:after="0" w:line="276" w:lineRule="auto"/>
        <w:rPr>
          <w:sz w:val="20"/>
          <w:szCs w:val="20"/>
          <w:color w:val="auto"/>
        </w:rPr>
      </w:pPr>
      <w:r>
        <w:rPr>
          <w:rFonts w:ascii="Arial" w:cs="Arial" w:eastAsia="Arial" w:hAnsi="Arial"/>
          <w:sz w:val="23"/>
          <w:szCs w:val="23"/>
          <w:b w:val="1"/>
          <w:bCs w:val="1"/>
          <w:color w:val="auto"/>
        </w:rPr>
        <w:t>Investing in our securities involves risks. Before buying any securities you should carefully read the section entitled “Risk Factors” on page 5 of this prospectus.</w:t>
      </w:r>
    </w:p>
    <w:p>
      <w:pPr>
        <w:spacing w:after="0" w:line="49" w:lineRule="exact"/>
        <w:rPr>
          <w:sz w:val="20"/>
          <w:szCs w:val="20"/>
          <w:color w:val="auto"/>
        </w:rPr>
      </w:pPr>
    </w:p>
    <w:p>
      <w:pPr>
        <w:ind w:right="60" w:firstLine="357"/>
        <w:spacing w:after="0" w:line="319" w:lineRule="auto"/>
        <w:rPr>
          <w:sz w:val="20"/>
          <w:szCs w:val="20"/>
          <w:color w:val="auto"/>
        </w:rPr>
      </w:pPr>
      <w:r>
        <w:rPr>
          <w:rFonts w:ascii="Arial" w:cs="Arial" w:eastAsia="Arial" w:hAnsi="Arial"/>
          <w:sz w:val="18"/>
          <w:szCs w:val="18"/>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The date of this prospectus is June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79"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40" w:type="dxa"/>
            <w:vAlign w:val="bottom"/>
            <w:gridSpan w:val="6"/>
          </w:tcPr>
          <w:p>
            <w:pPr>
              <w:ind w:left="200"/>
              <w:spacing w:after="0"/>
              <w:rPr>
                <w:sz w:val="20"/>
                <w:szCs w:val="20"/>
                <w:color w:val="auto"/>
              </w:rPr>
            </w:pPr>
            <w:r>
              <w:rPr>
                <w:rFonts w:ascii="Arial" w:cs="Arial" w:eastAsia="Arial" w:hAnsi="Arial"/>
                <w:sz w:val="19"/>
                <w:szCs w:val="19"/>
                <w:b w:val="1"/>
                <w:bCs w:val="1"/>
                <w:color w:val="auto"/>
              </w:rPr>
              <w:t>TABLE OF CONTENTS</w:t>
            </w:r>
          </w:p>
        </w:tc>
        <w:tc>
          <w:tcPr>
            <w:tcW w:w="2340" w:type="dxa"/>
            <w:vAlign w:val="bottom"/>
          </w:tcPr>
          <w:p>
            <w:pPr>
              <w:spacing w:after="0"/>
              <w:rPr>
                <w:sz w:val="21"/>
                <w:szCs w:val="21"/>
                <w:color w:val="auto"/>
              </w:rPr>
            </w:pPr>
          </w:p>
        </w:tc>
      </w:tr>
      <w:tr>
        <w:trPr>
          <w:trHeight w:val="226"/>
        </w:trPr>
        <w:tc>
          <w:tcPr>
            <w:tcW w:w="9020" w:type="dxa"/>
            <w:vAlign w:val="bottom"/>
            <w:gridSpan w:val="25"/>
          </w:tcPr>
          <w:p>
            <w:pPr>
              <w:spacing w:after="0"/>
              <w:rPr>
                <w:rFonts w:ascii="Arial" w:cs="Arial" w:eastAsia="Arial" w:hAnsi="Arial"/>
                <w:sz w:val="19"/>
                <w:szCs w:val="19"/>
                <w:color w:val="0000EE"/>
              </w:rPr>
            </w:pPr>
            <w:hyperlink w:anchor="page61">
              <w:r>
                <w:rPr>
                  <w:rFonts w:ascii="Arial" w:cs="Arial" w:eastAsia="Arial" w:hAnsi="Arial"/>
                  <w:sz w:val="19"/>
                  <w:szCs w:val="19"/>
                  <w:color w:val="0000EE"/>
                </w:rPr>
                <w:t>FORWARD-LOOKING STATEMENTS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23"/>
        </w:trPr>
        <w:tc>
          <w:tcPr>
            <w:tcW w:w="3160" w:type="dxa"/>
            <w:vAlign w:val="bottom"/>
            <w:tcBorders>
              <w:top w:val="single" w:sz="8" w:color="0000EE"/>
            </w:tcBorders>
            <w:gridSpan w:val="12"/>
          </w:tcPr>
          <w:p>
            <w:pPr>
              <w:spacing w:after="0"/>
              <w:rPr>
                <w:rFonts w:ascii="Arial" w:cs="Arial" w:eastAsia="Arial" w:hAnsi="Arial"/>
                <w:sz w:val="19"/>
                <w:szCs w:val="19"/>
                <w:color w:val="0000EE"/>
              </w:rPr>
            </w:pPr>
            <w:hyperlink w:anchor="page63">
              <w:r>
                <w:rPr>
                  <w:rFonts w:ascii="Arial" w:cs="Arial" w:eastAsia="Arial" w:hAnsi="Arial"/>
                  <w:sz w:val="19"/>
                  <w:szCs w:val="19"/>
                  <w:color w:val="0000EE"/>
                </w:rPr>
                <w:t>THE COMPANY</w:t>
              </w:r>
            </w:hyperlink>
          </w:p>
        </w:tc>
        <w:tc>
          <w:tcPr>
            <w:tcW w:w="5860" w:type="dxa"/>
            <w:vAlign w:val="bottom"/>
            <w:gridSpan w:val="13"/>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23"/>
        </w:trPr>
        <w:tc>
          <w:tcPr>
            <w:tcW w:w="1360" w:type="dxa"/>
            <w:vAlign w:val="bottom"/>
            <w:tcBorders>
              <w:top w:val="single" w:sz="8" w:color="0000EE"/>
              <w:bottom w:val="single" w:sz="8" w:color="0000EE"/>
            </w:tcBorders>
            <w:gridSpan w:val="3"/>
          </w:tcPr>
          <w:p>
            <w:pPr>
              <w:spacing w:after="0"/>
              <w:rPr>
                <w:rFonts w:ascii="Arial" w:cs="Arial" w:eastAsia="Arial" w:hAnsi="Arial"/>
                <w:sz w:val="19"/>
                <w:szCs w:val="19"/>
                <w:color w:val="0000EE"/>
                <w:w w:val="95"/>
              </w:rPr>
            </w:pPr>
            <w:hyperlink w:anchor="page65">
              <w:r>
                <w:rPr>
                  <w:rFonts w:ascii="Arial" w:cs="Arial" w:eastAsia="Arial" w:hAnsi="Arial"/>
                  <w:sz w:val="19"/>
                  <w:szCs w:val="19"/>
                  <w:color w:val="0000EE"/>
                  <w:w w:val="95"/>
                </w:rPr>
                <w:t>RISK FACTORS</w:t>
              </w:r>
            </w:hyperlink>
          </w:p>
        </w:tc>
        <w:tc>
          <w:tcPr>
            <w:tcW w:w="20" w:type="dxa"/>
            <w:vAlign w:val="bottom"/>
            <w:tcBorders>
              <w:top w:val="single" w:sz="8" w:color="0000EE"/>
            </w:tcBorders>
          </w:tcPr>
          <w:p>
            <w:pPr>
              <w:spacing w:after="0"/>
              <w:rPr>
                <w:sz w:val="19"/>
                <w:szCs w:val="19"/>
                <w:color w:val="auto"/>
              </w:rPr>
            </w:pPr>
          </w:p>
        </w:tc>
        <w:tc>
          <w:tcPr>
            <w:tcW w:w="7640" w:type="dxa"/>
            <w:vAlign w:val="bottom"/>
            <w:gridSpan w:val="21"/>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23"/>
        </w:trPr>
        <w:tc>
          <w:tcPr>
            <w:tcW w:w="5400" w:type="dxa"/>
            <w:vAlign w:val="bottom"/>
            <w:tcBorders>
              <w:bottom w:val="single" w:sz="8" w:color="0000EE"/>
            </w:tcBorders>
            <w:gridSpan w:val="22"/>
          </w:tcPr>
          <w:p>
            <w:pPr>
              <w:spacing w:after="0"/>
              <w:rPr>
                <w:rFonts w:ascii="Arial" w:cs="Arial" w:eastAsia="Arial" w:hAnsi="Arial"/>
                <w:sz w:val="19"/>
                <w:szCs w:val="19"/>
                <w:color w:val="0000EE"/>
                <w:w w:val="97"/>
              </w:rPr>
            </w:pPr>
            <w:hyperlink w:anchor="page66">
              <w:r>
                <w:rPr>
                  <w:rFonts w:ascii="Arial" w:cs="Arial" w:eastAsia="Arial" w:hAnsi="Arial"/>
                  <w:sz w:val="19"/>
                  <w:szCs w:val="19"/>
                  <w:color w:val="0000EE"/>
                  <w:w w:val="97"/>
                </w:rPr>
                <w:t>SERVICE OF PROCESS AND ENFORCEMENT OF LIABILITIES</w:t>
              </w:r>
            </w:hyperlink>
          </w:p>
        </w:tc>
        <w:tc>
          <w:tcPr>
            <w:tcW w:w="3620" w:type="dxa"/>
            <w:vAlign w:val="bottom"/>
            <w:gridSpan w:val="3"/>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2420" w:type="dxa"/>
            <w:vAlign w:val="bottom"/>
            <w:tcBorders>
              <w:bottom w:val="single" w:sz="8" w:color="0000EE"/>
            </w:tcBorders>
            <w:gridSpan w:val="9"/>
          </w:tcPr>
          <w:p>
            <w:pPr>
              <w:spacing w:after="0"/>
              <w:rPr>
                <w:rFonts w:ascii="Arial" w:cs="Arial" w:eastAsia="Arial" w:hAnsi="Arial"/>
                <w:sz w:val="19"/>
                <w:szCs w:val="19"/>
                <w:color w:val="0000EE"/>
                <w:w w:val="95"/>
              </w:rPr>
            </w:pPr>
            <w:hyperlink w:anchor="page67">
              <w:r>
                <w:rPr>
                  <w:rFonts w:ascii="Arial" w:cs="Arial" w:eastAsia="Arial" w:hAnsi="Arial"/>
                  <w:sz w:val="19"/>
                  <w:szCs w:val="19"/>
                  <w:color w:val="0000EE"/>
                  <w:w w:val="95"/>
                </w:rPr>
                <w:t>ABOUT THIS PROSPECTUS</w:t>
              </w:r>
            </w:hyperlink>
          </w:p>
        </w:tc>
        <w:tc>
          <w:tcPr>
            <w:tcW w:w="6600" w:type="dxa"/>
            <w:vAlign w:val="bottom"/>
            <w:gridSpan w:val="16"/>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67">
              <w:r>
                <w:rPr>
                  <w:rFonts w:ascii="Arial" w:cs="Arial" w:eastAsia="Arial" w:hAnsi="Arial"/>
                  <w:sz w:val="19"/>
                  <w:szCs w:val="19"/>
                  <w:color w:val="0000EE"/>
                </w:rPr>
                <w:t>WHERE YOU CAN FIND ADDITIONAL INFORMATION</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68">
              <w:r>
                <w:rPr>
                  <w:rFonts w:ascii="Arial" w:cs="Arial" w:eastAsia="Arial" w:hAnsi="Arial"/>
                  <w:sz w:val="19"/>
                  <w:szCs w:val="19"/>
                  <w:color w:val="0000EE"/>
                </w:rPr>
                <w:t>INCORPORATION OF CERTAIN INFORMATION BY REFERENCE</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23"/>
        </w:trPr>
        <w:tc>
          <w:tcPr>
            <w:tcW w:w="5580" w:type="dxa"/>
            <w:vAlign w:val="bottom"/>
            <w:tcBorders>
              <w:top w:val="single" w:sz="8" w:color="0000EE"/>
            </w:tcBorders>
            <w:gridSpan w:val="23"/>
          </w:tcPr>
          <w:p>
            <w:pPr>
              <w:spacing w:after="0"/>
              <w:rPr>
                <w:rFonts w:ascii="Arial" w:cs="Arial" w:eastAsia="Arial" w:hAnsi="Arial"/>
                <w:sz w:val="19"/>
                <w:szCs w:val="19"/>
                <w:color w:val="0000EE"/>
              </w:rPr>
            </w:pPr>
            <w:hyperlink w:anchor="page69">
              <w:r>
                <w:rPr>
                  <w:rFonts w:ascii="Arial" w:cs="Arial" w:eastAsia="Arial" w:hAnsi="Arial"/>
                  <w:sz w:val="19"/>
                  <w:szCs w:val="19"/>
                  <w:color w:val="0000EE"/>
                </w:rPr>
                <w:t>RATIO OF EARNINGS TO FIXED CHARGES</w:t>
              </w:r>
            </w:hyperlink>
          </w:p>
        </w:tc>
        <w:tc>
          <w:tcPr>
            <w:tcW w:w="3440" w:type="dxa"/>
            <w:vAlign w:val="bottom"/>
            <w:gridSpan w:val="2"/>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23"/>
        </w:trPr>
        <w:tc>
          <w:tcPr>
            <w:tcW w:w="1720" w:type="dxa"/>
            <w:vAlign w:val="bottom"/>
            <w:tcBorders>
              <w:top w:val="single" w:sz="8" w:color="0000EE"/>
              <w:bottom w:val="single" w:sz="8" w:color="0000EE"/>
            </w:tcBorders>
            <w:gridSpan w:val="6"/>
          </w:tcPr>
          <w:p>
            <w:pPr>
              <w:spacing w:after="0"/>
              <w:rPr>
                <w:rFonts w:ascii="Arial" w:cs="Arial" w:eastAsia="Arial" w:hAnsi="Arial"/>
                <w:sz w:val="19"/>
                <w:szCs w:val="19"/>
                <w:color w:val="0000EE"/>
                <w:w w:val="93"/>
              </w:rPr>
            </w:pPr>
            <w:hyperlink w:anchor="page70">
              <w:r>
                <w:rPr>
                  <w:rFonts w:ascii="Arial" w:cs="Arial" w:eastAsia="Arial" w:hAnsi="Arial"/>
                  <w:sz w:val="19"/>
                  <w:szCs w:val="19"/>
                  <w:color w:val="0000EE"/>
                  <w:w w:val="93"/>
                </w:rPr>
                <w:t>USE OF PROCEEDS</w:t>
              </w:r>
            </w:hyperlink>
          </w:p>
        </w:tc>
        <w:tc>
          <w:tcPr>
            <w:tcW w:w="2060" w:type="dxa"/>
            <w:vAlign w:val="bottom"/>
            <w:tcBorders>
              <w:top w:val="single" w:sz="8" w:color="0000EE"/>
            </w:tcBorders>
            <w:gridSpan w:val="9"/>
          </w:tcPr>
          <w:p>
            <w:pPr>
              <w:spacing w:after="0"/>
              <w:rPr>
                <w:sz w:val="19"/>
                <w:szCs w:val="19"/>
                <w:color w:val="auto"/>
              </w:rPr>
            </w:pPr>
          </w:p>
        </w:tc>
        <w:tc>
          <w:tcPr>
            <w:tcW w:w="5240" w:type="dxa"/>
            <w:vAlign w:val="bottom"/>
            <w:gridSpan w:val="10"/>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3540" w:type="dxa"/>
            <w:vAlign w:val="bottom"/>
            <w:tcBorders>
              <w:bottom w:val="single" w:sz="8" w:color="0000EE"/>
            </w:tcBorders>
            <w:gridSpan w:val="14"/>
          </w:tcPr>
          <w:p>
            <w:pPr>
              <w:spacing w:after="0"/>
              <w:rPr>
                <w:rFonts w:ascii="Arial" w:cs="Arial" w:eastAsia="Arial" w:hAnsi="Arial"/>
                <w:sz w:val="19"/>
                <w:szCs w:val="19"/>
                <w:color w:val="0000EE"/>
                <w:w w:val="99"/>
              </w:rPr>
            </w:pPr>
            <w:hyperlink w:anchor="page70">
              <w:r>
                <w:rPr>
                  <w:rFonts w:ascii="Arial" w:cs="Arial" w:eastAsia="Arial" w:hAnsi="Arial"/>
                  <w:sz w:val="19"/>
                  <w:szCs w:val="19"/>
                  <w:color w:val="0000EE"/>
                  <w:w w:val="99"/>
                </w:rPr>
                <w:t>CAPITALIZATION AND INDEBTEDNESS</w:t>
              </w:r>
            </w:hyperlink>
          </w:p>
        </w:tc>
        <w:tc>
          <w:tcPr>
            <w:tcW w:w="5480" w:type="dxa"/>
            <w:vAlign w:val="bottom"/>
            <w:gridSpan w:val="11"/>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70">
              <w:r>
                <w:rPr>
                  <w:rFonts w:ascii="Arial" w:cs="Arial" w:eastAsia="Arial" w:hAnsi="Arial"/>
                  <w:sz w:val="19"/>
                  <w:szCs w:val="19"/>
                  <w:color w:val="0000EE"/>
                </w:rPr>
                <w:t>DESCRIPTION OF COMMON UNITS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4480" w:type="dxa"/>
            <w:vAlign w:val="bottom"/>
            <w:tcBorders>
              <w:bottom w:val="single" w:sz="8" w:color="0000EE"/>
            </w:tcBorders>
            <w:gridSpan w:val="19"/>
          </w:tcPr>
          <w:p>
            <w:pPr>
              <w:spacing w:after="0"/>
              <w:rPr>
                <w:rFonts w:ascii="Arial" w:cs="Arial" w:eastAsia="Arial" w:hAnsi="Arial"/>
                <w:sz w:val="19"/>
                <w:szCs w:val="19"/>
                <w:color w:val="0000EE"/>
                <w:w w:val="96"/>
              </w:rPr>
            </w:pPr>
            <w:hyperlink w:anchor="page70">
              <w:r>
                <w:rPr>
                  <w:rFonts w:ascii="Arial" w:cs="Arial" w:eastAsia="Arial" w:hAnsi="Arial"/>
                  <w:sz w:val="19"/>
                  <w:szCs w:val="19"/>
                  <w:color w:val="0000EE"/>
                  <w:w w:val="96"/>
                </w:rPr>
                <w:t>DESCRIPTION OF THE OTHER CLASSES OF UNITS</w:t>
              </w:r>
            </w:hyperlink>
          </w:p>
        </w:tc>
        <w:tc>
          <w:tcPr>
            <w:tcW w:w="4540" w:type="dxa"/>
            <w:vAlign w:val="bottom"/>
            <w:gridSpan w:val="6"/>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71">
              <w:r>
                <w:rPr>
                  <w:rFonts w:ascii="Arial" w:cs="Arial" w:eastAsia="Arial" w:hAnsi="Arial"/>
                  <w:sz w:val="19"/>
                  <w:szCs w:val="19"/>
                  <w:color w:val="0000EE"/>
                </w:rPr>
                <w:t>DESCRIPTION OF DEBT SECURITIES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23"/>
        </w:trPr>
        <w:tc>
          <w:tcPr>
            <w:tcW w:w="3260" w:type="dxa"/>
            <w:vAlign w:val="bottom"/>
            <w:tcBorders>
              <w:top w:val="single" w:sz="8" w:color="0000EE"/>
            </w:tcBorders>
            <w:gridSpan w:val="13"/>
          </w:tcPr>
          <w:p>
            <w:pPr>
              <w:spacing w:after="0"/>
              <w:rPr>
                <w:rFonts w:ascii="Arial" w:cs="Arial" w:eastAsia="Arial" w:hAnsi="Arial"/>
                <w:sz w:val="19"/>
                <w:szCs w:val="19"/>
                <w:color w:val="0000EE"/>
              </w:rPr>
            </w:pPr>
            <w:hyperlink w:anchor="page78">
              <w:r>
                <w:rPr>
                  <w:rFonts w:ascii="Arial" w:cs="Arial" w:eastAsia="Arial" w:hAnsi="Arial"/>
                  <w:sz w:val="19"/>
                  <w:szCs w:val="19"/>
                  <w:color w:val="0000EE"/>
                </w:rPr>
                <w:t>DESCRIPTION OF WARRANTS</w:t>
              </w:r>
            </w:hyperlink>
          </w:p>
        </w:tc>
        <w:tc>
          <w:tcPr>
            <w:tcW w:w="5760" w:type="dxa"/>
            <w:vAlign w:val="bottom"/>
            <w:gridSpan w:val="12"/>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23"/>
        </w:trPr>
        <w:tc>
          <w:tcPr>
            <w:tcW w:w="2320" w:type="dxa"/>
            <w:vAlign w:val="bottom"/>
            <w:tcBorders>
              <w:top w:val="single" w:sz="8" w:color="0000EE"/>
              <w:bottom w:val="single" w:sz="8" w:color="0000EE"/>
            </w:tcBorders>
            <w:gridSpan w:val="8"/>
          </w:tcPr>
          <w:p>
            <w:pPr>
              <w:spacing w:after="0"/>
              <w:rPr>
                <w:rFonts w:ascii="Arial" w:cs="Arial" w:eastAsia="Arial" w:hAnsi="Arial"/>
                <w:sz w:val="19"/>
                <w:szCs w:val="19"/>
                <w:color w:val="0000EE"/>
                <w:w w:val="96"/>
              </w:rPr>
            </w:pPr>
            <w:hyperlink w:anchor="page79">
              <w:r>
                <w:rPr>
                  <w:rFonts w:ascii="Arial" w:cs="Arial" w:eastAsia="Arial" w:hAnsi="Arial"/>
                  <w:sz w:val="19"/>
                  <w:szCs w:val="19"/>
                  <w:color w:val="0000EE"/>
                  <w:w w:val="96"/>
                </w:rPr>
                <w:t>DESCRIPTION OF RIGHTS</w:t>
              </w:r>
            </w:hyperlink>
          </w:p>
        </w:tc>
        <w:tc>
          <w:tcPr>
            <w:tcW w:w="360" w:type="dxa"/>
            <w:vAlign w:val="bottom"/>
            <w:tcBorders>
              <w:top w:val="single" w:sz="8" w:color="0000EE"/>
            </w:tcBorders>
            <w:gridSpan w:val="2"/>
          </w:tcPr>
          <w:p>
            <w:pPr>
              <w:spacing w:after="0"/>
              <w:rPr>
                <w:sz w:val="19"/>
                <w:szCs w:val="19"/>
                <w:color w:val="auto"/>
              </w:rPr>
            </w:pPr>
          </w:p>
        </w:tc>
        <w:tc>
          <w:tcPr>
            <w:tcW w:w="6340" w:type="dxa"/>
            <w:vAlign w:val="bottom"/>
            <w:gridSpan w:val="15"/>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4020" w:type="dxa"/>
            <w:vAlign w:val="bottom"/>
            <w:tcBorders>
              <w:bottom w:val="single" w:sz="8" w:color="0000EE"/>
            </w:tcBorders>
            <w:gridSpan w:val="16"/>
          </w:tcPr>
          <w:p>
            <w:pPr>
              <w:spacing w:after="0"/>
              <w:rPr>
                <w:rFonts w:ascii="Arial" w:cs="Arial" w:eastAsia="Arial" w:hAnsi="Arial"/>
                <w:sz w:val="19"/>
                <w:szCs w:val="19"/>
                <w:color w:val="0000EE"/>
                <w:w w:val="98"/>
              </w:rPr>
            </w:pPr>
            <w:hyperlink w:anchor="page79">
              <w:r>
                <w:rPr>
                  <w:rFonts w:ascii="Arial" w:cs="Arial" w:eastAsia="Arial" w:hAnsi="Arial"/>
                  <w:sz w:val="19"/>
                  <w:szCs w:val="19"/>
                  <w:color w:val="0000EE"/>
                  <w:w w:val="98"/>
                </w:rPr>
                <w:t>DESCRIPTION OF THE COMBINATION UNITS</w:t>
              </w:r>
            </w:hyperlink>
          </w:p>
        </w:tc>
        <w:tc>
          <w:tcPr>
            <w:tcW w:w="5000" w:type="dxa"/>
            <w:vAlign w:val="bottom"/>
            <w:gridSpan w:val="9"/>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80">
              <w:r>
                <w:rPr>
                  <w:rFonts w:ascii="Arial" w:cs="Arial" w:eastAsia="Arial" w:hAnsi="Arial"/>
                  <w:sz w:val="19"/>
                  <w:szCs w:val="19"/>
                  <w:color w:val="0000EE"/>
                </w:rPr>
                <w:t>SUMMARY OF OUR PARTNERSHIP AGREEMENT</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60" w:type="dxa"/>
            <w:vAlign w:val="bottom"/>
            <w:gridSpan w:val="10"/>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80">
              <w:r>
                <w:rPr>
                  <w:rFonts w:ascii="Arial" w:cs="Arial" w:eastAsia="Arial" w:hAnsi="Arial"/>
                  <w:sz w:val="19"/>
                  <w:szCs w:val="19"/>
                  <w:color w:val="0000EE"/>
                </w:rPr>
                <w:t>OUR CASH DISTRIBUTION POLICY AND RESTRICTIONS ON DISTRIBUTIONS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23"/>
        </w:trPr>
        <w:tc>
          <w:tcPr>
            <w:tcW w:w="5260" w:type="dxa"/>
            <w:vAlign w:val="bottom"/>
            <w:tcBorders>
              <w:top w:val="single" w:sz="8" w:color="0000EE"/>
              <w:bottom w:val="single" w:sz="8" w:color="0000EE"/>
            </w:tcBorders>
            <w:gridSpan w:val="21"/>
          </w:tcPr>
          <w:p>
            <w:pPr>
              <w:spacing w:after="0"/>
              <w:rPr>
                <w:rFonts w:ascii="Arial" w:cs="Arial" w:eastAsia="Arial" w:hAnsi="Arial"/>
                <w:sz w:val="19"/>
                <w:szCs w:val="19"/>
                <w:color w:val="0000EE"/>
                <w:w w:val="98"/>
              </w:rPr>
            </w:pPr>
            <w:hyperlink w:anchor="page93">
              <w:r>
                <w:rPr>
                  <w:rFonts w:ascii="Arial" w:cs="Arial" w:eastAsia="Arial" w:hAnsi="Arial"/>
                  <w:sz w:val="19"/>
                  <w:szCs w:val="19"/>
                  <w:color w:val="0000EE"/>
                  <w:w w:val="98"/>
                </w:rPr>
                <w:t>MATERIAL U.S. FEDERAL INCOME TAX CONSIDERATIONS</w:t>
              </w:r>
            </w:hyperlink>
          </w:p>
        </w:tc>
        <w:tc>
          <w:tcPr>
            <w:tcW w:w="1600" w:type="dxa"/>
            <w:vAlign w:val="bottom"/>
            <w:tcBorders>
              <w:top w:val="single" w:sz="8" w:color="0000EE"/>
            </w:tcBorders>
            <w:gridSpan w:val="3"/>
          </w:tcPr>
          <w:p>
            <w:pPr>
              <w:spacing w:after="0"/>
              <w:rPr>
                <w:sz w:val="19"/>
                <w:szCs w:val="19"/>
                <w:color w:val="auto"/>
              </w:rPr>
            </w:pPr>
          </w:p>
        </w:tc>
        <w:tc>
          <w:tcPr>
            <w:tcW w:w="21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4080" w:type="dxa"/>
            <w:vAlign w:val="bottom"/>
            <w:tcBorders>
              <w:bottom w:val="single" w:sz="8" w:color="0000EE"/>
            </w:tcBorders>
            <w:gridSpan w:val="17"/>
          </w:tcPr>
          <w:p>
            <w:pPr>
              <w:spacing w:after="0"/>
              <w:rPr>
                <w:rFonts w:ascii="Arial" w:cs="Arial" w:eastAsia="Arial" w:hAnsi="Arial"/>
                <w:sz w:val="19"/>
                <w:szCs w:val="19"/>
                <w:color w:val="0000EE"/>
                <w:w w:val="97"/>
              </w:rPr>
            </w:pPr>
            <w:hyperlink w:anchor="page93">
              <w:r>
                <w:rPr>
                  <w:rFonts w:ascii="Arial" w:cs="Arial" w:eastAsia="Arial" w:hAnsi="Arial"/>
                  <w:sz w:val="19"/>
                  <w:szCs w:val="19"/>
                  <w:color w:val="0000EE"/>
                  <w:w w:val="97"/>
                </w:rPr>
                <w:t>NON-UNITED STATES TAX CONSIDERATIONS</w:t>
              </w:r>
            </w:hyperlink>
          </w:p>
        </w:tc>
        <w:tc>
          <w:tcPr>
            <w:tcW w:w="4940" w:type="dxa"/>
            <w:vAlign w:val="bottom"/>
            <w:gridSpan w:val="8"/>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2220" w:type="dxa"/>
            <w:vAlign w:val="bottom"/>
            <w:tcBorders>
              <w:bottom w:val="single" w:sz="8" w:color="0000EE"/>
            </w:tcBorders>
            <w:gridSpan w:val="7"/>
          </w:tcPr>
          <w:p>
            <w:pPr>
              <w:spacing w:after="0"/>
              <w:rPr>
                <w:rFonts w:ascii="Arial" w:cs="Arial" w:eastAsia="Arial" w:hAnsi="Arial"/>
                <w:sz w:val="19"/>
                <w:szCs w:val="19"/>
                <w:color w:val="0000EE"/>
                <w:w w:val="99"/>
              </w:rPr>
            </w:pPr>
            <w:hyperlink w:anchor="page93">
              <w:r>
                <w:rPr>
                  <w:rFonts w:ascii="Arial" w:cs="Arial" w:eastAsia="Arial" w:hAnsi="Arial"/>
                  <w:sz w:val="19"/>
                  <w:szCs w:val="19"/>
                  <w:color w:val="0000EE"/>
                  <w:w w:val="99"/>
                </w:rPr>
                <w:t>PLAN OF DISTRIBUTION</w:t>
              </w:r>
            </w:hyperlink>
          </w:p>
        </w:tc>
        <w:tc>
          <w:tcPr>
            <w:tcW w:w="6800" w:type="dxa"/>
            <w:vAlign w:val="bottom"/>
            <w:gridSpan w:val="18"/>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95">
              <w:r>
                <w:rPr>
                  <w:rFonts w:ascii="Arial" w:cs="Arial" w:eastAsia="Arial" w:hAnsi="Arial"/>
                  <w:sz w:val="19"/>
                  <w:szCs w:val="19"/>
                  <w:color w:val="0000EE"/>
                </w:rPr>
                <w:t>EXPENSES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40" w:type="dxa"/>
            <w:vAlign w:val="bottom"/>
            <w:gridSpan w:val="2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5"/>
          </w:tcPr>
          <w:p>
            <w:pPr>
              <w:spacing w:after="0"/>
              <w:rPr>
                <w:rFonts w:ascii="Arial" w:cs="Arial" w:eastAsia="Arial" w:hAnsi="Arial"/>
                <w:sz w:val="19"/>
                <w:szCs w:val="19"/>
                <w:color w:val="0000EE"/>
                <w:w w:val="99"/>
              </w:rPr>
            </w:pPr>
            <w:hyperlink w:anchor="page95">
              <w:r>
                <w:rPr>
                  <w:rFonts w:ascii="Arial" w:cs="Arial" w:eastAsia="Arial" w:hAnsi="Arial"/>
                  <w:sz w:val="19"/>
                  <w:szCs w:val="19"/>
                  <w:color w:val="0000EE"/>
                  <w:w w:val="99"/>
                </w:rPr>
                <w:t>LEGAL MATTERS</w:t>
              </w:r>
            </w:hyperlink>
          </w:p>
        </w:tc>
        <w:tc>
          <w:tcPr>
            <w:tcW w:w="7440" w:type="dxa"/>
            <w:vAlign w:val="bottom"/>
            <w:gridSpan w:val="20"/>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23"/>
        </w:trPr>
        <w:tc>
          <w:tcPr>
            <w:tcW w:w="840" w:type="dxa"/>
            <w:vAlign w:val="bottom"/>
            <w:tcBorders>
              <w:bottom w:val="single" w:sz="8" w:color="0000EE"/>
            </w:tcBorders>
          </w:tcPr>
          <w:p>
            <w:pPr>
              <w:spacing w:after="0"/>
              <w:rPr>
                <w:rFonts w:ascii="Arial" w:cs="Arial" w:eastAsia="Arial" w:hAnsi="Arial"/>
                <w:sz w:val="19"/>
                <w:szCs w:val="19"/>
                <w:color w:val="0000EE"/>
                <w:w w:val="92"/>
              </w:rPr>
            </w:pPr>
            <w:hyperlink w:anchor="page95">
              <w:r>
                <w:rPr>
                  <w:rFonts w:ascii="Arial" w:cs="Arial" w:eastAsia="Arial" w:hAnsi="Arial"/>
                  <w:sz w:val="19"/>
                  <w:szCs w:val="19"/>
                  <w:color w:val="0000EE"/>
                  <w:w w:val="92"/>
                </w:rPr>
                <w:t>EXPERTS</w:t>
              </w:r>
            </w:hyperlink>
          </w:p>
        </w:tc>
        <w:tc>
          <w:tcPr>
            <w:tcW w:w="8180" w:type="dxa"/>
            <w:vAlign w:val="bottom"/>
            <w:gridSpan w:val="24"/>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35</w:t>
            </w:r>
          </w:p>
        </w:tc>
      </w:tr>
    </w:tbl>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firstLine="357"/>
        <w:spacing w:after="0" w:line="287" w:lineRule="auto"/>
        <w:rPr>
          <w:sz w:val="20"/>
          <w:szCs w:val="20"/>
          <w:color w:val="auto"/>
        </w:rPr>
      </w:pPr>
      <w:r>
        <w:rPr>
          <w:rFonts w:ascii="Arial" w:cs="Arial" w:eastAsia="Arial" w:hAnsi="Arial"/>
          <w:sz w:val="17"/>
          <w:szCs w:val="17"/>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includes assumptions, expectations, projections, intentions and beliefs about future events in a number of places, particularly in relation to our operations, cash flows, financial position, plans, strategies, business prospects,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to differ include, but are not limited to, the following:</w:t>
      </w:r>
    </w:p>
    <w:p>
      <w:pPr>
        <w:spacing w:after="0" w:line="106" w:lineRule="exact"/>
        <w:rPr>
          <w:sz w:val="20"/>
          <w:szCs w:val="20"/>
          <w:color w:val="auto"/>
        </w:rPr>
      </w:pPr>
    </w:p>
    <w:p>
      <w:pPr>
        <w:ind w:left="540" w:right="520" w:hanging="168"/>
        <w:spacing w:after="0" w:line="312"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liquefied natural gas, or “LNG”, and LNG shipping market conditions and trends, including charter rates, ship values, factors affecting supply and demand, technological advancements and opportunities for the profitable operations of LNG carriers;</w:t>
      </w:r>
    </w:p>
    <w:p>
      <w:pPr>
        <w:spacing w:after="0" w:line="2" w:lineRule="exact"/>
        <w:rPr>
          <w:rFonts w:ascii="Arial" w:cs="Arial" w:eastAsia="Arial" w:hAnsi="Arial"/>
          <w:sz w:val="18"/>
          <w:szCs w:val="18"/>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future supply of, and demand for, natural gas;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ability to leverage GasLog Ltd.’s relationships and reputation in the shipping industry;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ability to enter into time charters with existing customers as well as new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contracted charter revenue;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future operating or financial results and future revenues and expenses;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future financial condition and liquidity;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ability to purchase vessels from GasLog Ltd. in the future;</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38"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future, pending or recent acquisitions of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right="320" w:hanging="16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expectations relating to making cash distributions on the units, including any increases in cash distributions, and our ability to make such distributions;</w:t>
      </w:r>
    </w:p>
    <w:p>
      <w:pPr>
        <w:spacing w:after="0" w:line="38" w:lineRule="exact"/>
        <w:rPr>
          <w:rFonts w:ascii="Arial" w:cs="Arial" w:eastAsia="Arial" w:hAnsi="Arial"/>
          <w:sz w:val="19"/>
          <w:szCs w:val="19"/>
          <w:color w:val="auto"/>
        </w:rPr>
      </w:pPr>
    </w:p>
    <w:p>
      <w:pPr>
        <w:ind w:left="540" w:right="440" w:hanging="16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ability to enter into shipbuilding contracts for newbuildings and our expectations about the availability of existing LNG carriers to purchase, as well as our ability to consummate any such acquisitions;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expectations about 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acceptance of a vessel by its charterer;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anticipated general and administrative expenses;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61" w:name="page62"/>
    <w:bookmarkEnd w:id="61"/>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ability to adapt our commercial strategy to changes in our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expiration dates and extensions of charters;</w:t>
      </w:r>
    </w:p>
    <w:p>
      <w:pPr>
        <w:spacing w:after="0" w:line="105"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fees and expenses payable under the amended ship management agreements, the administrative services agreement and the amended commercial management agreements;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anticipated taxation of our partnership and distributions to our unitholders;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estimated future maintenance and replacement capital expenditures;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GasLog Ltd.’s ability to retain key employees and provide services to us;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future sales of our Common Units in the public market;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expected cost of, and our ability to comply with, governmental regulations and maritime self-regulatory organization standards, as well as standards imposed by our charterers applicable to our business;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requirements imposed by classification societies;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availability of skilled labor, ship crews and management;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business strategy and other plans and objectives for future operations;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other factors discussed in this prospectus and from time to time in our periodic reports.</w:t>
      </w:r>
    </w:p>
    <w:p>
      <w:pPr>
        <w:spacing w:after="0" w:line="119"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Many of these statements are based on our assumptions about factors that are beyond our ability to control or predict and are subject to risks and uncertainties that are described more fully in the “Risk Factors” section of this prospectus. Any of these factors or a combination of these factors could materially affect future results of operations and the ultimate accuracy of the forward-looking statements. Factors that might cause future results to differ include, but are not limited to, the following:</w:t>
      </w:r>
    </w:p>
    <w:p>
      <w:pPr>
        <w:spacing w:after="0" w:line="59" w:lineRule="exact"/>
        <w:rPr>
          <w:sz w:val="20"/>
          <w:szCs w:val="20"/>
          <w:color w:val="auto"/>
        </w:rPr>
      </w:pPr>
    </w:p>
    <w:p>
      <w:pPr>
        <w:ind w:left="540" w:hanging="168"/>
        <w:spacing w:after="0"/>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changes in law, governmental rules and regulations, or actions taken by regulatory authorities;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changes in economic and competitive conditions affecting our business;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length and number of off-hire periods and dependence on affiliated managers;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other factors discussed in the section entitled “Risk Factors” of this prospectus.</w:t>
      </w:r>
    </w:p>
    <w:p>
      <w:pPr>
        <w:spacing w:after="0" w:line="119"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67"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We undertake no obligation to update or revise any forward-looking statements contained in this prospectus, whether as a result of new information, future events, a change in our views or</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62" w:name="page63"/>
    <w:bookmarkEnd w:id="62"/>
    <w:p>
      <w:pPr>
        <w:ind w:right="280"/>
        <w:spacing w:after="0" w:line="262" w:lineRule="auto"/>
        <w:rPr>
          <w:sz w:val="20"/>
          <w:szCs w:val="20"/>
          <w:color w:val="auto"/>
        </w:rPr>
      </w:pPr>
      <w:r>
        <w:rPr>
          <w:rFonts w:ascii="Arial" w:cs="Arial" w:eastAsia="Arial" w:hAnsi="Arial"/>
          <w:sz w:val="19"/>
          <w:szCs w:val="19"/>
          <w:color w:val="auto"/>
        </w:rPr>
        <w:t>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We make no prediction or statement about the performance of our Common Units.</w:t>
      </w:r>
    </w:p>
    <w:p>
      <w:pPr>
        <w:spacing w:after="0" w:line="282"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THE COMPANY</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Unless otherwise indicated, references in this prospectus to:</w:t>
      </w:r>
    </w:p>
    <w:p>
      <w:pPr>
        <w:spacing w:after="0" w:line="92" w:lineRule="exact"/>
        <w:rPr>
          <w:sz w:val="20"/>
          <w:szCs w:val="20"/>
          <w:color w:val="auto"/>
        </w:rPr>
      </w:pPr>
    </w:p>
    <w:p>
      <w:pPr>
        <w:ind w:left="540" w:right="20" w:hanging="168"/>
        <w:spacing w:after="0" w:line="283" w:lineRule="auto"/>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“GasLog Partners”, the “Partnership”, “we”, “our”, “us” or similar terms refer to GasLog Partners LP or any one or more of its subsidiaries, or to all such entities unless the context otherwise indicates;</w:t>
      </w:r>
    </w:p>
    <w:p>
      <w:pPr>
        <w:spacing w:after="0" w:line="38" w:lineRule="exact"/>
        <w:rPr>
          <w:rFonts w:ascii="Arial" w:cs="Arial" w:eastAsia="Arial" w:hAnsi="Arial"/>
          <w:sz w:val="19"/>
          <w:szCs w:val="19"/>
          <w:color w:val="auto"/>
        </w:rPr>
      </w:pPr>
    </w:p>
    <w:p>
      <w:pPr>
        <w:ind w:left="540" w:right="100" w:hanging="168"/>
        <w:spacing w:after="0" w:line="283" w:lineRule="auto"/>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“GasLog”, depending on the context, refer to GasLog Ltd. and to any one or more of its direct and indirect subsidiaries, other than GasLog Partners and its direct and indirect subsidiaries;</w:t>
      </w:r>
    </w:p>
    <w:p>
      <w:pPr>
        <w:spacing w:after="0" w:line="38"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“our general partner” refer to GasLog Partners GP LLC, the general partner of GasLog Partners and a wholly owned subsidiary of GasLog Ltd.;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“GasLog LNG Services” refer to GasLog LNG Services Ltd., a wholly owned subsidiary of GasLog Ltd.;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“GasLog Carriers” refer to GasLog Carriers Ltd.;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“GasLog Partners Holdings” refer to GasLog Partners Holdings LLC;</w:t>
      </w:r>
    </w:p>
    <w:p>
      <w:pPr>
        <w:spacing w:after="0" w:line="105" w:lineRule="exact"/>
        <w:rPr>
          <w:rFonts w:ascii="Arial" w:cs="Arial" w:eastAsia="Arial" w:hAnsi="Arial"/>
          <w:sz w:val="19"/>
          <w:szCs w:val="19"/>
          <w:color w:val="auto"/>
        </w:rPr>
      </w:pPr>
    </w:p>
    <w:p>
      <w:pPr>
        <w:ind w:left="540" w:right="60" w:hanging="168"/>
        <w:spacing w:after="0" w:line="283" w:lineRule="auto"/>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“BG Group” refer to BG Group plc; “Methane Services” refer to Methane Services Limited, a subsidiary of BG Group; and “Shell” refer to Royal Dutch Shell plc, or, in each case, any one or more of their subsidiaries or to such entities collectively;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“dollars” and “$” refer to, and amounts are presented in, U.S. dollars;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“cbm” refer to cubic meters.</w:t>
      </w:r>
    </w:p>
    <w:p>
      <w:pPr>
        <w:spacing w:after="0" w:line="119" w:lineRule="exact"/>
        <w:rPr>
          <w:sz w:val="20"/>
          <w:szCs w:val="20"/>
          <w:color w:val="auto"/>
        </w:rPr>
      </w:pPr>
    </w:p>
    <w:p>
      <w:pPr>
        <w:ind w:right="60" w:firstLine="357"/>
        <w:spacing w:after="0" w:line="289"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long-term charters, which we define as charters of five full years or more. Our fleet of five LNG carriers, which have charter terms expiring through 2020, were contributed to us by, or acquired from, GasLog, which controls us through its ownership of our general partner.</w:t>
      </w:r>
    </w:p>
    <w:p>
      <w:pPr>
        <w:spacing w:after="0" w:line="49" w:lineRule="exact"/>
        <w:rPr>
          <w:sz w:val="20"/>
          <w:szCs w:val="20"/>
          <w:color w:val="auto"/>
        </w:rPr>
      </w:pPr>
    </w:p>
    <w:p>
      <w:pPr>
        <w:ind w:firstLine="357"/>
        <w:spacing w:after="0" w:line="292" w:lineRule="auto"/>
        <w:rPr>
          <w:sz w:val="20"/>
          <w:szCs w:val="20"/>
          <w:color w:val="auto"/>
        </w:rPr>
      </w:pPr>
      <w:r>
        <w:rPr>
          <w:rFonts w:ascii="Arial" w:cs="Arial" w:eastAsia="Arial" w:hAnsi="Arial"/>
          <w:sz w:val="17"/>
          <w:szCs w:val="17"/>
          <w:color w:val="auto"/>
        </w:rPr>
        <w:t xml:space="preserve">As of June 1, 2015, our fleet consisted of five LNG carriers, including three vessels with modern tri-fuel diesel electric, or “TFDE”, propulsion technology and two steam-powered vessels that operate under long-term charters with Methane Services, a subsidiary of BG Group. At that date, we also had options and other certain acquisition rights under which we may acquire additional LNG carriers from GasLog. Under the omnibus agreement entered into with GasLog in connection with our IPO (defined below), we have the option to purchase up to 12 LNG carriers from GasLog within 36 months after each such vessel’s acceptance by its charterer (or, in the case of certain vessels, 36 months after the closing of the IPO), in each case at fair market value as determined pursuant to the omnibus agreement. In addition, we previously had options to acquire the </w:t>
      </w:r>
      <w:r>
        <w:rPr>
          <w:rFonts w:ascii="Arial" w:cs="Arial" w:eastAsia="Arial" w:hAnsi="Arial"/>
          <w:sz w:val="17"/>
          <w:szCs w:val="17"/>
          <w:i w:val="1"/>
          <w:iCs w:val="1"/>
          <w:color w:val="auto"/>
        </w:rPr>
        <w:t xml:space="preserve">Methane Jane Elizabeth </w:t>
      </w:r>
      <w:r>
        <w:rPr>
          <w:rFonts w:ascii="Arial" w:cs="Arial" w:eastAsia="Arial" w:hAnsi="Arial"/>
          <w:sz w:val="17"/>
          <w:szCs w:val="17"/>
          <w:color w:val="auto"/>
        </w:rPr>
        <w:t>and</w:t>
      </w:r>
      <w:r>
        <w:rPr>
          <w:rFonts w:ascii="Arial" w:cs="Arial" w:eastAsia="Arial" w:hAnsi="Arial"/>
          <w:sz w:val="17"/>
          <w:szCs w:val="17"/>
          <w:i w:val="1"/>
          <w:iCs w:val="1"/>
          <w:color w:val="auto"/>
        </w:rPr>
        <w:t xml:space="preserve"> Methane Rita Andrea </w:t>
      </w:r>
      <w:r>
        <w:rPr>
          <w:rFonts w:ascii="Arial" w:cs="Arial" w:eastAsia="Arial" w:hAnsi="Arial"/>
          <w:sz w:val="17"/>
          <w:szCs w:val="17"/>
          <w:color w:val="auto"/>
        </w:rPr>
        <w:t>which we exercised in September 2014 and these two vessels are now part of our owned fleet.</w:t>
      </w:r>
    </w:p>
    <w:p>
      <w:pPr>
        <w:spacing w:after="0" w:line="50"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 Year Vessels”) either at their acquisition cost plus a certain break up costs (in the case of a newly acquired Five Year Vessel) or at their fair market value (in the case of a previously owned vessel that becomes a Five Year Vessel). Generally, we must exercise this right of first offer within 30 days following the notice from GasLog that the vessel has been acquired or has become a Five Year Vessel. The three newbuildings to be chartered beginning in 2018 under the agreement signed with Methane Services on April 21, 2015, as well as the additional six newbuildings which may be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3" w:name="page64"/>
    <w:bookmarkEnd w:id="63"/>
    <w:p>
      <w:pPr>
        <w:spacing w:after="0" w:line="290" w:lineRule="auto"/>
        <w:rPr>
          <w:sz w:val="20"/>
          <w:szCs w:val="20"/>
          <w:color w:val="auto"/>
        </w:rPr>
      </w:pPr>
      <w:r>
        <w:rPr>
          <w:rFonts w:ascii="Arial" w:cs="Arial" w:eastAsia="Arial" w:hAnsi="Arial"/>
          <w:sz w:val="17"/>
          <w:szCs w:val="17"/>
          <w:color w:val="auto"/>
        </w:rPr>
        <w:t xml:space="preserve">chartered at Methane Services’ election, will each qualify as a Five Year Vessel upon commencement of its charter, and GasLog will be required to offer to us an opportunity to purchase each vessel at fair market value within 30 days of the commencement of its charter. Following completion of the acquisition by GasLog of the </w:t>
      </w:r>
      <w:r>
        <w:rPr>
          <w:rFonts w:ascii="Arial" w:cs="Arial" w:eastAsia="Arial" w:hAnsi="Arial"/>
          <w:sz w:val="17"/>
          <w:szCs w:val="17"/>
          <w:i w:val="1"/>
          <w:iCs w:val="1"/>
          <w:color w:val="auto"/>
        </w:rPr>
        <w:t>Methane Becki Anne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from a subsidiary of BG Group, GasLog has granted us the option, exercisable at any time within 36 months after March 31, 2015, the date that GasLog completed the acquisition to purchase both of the aforementioned vessels at their fair market value, as determined under the omnibus agreement under the same terms that apply to the 10 other vessels over which we hold options granted by GasLog. This agreement supersedes the provision under the omnibus agreement that would otherwise have required GasLog to offer us, within 30 days of the completion of the vessels acquisition, an opportunity to purchase such vessels at the acquisition price paid plus certain administrative costs, and would have allowed us 30 days to respond to such offer.</w:t>
      </w:r>
    </w:p>
    <w:p>
      <w:pPr>
        <w:spacing w:after="0" w:line="55" w:lineRule="exact"/>
        <w:rPr>
          <w:sz w:val="20"/>
          <w:szCs w:val="20"/>
          <w:color w:val="auto"/>
        </w:rPr>
      </w:pPr>
    </w:p>
    <w:p>
      <w:pPr>
        <w:ind w:right="180" w:firstLine="357"/>
        <w:spacing w:after="0" w:line="289" w:lineRule="auto"/>
        <w:rPr>
          <w:sz w:val="20"/>
          <w:szCs w:val="20"/>
          <w:color w:val="auto"/>
        </w:rPr>
      </w:pPr>
      <w:r>
        <w:rPr>
          <w:rFonts w:ascii="Arial" w:cs="Arial" w:eastAsia="Arial" w:hAnsi="Arial"/>
          <w:sz w:val="18"/>
          <w:szCs w:val="18"/>
          <w:color w:val="auto"/>
        </w:rPr>
        <w:t>The options, with the addition of three future firm charters agreed with Methane Services as of April 21, 2015, brings the current pipeline of vessels that we have, or may have, the right to acquire from GasLog to 15 LNG carriers. We believe that such options and acquisition rights provide us with significant built-in growth opportunities. We may also acquire vessels from shipyards or other owners.</w:t>
      </w:r>
    </w:p>
    <w:p>
      <w:pPr>
        <w:spacing w:after="0" w:line="49"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We operate all of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equity and debt financing.</w:t>
      </w:r>
    </w:p>
    <w:p>
      <w:pPr>
        <w:spacing w:after="0" w:line="72" w:lineRule="exact"/>
        <w:rPr>
          <w:sz w:val="20"/>
          <w:szCs w:val="20"/>
          <w:color w:val="auto"/>
        </w:rPr>
      </w:pPr>
    </w:p>
    <w:p>
      <w:pPr>
        <w:ind w:right="40" w:firstLine="357"/>
        <w:spacing w:after="0" w:line="273" w:lineRule="auto"/>
        <w:rPr>
          <w:sz w:val="20"/>
          <w:szCs w:val="20"/>
          <w:color w:val="auto"/>
        </w:rPr>
      </w:pPr>
      <w:r>
        <w:rPr>
          <w:rFonts w:ascii="Arial" w:cs="Arial" w:eastAsia="Arial" w:hAnsi="Arial"/>
          <w:sz w:val="18"/>
          <w:szCs w:val="18"/>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equity and/or debt financing to fund all or a portion of the acquisition costs of these vessels. As of June 1, 2015,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76835</wp:posOffset>
            </wp:positionV>
            <wp:extent cx="14490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3"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On May 12, 2014, we completed an initial public offering of our Common Units (the “IPO”). On September 29, 2014, we completed a follow-on public offering of our Common Units.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72"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We maintain our principal executive offices at Gildo Pastor Center, 7 Rue du Gabian, MC 98000, Monaco. Our telephone number at that address is +377 97 97 51 15. We have been organized under the laws of the Republic of the Marshall Islands.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4" w:name="page65"/>
    <w:bookmarkEnd w:id="64"/>
    <w:p>
      <w:pPr>
        <w:jc w:val="center"/>
        <w:ind w:right="-119"/>
        <w:spacing w:after="0"/>
        <w:rPr>
          <w:sz w:val="20"/>
          <w:szCs w:val="20"/>
          <w:color w:val="auto"/>
        </w:rPr>
      </w:pPr>
      <w:r>
        <w:rPr>
          <w:rFonts w:ascii="Arial" w:cs="Arial" w:eastAsia="Arial" w:hAnsi="Arial"/>
          <w:sz w:val="19"/>
          <w:szCs w:val="19"/>
          <w:b w:val="1"/>
          <w:bCs w:val="1"/>
          <w:color w:val="auto"/>
        </w:rPr>
        <w:t>RISK FACTORS</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7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Any of the risk factors referred to above could significantly and negatively affect our business, results of operations or financial condition, which may reduce our ability to make cash distributions and lower the trading price of our Common Units. The risks referred to above are not the only ones that may exist. Additional risks not currently known by us or that we deem immaterial may also impair our business operations. You may lose all or a part of your investment.</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79" w:right="3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9"/>
          <w:szCs w:val="19"/>
          <w:b w:val="1"/>
          <w:bCs w:val="1"/>
          <w:color w:val="auto"/>
        </w:rPr>
        <w:t>SERVICE OF PROCESS AND ENFORCEMENT OF LIABILITIES</w:t>
      </w:r>
    </w:p>
    <w:p>
      <w:pPr>
        <w:spacing w:after="0" w:line="125" w:lineRule="exact"/>
        <w:rPr>
          <w:sz w:val="20"/>
          <w:szCs w:val="20"/>
          <w:color w:val="auto"/>
        </w:rPr>
      </w:pPr>
    </w:p>
    <w:p>
      <w:pPr>
        <w:jc w:val="both"/>
        <w:ind w:right="480" w:firstLine="357"/>
        <w:spacing w:after="0" w:line="267" w:lineRule="auto"/>
        <w:rPr>
          <w:sz w:val="20"/>
          <w:szCs w:val="20"/>
          <w:color w:val="auto"/>
        </w:rPr>
      </w:pPr>
      <w:r>
        <w:rPr>
          <w:rFonts w:ascii="Arial" w:cs="Arial" w:eastAsia="Arial" w:hAnsi="Arial"/>
          <w:sz w:val="19"/>
          <w:szCs w:val="19"/>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68" w:lineRule="exact"/>
        <w:rPr>
          <w:sz w:val="20"/>
          <w:szCs w:val="20"/>
          <w:color w:val="auto"/>
        </w:rPr>
      </w:pPr>
    </w:p>
    <w:p>
      <w:pPr>
        <w:ind w:right="80" w:firstLine="357"/>
        <w:spacing w:after="0" w:line="290" w:lineRule="auto"/>
        <w:rPr>
          <w:sz w:val="20"/>
          <w:szCs w:val="20"/>
          <w:color w:val="auto"/>
        </w:rPr>
      </w:pPr>
      <w:r>
        <w:rPr>
          <w:rFonts w:ascii="Arial" w:cs="Arial" w:eastAsia="Arial" w:hAnsi="Arial"/>
          <w:sz w:val="17"/>
          <w:szCs w:val="17"/>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 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5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Cozen O’Connor, our counsel as to Marshall Islands law, has advised us that there is uncertainty as to whether the courts of the Marshall Islands would (1) 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9"/>
          <w:szCs w:val="19"/>
          <w:b w:val="1"/>
          <w:bCs w:val="1"/>
          <w:color w:val="auto"/>
        </w:rPr>
        <w:t>ABOUT THIS PROSPECTUS</w:t>
      </w:r>
    </w:p>
    <w:p>
      <w:pPr>
        <w:spacing w:after="0" w:line="125" w:lineRule="exact"/>
        <w:rPr>
          <w:sz w:val="20"/>
          <w:szCs w:val="20"/>
          <w:color w:val="auto"/>
        </w:rPr>
      </w:pPr>
    </w:p>
    <w:p>
      <w:pPr>
        <w:ind w:right="20" w:firstLine="357"/>
        <w:spacing w:after="0" w:line="271"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registration process, we may, from time to time, sell up to an aggregate public offering price of $600,000,000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 xml:space="preserve"> </w:t>
      </w:r>
      <w:r>
        <w:rPr>
          <w:rFonts w:ascii="Arial" w:cs="Arial" w:eastAsia="Arial" w:hAnsi="Arial"/>
          <w:sz w:val="18"/>
          <w:szCs w:val="18"/>
          <w:color w:val="auto"/>
        </w:rPr>
        <w:t>that contains reports, proxy and information statements and other information regarding registrants that file electronically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For further information pertaining to the securities offered by this prospectus and GasLog Partners LP, reference is made to the registration statement.</w:t>
      </w:r>
    </w:p>
    <w:p>
      <w:pPr>
        <w:spacing w:after="0" w:line="61"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125" w:lineRule="exact"/>
        <w:rPr>
          <w:sz w:val="20"/>
          <w:szCs w:val="20"/>
          <w:color w:val="auto"/>
        </w:rPr>
      </w:pPr>
    </w:p>
    <w:p>
      <w:pPr>
        <w:ind w:right="260" w:firstLine="357"/>
        <w:spacing w:after="0" w:line="281"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This prospectus incorporates by reference the following documents:</w:t>
      </w:r>
    </w:p>
    <w:p>
      <w:pPr>
        <w:spacing w:after="0" w:line="106" w:lineRule="exact"/>
        <w:rPr>
          <w:sz w:val="20"/>
          <w:szCs w:val="20"/>
          <w:color w:val="auto"/>
        </w:rPr>
      </w:pPr>
    </w:p>
    <w:p>
      <w:pPr>
        <w:ind w:left="540" w:hanging="168"/>
        <w:spacing w:after="0"/>
        <w:tabs>
          <w:tab w:leader="none" w:pos="5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our Report on Form 6-K, filed with the SEC on April 30, 2015;</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our Annual Report on Form 20-F for the year ended December 31, 2014, filed with the SEC on February 17, 2015; and</w:t>
      </w:r>
    </w:p>
    <w:p>
      <w:pPr>
        <w:spacing w:after="0" w:line="105" w:lineRule="exact"/>
        <w:rPr>
          <w:rFonts w:ascii="Arial" w:cs="Arial" w:eastAsia="Arial" w:hAnsi="Arial"/>
          <w:sz w:val="19"/>
          <w:szCs w:val="19"/>
          <w:color w:val="auto"/>
        </w:rPr>
      </w:pPr>
    </w:p>
    <w:p>
      <w:pPr>
        <w:ind w:left="540" w:right="360" w:hanging="168"/>
        <w:spacing w:after="0" w:line="283" w:lineRule="auto"/>
        <w:tabs>
          <w:tab w:leader="none" w:pos="5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description of our Common Units which is contained in our registration statement on Form 8-A (File No. 001-36433), filed with the SEC on April 30, 2014, including any amendment or report filed for the purpose of updating such description.</w:t>
      </w:r>
    </w:p>
    <w:p>
      <w:pPr>
        <w:spacing w:after="0" w:line="52"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57"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9"/>
          <w:szCs w:val="19"/>
          <w:i w:val="1"/>
          <w:iCs w:val="1"/>
          <w:u w:val="single" w:color="auto"/>
          <w:color w:val="auto"/>
        </w:rPr>
        <w:t>www.gaslogmlp.com</w:t>
      </w:r>
      <w:r>
        <w:rPr>
          <w:rFonts w:ascii="Arial" w:cs="Arial" w:eastAsia="Arial" w:hAnsi="Arial"/>
          <w:sz w:val="19"/>
          <w:szCs w:val="19"/>
          <w:i w:val="1"/>
          <w:iCs w:val="1"/>
          <w:color w:val="auto"/>
        </w:rPr>
        <w:t xml:space="preserve">. </w:t>
      </w:r>
      <w:r>
        <w:rPr>
          <w:rFonts w:ascii="Arial" w:cs="Arial" w:eastAsia="Arial" w:hAnsi="Arial"/>
          <w:sz w:val="19"/>
          <w:szCs w:val="19"/>
          <w:color w:val="auto"/>
        </w:rPr>
        <w:t>The information contained on or connected to our website is not a part of this prospectus. Requests for such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should be made to us at the following address: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General Counsel</w:t>
      </w:r>
    </w:p>
    <w:p>
      <w:pPr>
        <w:spacing w:after="0" w:line="10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9"/>
          <w:szCs w:val="19"/>
          <w:b w:val="1"/>
          <w:bCs w:val="1"/>
          <w:color w:val="auto"/>
        </w:rPr>
        <w:t>RATIO OF EARNINGS TO FIXED CHARGES</w:t>
      </w:r>
    </w:p>
    <w:p>
      <w:pPr>
        <w:spacing w:after="0" w:line="125"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The following table sets forth our ratio of earnings to fixed charges for the periods indicated, computed using amounts derived from our financial statements prepared in accordance with International Financial Reporting Standards as issued by the International Accounting Standards Board.</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8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w w:val="88"/>
              </w:rPr>
              <w:t>Years ended December 31,</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Three months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gridSpan w:val="4"/>
            <w:vMerge w:val="continue"/>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vMerge w:val="restart"/>
          </w:tcPr>
          <w:p>
            <w:pPr>
              <w:jc w:val="center"/>
              <w:spacing w:after="0" w:line="176" w:lineRule="exact"/>
              <w:rPr>
                <w:sz w:val="20"/>
                <w:szCs w:val="20"/>
                <w:color w:val="auto"/>
              </w:rPr>
            </w:pPr>
            <w:r>
              <w:rPr>
                <w:rFonts w:ascii="Arial" w:cs="Arial" w:eastAsia="Arial" w:hAnsi="Arial"/>
                <w:sz w:val="16"/>
                <w:szCs w:val="16"/>
                <w:b w:val="1"/>
                <w:bCs w:val="1"/>
                <w:color w:val="auto"/>
                <w:w w:val="89"/>
              </w:rPr>
              <w:t>ended March 31,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90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110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40" w:type="dxa"/>
            <w:vAlign w:val="bottom"/>
            <w:gridSpan w:val="6"/>
          </w:tcPr>
          <w:p>
            <w:pPr>
              <w:jc w:val="right"/>
              <w:ind w:right="1231"/>
              <w:spacing w:after="0"/>
              <w:rPr>
                <w:sz w:val="20"/>
                <w:szCs w:val="20"/>
                <w:color w:val="auto"/>
              </w:rPr>
            </w:pPr>
            <w:r>
              <w:rPr>
                <w:rFonts w:ascii="Arial" w:cs="Arial" w:eastAsia="Arial" w:hAnsi="Arial"/>
                <w:sz w:val="16"/>
                <w:szCs w:val="16"/>
                <w:b w:val="1"/>
                <w:bCs w:val="1"/>
                <w:color w:val="auto"/>
                <w:w w:val="90"/>
              </w:rPr>
              <w:t>(in thousands of U.S. dollars, except ratios)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Earnings</w:t>
            </w: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5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80" w:type="dxa"/>
            <w:vAlign w:val="bottom"/>
            <w:gridSpan w:val="3"/>
          </w:tcPr>
          <w:p>
            <w:pPr>
              <w:spacing w:after="0"/>
              <w:rPr>
                <w:sz w:val="20"/>
                <w:szCs w:val="20"/>
                <w:color w:val="auto"/>
              </w:rPr>
            </w:pPr>
            <w:r>
              <w:rPr>
                <w:rFonts w:ascii="Arial" w:cs="Arial" w:eastAsia="Arial" w:hAnsi="Arial"/>
                <w:sz w:val="19"/>
                <w:szCs w:val="19"/>
                <w:color w:val="auto"/>
              </w:rPr>
              <w:t>Pre-tax (loss)/income</w:t>
            </w:r>
          </w:p>
        </w:tc>
        <w:tc>
          <w:tcPr>
            <w:tcW w:w="900" w:type="dxa"/>
            <w:vAlign w:val="bottom"/>
          </w:tcPr>
          <w:p>
            <w:pPr>
              <w:jc w:val="right"/>
              <w:spacing w:after="0"/>
              <w:rPr>
                <w:sz w:val="20"/>
                <w:szCs w:val="20"/>
                <w:color w:val="auto"/>
              </w:rPr>
            </w:pPr>
            <w:r>
              <w:rPr>
                <w:rFonts w:ascii="Arial" w:cs="Arial" w:eastAsia="Arial" w:hAnsi="Arial"/>
                <w:sz w:val="19"/>
                <w:szCs w:val="19"/>
                <w:color w:val="auto"/>
              </w:rPr>
              <w:t>(861,061)</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26,218,242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0"/>
              </w:rPr>
              <w:t>29,168,698</w:t>
            </w:r>
          </w:p>
        </w:tc>
        <w:tc>
          <w:tcPr>
            <w:tcW w:w="1820" w:type="dxa"/>
            <w:vAlign w:val="bottom"/>
            <w:gridSpan w:val="2"/>
          </w:tcPr>
          <w:p>
            <w:pPr>
              <w:jc w:val="right"/>
              <w:ind w:right="11"/>
              <w:spacing w:after="0"/>
              <w:rPr>
                <w:sz w:val="20"/>
                <w:szCs w:val="20"/>
                <w:color w:val="auto"/>
              </w:rPr>
            </w:pPr>
            <w:r>
              <w:rPr>
                <w:rFonts w:ascii="Arial" w:cs="Arial" w:eastAsia="Arial" w:hAnsi="Arial"/>
                <w:sz w:val="19"/>
                <w:szCs w:val="19"/>
                <w:color w:val="auto"/>
              </w:rPr>
              <w:t>12,897,430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Add:</w:t>
            </w: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5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80" w:type="dxa"/>
            <w:vAlign w:val="bottom"/>
            <w:gridSpan w:val="3"/>
          </w:tcPr>
          <w:p>
            <w:pPr>
              <w:spacing w:after="0"/>
              <w:rPr>
                <w:sz w:val="20"/>
                <w:szCs w:val="20"/>
                <w:color w:val="auto"/>
              </w:rPr>
            </w:pPr>
            <w:r>
              <w:rPr>
                <w:rFonts w:ascii="Arial" w:cs="Arial" w:eastAsia="Arial" w:hAnsi="Arial"/>
                <w:sz w:val="19"/>
                <w:szCs w:val="19"/>
                <w:color w:val="auto"/>
              </w:rPr>
              <w:t>Fixed charges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12,075,948</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0"/>
              </w:rPr>
              <w:t>25,999,008</w:t>
            </w:r>
          </w:p>
        </w:tc>
        <w:tc>
          <w:tcPr>
            <w:tcW w:w="300" w:type="dxa"/>
            <w:vAlign w:val="bottom"/>
          </w:tcPr>
          <w:p>
            <w:pPr>
              <w:spacing w:after="0"/>
              <w:rPr>
                <w:sz w:val="21"/>
                <w:szCs w:val="21"/>
                <w:color w:val="auto"/>
              </w:rPr>
            </w:pPr>
          </w:p>
        </w:tc>
        <w:tc>
          <w:tcPr>
            <w:tcW w:w="1520" w:type="dxa"/>
            <w:vAlign w:val="bottom"/>
            <w:tcBorders>
              <w:bottom w:val="single" w:sz="8" w:color="auto"/>
            </w:tcBorders>
          </w:tcPr>
          <w:p>
            <w:pPr>
              <w:jc w:val="right"/>
              <w:ind w:right="11"/>
              <w:spacing w:after="0"/>
              <w:rPr>
                <w:sz w:val="20"/>
                <w:szCs w:val="20"/>
                <w:color w:val="auto"/>
              </w:rPr>
            </w:pPr>
            <w:r>
              <w:rPr>
                <w:rFonts w:ascii="Arial" w:cs="Arial" w:eastAsia="Arial" w:hAnsi="Arial"/>
                <w:sz w:val="19"/>
                <w:szCs w:val="19"/>
                <w:color w:val="auto"/>
              </w:rPr>
              <w:t>3,924,546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Total Earnings</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(861,061)</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38,294,190</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0"/>
              </w:rPr>
              <w:t>55,167,706</w:t>
            </w:r>
          </w:p>
        </w:tc>
        <w:tc>
          <w:tcPr>
            <w:tcW w:w="182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b w:val="1"/>
                <w:bCs w:val="1"/>
                <w:color w:val="auto"/>
              </w:rPr>
              <w:t>16,821,976</w:t>
            </w:r>
          </w:p>
        </w:tc>
        <w:tc>
          <w:tcPr>
            <w:tcW w:w="0" w:type="dxa"/>
            <w:vAlign w:val="bottom"/>
          </w:tcPr>
          <w:p>
            <w:pPr>
              <w:spacing w:after="0"/>
              <w:rPr>
                <w:sz w:val="1"/>
                <w:szCs w:val="1"/>
                <w:color w:val="auto"/>
              </w:rPr>
            </w:pPr>
          </w:p>
        </w:tc>
      </w:tr>
      <w:tr>
        <w:trPr>
          <w:trHeight w:val="237"/>
        </w:trPr>
        <w:tc>
          <w:tcPr>
            <w:tcW w:w="5880" w:type="dxa"/>
            <w:vAlign w:val="bottom"/>
            <w:gridSpan w:val="3"/>
          </w:tcPr>
          <w:p>
            <w:pPr>
              <w:spacing w:after="0"/>
              <w:rPr>
                <w:sz w:val="20"/>
                <w:szCs w:val="20"/>
                <w:color w:val="auto"/>
              </w:rPr>
            </w:pPr>
            <w:r>
              <w:rPr>
                <w:rFonts w:ascii="Arial" w:cs="Arial" w:eastAsia="Arial" w:hAnsi="Arial"/>
                <w:sz w:val="19"/>
                <w:szCs w:val="19"/>
                <w:b w:val="1"/>
                <w:bCs w:val="1"/>
                <w:color w:val="auto"/>
              </w:rPr>
              <w:t>Fixed Charges</w:t>
            </w: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Interest expensed</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10,378,044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0"/>
              </w:rPr>
              <w:t>14,651,242</w:t>
            </w:r>
          </w:p>
        </w:tc>
        <w:tc>
          <w:tcPr>
            <w:tcW w:w="182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3,547,840</w:t>
            </w:r>
          </w:p>
        </w:tc>
        <w:tc>
          <w:tcPr>
            <w:tcW w:w="0" w:type="dxa"/>
            <w:vAlign w:val="bottom"/>
          </w:tcPr>
          <w:p>
            <w:pPr>
              <w:spacing w:after="0"/>
              <w:rPr>
                <w:sz w:val="1"/>
                <w:szCs w:val="1"/>
                <w:color w:val="auto"/>
              </w:rPr>
            </w:pPr>
          </w:p>
        </w:tc>
      </w:tr>
      <w:tr>
        <w:trPr>
          <w:trHeight w:val="250"/>
        </w:trPr>
        <w:tc>
          <w:tcPr>
            <w:tcW w:w="5880" w:type="dxa"/>
            <w:vAlign w:val="bottom"/>
            <w:gridSpan w:val="3"/>
          </w:tcPr>
          <w:p>
            <w:pPr>
              <w:spacing w:after="0"/>
              <w:rPr>
                <w:sz w:val="20"/>
                <w:szCs w:val="20"/>
                <w:color w:val="auto"/>
              </w:rPr>
            </w:pPr>
            <w:r>
              <w:rPr>
                <w:rFonts w:ascii="Arial" w:cs="Arial" w:eastAsia="Arial" w:hAnsi="Arial"/>
                <w:sz w:val="19"/>
                <w:szCs w:val="19"/>
                <w:color w:val="auto"/>
              </w:rPr>
              <w:t>Amortization of capitalized expenses relating to indebtedness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1,697,904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0"/>
              </w:rPr>
              <w:t>11,347,766</w:t>
            </w:r>
          </w:p>
        </w:tc>
        <w:tc>
          <w:tcPr>
            <w:tcW w:w="300" w:type="dxa"/>
            <w:vAlign w:val="bottom"/>
          </w:tcPr>
          <w:p>
            <w:pPr>
              <w:spacing w:after="0"/>
              <w:rPr>
                <w:sz w:val="21"/>
                <w:szCs w:val="21"/>
                <w:color w:val="auto"/>
              </w:rPr>
            </w:pPr>
          </w:p>
        </w:tc>
        <w:tc>
          <w:tcPr>
            <w:tcW w:w="1520" w:type="dxa"/>
            <w:vAlign w:val="bottom"/>
            <w:tcBorders>
              <w:bottom w:val="single" w:sz="8" w:color="auto"/>
            </w:tcBorders>
          </w:tcPr>
          <w:p>
            <w:pPr>
              <w:jc w:val="right"/>
              <w:ind w:right="11"/>
              <w:spacing w:after="0"/>
              <w:rPr>
                <w:sz w:val="20"/>
                <w:szCs w:val="20"/>
                <w:color w:val="auto"/>
              </w:rPr>
            </w:pPr>
            <w:r>
              <w:rPr>
                <w:rFonts w:ascii="Arial" w:cs="Arial" w:eastAsia="Arial" w:hAnsi="Arial"/>
                <w:sz w:val="19"/>
                <w:szCs w:val="19"/>
                <w:color w:val="auto"/>
              </w:rPr>
              <w:t>376,706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Total Fixed Charges</w:t>
            </w: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w:t>
            </w:r>
          </w:p>
        </w:tc>
        <w:tc>
          <w:tcPr>
            <w:tcW w:w="300" w:type="dxa"/>
            <w:vAlign w:val="bottom"/>
            <w:shd w:val="clear" w:color="auto" w:fill="E5FFFF"/>
          </w:tcPr>
          <w:p>
            <w:pPr>
              <w:spacing w:after="0"/>
              <w:rPr>
                <w:sz w:val="21"/>
                <w:szCs w:val="21"/>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12,075,948</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90"/>
              </w:rPr>
              <w:t>25,999,008</w:t>
            </w:r>
          </w:p>
        </w:tc>
        <w:tc>
          <w:tcPr>
            <w:tcW w:w="300" w:type="dxa"/>
            <w:vAlign w:val="bottom"/>
            <w:shd w:val="clear" w:color="auto" w:fill="E5FFFF"/>
          </w:tcPr>
          <w:p>
            <w:pPr>
              <w:spacing w:after="0"/>
              <w:rPr>
                <w:sz w:val="21"/>
                <w:szCs w:val="21"/>
                <w:color w:val="auto"/>
              </w:rPr>
            </w:pPr>
          </w:p>
        </w:tc>
        <w:tc>
          <w:tcPr>
            <w:tcW w:w="15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9"/>
                <w:szCs w:val="19"/>
                <w:b w:val="1"/>
                <w:bCs w:val="1"/>
                <w:color w:val="auto"/>
              </w:rPr>
              <w:t>3,924,546</w:t>
            </w:r>
          </w:p>
        </w:tc>
        <w:tc>
          <w:tcPr>
            <w:tcW w:w="0" w:type="dxa"/>
            <w:vAlign w:val="bottom"/>
          </w:tcPr>
          <w:p>
            <w:pPr>
              <w:spacing w:after="0"/>
              <w:rPr>
                <w:sz w:val="1"/>
                <w:szCs w:val="1"/>
                <w:color w:val="auto"/>
              </w:rPr>
            </w:pPr>
          </w:p>
        </w:tc>
      </w:tr>
      <w:tr>
        <w:trPr>
          <w:trHeight w:val="250"/>
        </w:trPr>
        <w:tc>
          <w:tcPr>
            <w:tcW w:w="5880" w:type="dxa"/>
            <w:vAlign w:val="bottom"/>
            <w:gridSpan w:val="3"/>
          </w:tcPr>
          <w:p>
            <w:pPr>
              <w:spacing w:after="0"/>
              <w:rPr>
                <w:sz w:val="20"/>
                <w:szCs w:val="20"/>
                <w:color w:val="auto"/>
              </w:rPr>
            </w:pPr>
            <w:r>
              <w:rPr>
                <w:rFonts w:ascii="Arial" w:cs="Arial" w:eastAsia="Arial" w:hAnsi="Arial"/>
                <w:sz w:val="19"/>
                <w:szCs w:val="19"/>
                <w:b w:val="1"/>
                <w:bCs w:val="1"/>
                <w:color w:val="auto"/>
              </w:rPr>
              <w:t>Ratio of Earnings to Fixed Charges</w:t>
            </w:r>
            <w:r>
              <w:rPr>
                <w:rFonts w:ascii="Arial" w:cs="Arial" w:eastAsia="Arial" w:hAnsi="Arial"/>
                <w:sz w:val="10"/>
                <w:szCs w:val="10"/>
                <w:b w:val="1"/>
                <w:bCs w:val="1"/>
                <w:color w:val="auto"/>
              </w:rPr>
              <w:t>(1)</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3.17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2.12</w:t>
            </w:r>
          </w:p>
        </w:tc>
        <w:tc>
          <w:tcPr>
            <w:tcW w:w="1820" w:type="dxa"/>
            <w:vAlign w:val="bottom"/>
            <w:gridSpan w:val="2"/>
          </w:tcPr>
          <w:p>
            <w:pPr>
              <w:jc w:val="right"/>
              <w:ind w:right="11"/>
              <w:spacing w:after="0"/>
              <w:rPr>
                <w:sz w:val="20"/>
                <w:szCs w:val="20"/>
                <w:color w:val="auto"/>
              </w:rPr>
            </w:pPr>
            <w:r>
              <w:rPr>
                <w:rFonts w:ascii="Arial" w:cs="Arial" w:eastAsia="Arial" w:hAnsi="Arial"/>
                <w:sz w:val="19"/>
                <w:szCs w:val="19"/>
                <w:b w:val="1"/>
                <w:bCs w:val="1"/>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Dollar Amount of the Coverage Deficiency</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861,061</w:t>
            </w:r>
          </w:p>
        </w:tc>
        <w:tc>
          <w:tcPr>
            <w:tcW w:w="300" w:type="dxa"/>
            <w:vAlign w:val="bottom"/>
            <w:shd w:val="clear" w:color="auto" w:fill="E5FFFF"/>
          </w:tcPr>
          <w:p>
            <w:pPr>
              <w:spacing w:after="0"/>
              <w:rPr>
                <w:sz w:val="20"/>
                <w:szCs w:val="20"/>
                <w:color w:val="auto"/>
              </w:rPr>
            </w:pPr>
          </w:p>
        </w:tc>
        <w:tc>
          <w:tcPr>
            <w:tcW w:w="1580" w:type="dxa"/>
            <w:vAlign w:val="bottom"/>
            <w:gridSpan w:val="3"/>
            <w:shd w:val="clear" w:color="auto" w:fill="E5FFFF"/>
          </w:tcPr>
          <w:p>
            <w:pPr>
              <w:ind w:left="780"/>
              <w:spacing w:after="0"/>
              <w:rPr>
                <w:sz w:val="20"/>
                <w:szCs w:val="20"/>
                <w:color w:val="auto"/>
              </w:rPr>
            </w:pPr>
            <w:r>
              <w:rPr>
                <w:rFonts w:ascii="Arial" w:cs="Arial" w:eastAsia="Arial" w:hAnsi="Arial"/>
                <w:sz w:val="19"/>
                <w:szCs w:val="19"/>
                <w:b w:val="1"/>
                <w:bCs w:val="1"/>
                <w:color w:val="auto"/>
              </w:rPr>
              <w:t>n/a</w:t>
            </w: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n/a</w:t>
            </w:r>
          </w:p>
        </w:tc>
        <w:tc>
          <w:tcPr>
            <w:tcW w:w="300" w:type="dxa"/>
            <w:vAlign w:val="bottom"/>
            <w:shd w:val="clear" w:color="auto" w:fill="E5FFFF"/>
          </w:tcPr>
          <w:p>
            <w:pPr>
              <w:spacing w:after="0"/>
              <w:rPr>
                <w:sz w:val="20"/>
                <w:szCs w:val="20"/>
                <w:color w:val="auto"/>
              </w:rPr>
            </w:pPr>
          </w:p>
        </w:tc>
        <w:tc>
          <w:tcPr>
            <w:tcW w:w="1520" w:type="dxa"/>
            <w:vAlign w:val="bottom"/>
            <w:shd w:val="clear" w:color="auto" w:fill="E5FFFF"/>
          </w:tcPr>
          <w:p>
            <w:pPr>
              <w:jc w:val="right"/>
              <w:ind w:right="11"/>
              <w:spacing w:after="0"/>
              <w:rPr>
                <w:sz w:val="20"/>
                <w:szCs w:val="20"/>
                <w:color w:val="auto"/>
              </w:rPr>
            </w:pPr>
            <w:r>
              <w:rPr>
                <w:rFonts w:ascii="Arial" w:cs="Arial" w:eastAsia="Arial" w:hAnsi="Arial"/>
                <w:sz w:val="19"/>
                <w:szCs w:val="19"/>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00" w:hanging="213"/>
        <w:spacing w:after="0"/>
        <w:tabs>
          <w:tab w:leader="none" w:pos="300" w:val="left"/>
        </w:tabs>
        <w:numPr>
          <w:ilvl w:val="0"/>
          <w:numId w:val="47"/>
        </w:numPr>
        <w:rPr>
          <w:rFonts w:ascii="Arial" w:cs="Arial" w:eastAsia="Arial" w:hAnsi="Arial"/>
          <w:sz w:val="21"/>
          <w:szCs w:val="21"/>
          <w:color w:val="auto"/>
          <w:vertAlign w:val="superscript"/>
        </w:rPr>
      </w:pPr>
      <w:r>
        <w:rPr>
          <w:rFonts w:ascii="Arial" w:cs="Arial" w:eastAsia="Arial" w:hAnsi="Arial"/>
          <w:sz w:val="19"/>
          <w:szCs w:val="19"/>
          <w:color w:val="auto"/>
        </w:rPr>
        <w:t>For purposes of calculating the ratios above:</w:t>
      </w:r>
    </w:p>
    <w:p>
      <w:pPr>
        <w:spacing w:after="0" w:line="96" w:lineRule="exact"/>
        <w:rPr>
          <w:rFonts w:ascii="Arial" w:cs="Arial" w:eastAsia="Arial" w:hAnsi="Arial"/>
          <w:sz w:val="21"/>
          <w:szCs w:val="21"/>
          <w:color w:val="auto"/>
          <w:vertAlign w:val="superscript"/>
        </w:rPr>
      </w:pPr>
    </w:p>
    <w:p>
      <w:pPr>
        <w:ind w:left="540" w:right="20" w:hanging="168"/>
        <w:spacing w:after="0" w:line="283" w:lineRule="auto"/>
        <w:tabs>
          <w:tab w:leader="none" w:pos="540" w:val="left"/>
        </w:tabs>
        <w:numPr>
          <w:ilvl w:val="1"/>
          <w:numId w:val="47"/>
        </w:numPr>
        <w:rPr>
          <w:rFonts w:ascii="Arial" w:cs="Arial" w:eastAsia="Arial" w:hAnsi="Arial"/>
          <w:sz w:val="19"/>
          <w:szCs w:val="19"/>
          <w:color w:val="auto"/>
        </w:rPr>
      </w:pPr>
      <w:r>
        <w:rPr>
          <w:rFonts w:ascii="Arial" w:cs="Arial" w:eastAsia="Arial" w:hAnsi="Arial"/>
          <w:sz w:val="19"/>
          <w:szCs w:val="19"/>
          <w:color w:val="auto"/>
        </w:rPr>
        <w:t>“earnings” is the result of adding (a) pre-tax (loss)/income from continuing operations (which includes non-cash unrealized gains and losses on derivative financial instruments) and (b) fixed charges;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1"/>
          <w:numId w:val="47"/>
        </w:numPr>
        <w:rPr>
          <w:rFonts w:ascii="Arial" w:cs="Arial" w:eastAsia="Arial" w:hAnsi="Arial"/>
          <w:sz w:val="19"/>
          <w:szCs w:val="19"/>
          <w:color w:val="auto"/>
        </w:rPr>
      </w:pPr>
      <w:r>
        <w:rPr>
          <w:rFonts w:ascii="Arial" w:cs="Arial" w:eastAsia="Arial" w:hAnsi="Arial"/>
          <w:sz w:val="19"/>
          <w:szCs w:val="19"/>
          <w:color w:val="auto"/>
        </w:rPr>
        <w:t>“fixed charges” represent (i) interest incurred and (ii) amortization of capitalized expenses related to indebtedness.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9"/>
          <w:szCs w:val="19"/>
          <w:b w:val="1"/>
          <w:bCs w:val="1"/>
          <w:color w:val="auto"/>
        </w:rPr>
        <w:t>USE OF PROCEEDS</w:t>
      </w:r>
    </w:p>
    <w:p>
      <w:pPr>
        <w:spacing w:after="0" w:line="125"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Unless otherwise set forth in the applicable prospectus supplement, we intend to use the net proceeds received from the sale of the securities we offer by this prospectus for general corporate purposes.</w:t>
      </w:r>
    </w:p>
    <w:p>
      <w:pPr>
        <w:spacing w:after="0" w:line="52" w:lineRule="exact"/>
        <w:rPr>
          <w:sz w:val="20"/>
          <w:szCs w:val="20"/>
          <w:color w:val="auto"/>
        </w:rPr>
      </w:pPr>
    </w:p>
    <w:p>
      <w:pPr>
        <w:ind w:right="220" w:firstLine="357"/>
        <w:spacing w:after="0" w:line="312"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CAPITALIZATION AND INDEBTEDNESS</w:t>
      </w:r>
    </w:p>
    <w:p>
      <w:pPr>
        <w:spacing w:after="0" w:line="112"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Our capitalization and indebtedness will be set forth in a prospectus supplement to this prospectus or in a report on Form 6-K subsequently furnished to the SEC and specifically incorporated herein by reference.</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COMMON UNITS</w:t>
      </w:r>
    </w:p>
    <w:p>
      <w:pPr>
        <w:spacing w:after="0" w:line="125"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A description of our Common Units can be found in our registration statement on the description of our Common Units which is contained in our registration statement on Form 8-A (File No. 001-36433), filed with the SEC on April 30, 2014, including any amendment or report filed for the purpose of updating such description.</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THE OTHER CLASSES OF UNITS</w:t>
      </w:r>
    </w:p>
    <w:p>
      <w:pPr>
        <w:spacing w:after="0" w:line="125" w:lineRule="exact"/>
        <w:rPr>
          <w:sz w:val="20"/>
          <w:szCs w:val="20"/>
          <w:color w:val="auto"/>
        </w:rPr>
      </w:pPr>
    </w:p>
    <w:p>
      <w:pPr>
        <w:ind w:right="380" w:firstLine="357"/>
        <w:spacing w:after="0" w:line="289" w:lineRule="auto"/>
        <w:rPr>
          <w:sz w:val="20"/>
          <w:szCs w:val="20"/>
          <w:color w:val="auto"/>
        </w:rPr>
      </w:pPr>
      <w:r>
        <w:rPr>
          <w:rFonts w:ascii="Arial" w:cs="Arial" w:eastAsia="Arial" w:hAnsi="Arial"/>
          <w:sz w:val="18"/>
          <w:szCs w:val="18"/>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As of June 1, 2015, no classes of limited partnership interests were outstanding other than the Common Units and subordinated units.</w:t>
      </w:r>
    </w:p>
    <w:p>
      <w:pPr>
        <w:spacing w:after="0" w:line="49"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pacing w:after="0" w:line="54" w:lineRule="exact"/>
        <w:rPr>
          <w:sz w:val="20"/>
          <w:szCs w:val="20"/>
          <w:color w:val="auto"/>
        </w:rPr>
      </w:pPr>
    </w:p>
    <w:p>
      <w:pPr>
        <w:ind w:left="540" w:hanging="168"/>
        <w:spacing w:after="0"/>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right to share in partnership distributions;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rights upon our dissolution and liquidation;</w:t>
      </w:r>
    </w:p>
    <w:p>
      <w:pPr>
        <w:spacing w:after="0" w:line="105" w:lineRule="exact"/>
        <w:rPr>
          <w:rFonts w:ascii="Arial" w:cs="Arial" w:eastAsia="Arial" w:hAnsi="Arial"/>
          <w:sz w:val="19"/>
          <w:szCs w:val="19"/>
          <w:color w:val="auto"/>
        </w:rPr>
      </w:pPr>
    </w:p>
    <w:p>
      <w:pPr>
        <w:ind w:left="540" w:right="760" w:hanging="168"/>
        <w:spacing w:after="0" w:line="283" w:lineRule="auto"/>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whether, and the terms and conditions upon which, we may or shall be required to redeem the Other Units (including sinking fund provisions);</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whether the Other Units are issued with the privilege of conversion or exchange and, if so, the terms and conditions of such conversion or exchange;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terms and conditions upon which Other Units will be issued, evidenced by certificates and assigned or transferred;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method for determining the Percentage Interest (as defined in our partnership agreement) as to such Other Units; and</w:t>
      </w:r>
    </w:p>
    <w:p>
      <w:pPr>
        <w:spacing w:after="0" w:line="105" w:lineRule="exact"/>
        <w:rPr>
          <w:rFonts w:ascii="Arial" w:cs="Arial" w:eastAsia="Arial" w:hAnsi="Arial"/>
          <w:sz w:val="19"/>
          <w:szCs w:val="19"/>
          <w:color w:val="auto"/>
        </w:rPr>
      </w:pPr>
    </w:p>
    <w:p>
      <w:pPr>
        <w:ind w:left="540" w:right="740" w:hanging="168"/>
        <w:spacing w:after="0" w:line="283" w:lineRule="auto"/>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right, if any, of each Other Unit to vote on partnership matters, including matters relating to the relative rights, preferences and privileges of such Other Units.</w:t>
      </w:r>
    </w:p>
    <w:p>
      <w:pPr>
        <w:spacing w:after="0" w:line="6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54" w:lineRule="exact"/>
        <w:rPr>
          <w:sz w:val="20"/>
          <w:szCs w:val="20"/>
          <w:color w:val="auto"/>
        </w:rPr>
      </w:pPr>
    </w:p>
    <w:p>
      <w:pPr>
        <w:ind w:right="560" w:firstLine="357"/>
        <w:spacing w:after="0" w:line="28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9"/>
          <w:szCs w:val="19"/>
          <w:b w:val="1"/>
          <w:bCs w:val="1"/>
          <w:color w:val="auto"/>
        </w:rPr>
        <w:t>DESCRIPTION OF DEBT SECURITIES</w:t>
      </w:r>
    </w:p>
    <w:p>
      <w:pPr>
        <w:spacing w:after="0" w:line="125" w:lineRule="exact"/>
        <w:rPr>
          <w:sz w:val="20"/>
          <w:szCs w:val="20"/>
          <w:color w:val="auto"/>
        </w:rPr>
      </w:pPr>
    </w:p>
    <w:p>
      <w:pPr>
        <w:ind w:right="60" w:firstLine="357"/>
        <w:spacing w:after="0" w:line="297" w:lineRule="auto"/>
        <w:rPr>
          <w:sz w:val="20"/>
          <w:szCs w:val="20"/>
          <w:color w:val="auto"/>
        </w:rPr>
      </w:pPr>
      <w:r>
        <w:rPr>
          <w:rFonts w:ascii="Arial" w:cs="Arial" w:eastAsia="Arial" w:hAnsi="Arial"/>
          <w:sz w:val="17"/>
          <w:szCs w:val="17"/>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46"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72"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Payments</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76"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Specified in the Applicable Prospectus Supplement</w:t>
      </w:r>
    </w:p>
    <w:p>
      <w:pPr>
        <w:spacing w:after="0" w:line="125"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The applicable prospectus supplement will contain, where applicable, the following terms of, and other information relating to, any offered debt securities:</w:t>
      </w:r>
    </w:p>
    <w:p>
      <w:pPr>
        <w:spacing w:after="0" w:line="38" w:lineRule="exact"/>
        <w:rPr>
          <w:sz w:val="20"/>
          <w:szCs w:val="20"/>
          <w:color w:val="auto"/>
        </w:rPr>
      </w:pPr>
    </w:p>
    <w:p>
      <w:pPr>
        <w:ind w:left="540" w:hanging="168"/>
        <w:spacing w:after="0"/>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specific designation;</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limit on the aggregate principal amount of the debt securities, their purchase price and denomination;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currency in which the debt securities are denominated and/or in which principal, premium, if any, and/or interest, if any, is payable;</w:t>
      </w:r>
    </w:p>
    <w:p>
      <w:pPr>
        <w:spacing w:after="0" w:line="1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71" w:name="page72"/>
    <w:bookmarkEnd w:id="71"/>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date of maturity;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interest rate or rates or the method by which the calculation agent will determine the interest rate or rates,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interest payment dates,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place or places for payment of the principal of and any premium and/or interest on the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repayment, redemption, prepayment or sinking fund provisions, including any redemption notice provisions;</w:t>
      </w:r>
    </w:p>
    <w:p>
      <w:pPr>
        <w:spacing w:after="0" w:line="105" w:lineRule="exact"/>
        <w:rPr>
          <w:rFonts w:ascii="Arial" w:cs="Arial" w:eastAsia="Arial" w:hAnsi="Arial"/>
          <w:sz w:val="19"/>
          <w:szCs w:val="19"/>
          <w:color w:val="auto"/>
        </w:rPr>
      </w:pPr>
    </w:p>
    <w:p>
      <w:pPr>
        <w:ind w:left="540" w:right="80" w:hanging="168"/>
        <w:spacing w:after="0" w:line="339"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whether we will issue the debt securities in definitive form and under what terms and conditions;</w:t>
      </w:r>
    </w:p>
    <w:p>
      <w:pPr>
        <w:spacing w:after="0" w:line="105" w:lineRule="exact"/>
        <w:rPr>
          <w:rFonts w:ascii="Arial" w:cs="Arial" w:eastAsia="Arial" w:hAnsi="Arial"/>
          <w:sz w:val="19"/>
          <w:szCs w:val="19"/>
          <w:color w:val="auto"/>
        </w:rPr>
      </w:pPr>
    </w:p>
    <w:p>
      <w:pPr>
        <w:ind w:left="540" w:hanging="168"/>
        <w:spacing w:after="0" w:line="267" w:lineRule="auto"/>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54" w:lineRule="exact"/>
        <w:rPr>
          <w:rFonts w:ascii="Arial" w:cs="Arial" w:eastAsia="Arial" w:hAnsi="Arial"/>
          <w:sz w:val="19"/>
          <w:szCs w:val="19"/>
          <w:color w:val="auto"/>
        </w:rPr>
      </w:pPr>
    </w:p>
    <w:p>
      <w:pPr>
        <w:ind w:left="540" w:right="300" w:hanging="168"/>
        <w:spacing w:after="0" w:line="283" w:lineRule="auto"/>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agents for the debt securities, including trustees, depositaries, authenticating or paying agents, transfer agents or registrars;</w:t>
      </w:r>
    </w:p>
    <w:p>
      <w:pPr>
        <w:spacing w:after="0" w:line="105" w:lineRule="exact"/>
        <w:rPr>
          <w:rFonts w:ascii="Arial" w:cs="Arial" w:eastAsia="Arial" w:hAnsi="Arial"/>
          <w:sz w:val="19"/>
          <w:szCs w:val="19"/>
          <w:color w:val="auto"/>
        </w:rPr>
      </w:pPr>
    </w:p>
    <w:p>
      <w:pPr>
        <w:ind w:left="540" w:right="240" w:hanging="168"/>
        <w:spacing w:after="0" w:line="339"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material United States federal income tax or other income tax consequences, including, but not limited to:</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tax considerations applicable to any discounted debt securities or to debt securities issued at par that are treated as having been issued at a discount for United States federal income tax purposes;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tax considerations applicable to any debt securities denominated and payable in non-United States currencies;</w:t>
      </w:r>
    </w:p>
    <w:p>
      <w:pPr>
        <w:spacing w:after="0" w:line="105" w:lineRule="exact"/>
        <w:rPr>
          <w:rFonts w:ascii="Arial" w:cs="Arial" w:eastAsia="Arial" w:hAnsi="Arial"/>
          <w:sz w:val="19"/>
          <w:szCs w:val="19"/>
          <w:color w:val="auto"/>
        </w:rPr>
      </w:pPr>
    </w:p>
    <w:p>
      <w:pPr>
        <w:ind w:left="540" w:right="600" w:hanging="168"/>
        <w:spacing w:after="0" w:line="283" w:lineRule="auto"/>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whether certain payments on the debt securities will be guaranteed under a financial insurance guarantee policy and the terms of that guarantee;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whether the debt securities will be secured;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applicable selling restrictions; and</w:t>
      </w:r>
    </w:p>
    <w:p>
      <w:pPr>
        <w:spacing w:after="0" w:line="105" w:lineRule="exact"/>
        <w:rPr>
          <w:rFonts w:ascii="Arial" w:cs="Arial" w:eastAsia="Arial" w:hAnsi="Arial"/>
          <w:sz w:val="19"/>
          <w:szCs w:val="19"/>
          <w:color w:val="auto"/>
        </w:rPr>
      </w:pPr>
    </w:p>
    <w:p>
      <w:pPr>
        <w:ind w:left="540" w:right="480" w:hanging="168"/>
        <w:spacing w:after="0" w:line="283" w:lineRule="auto"/>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52" w:lineRule="exact"/>
        <w:rPr>
          <w:sz w:val="20"/>
          <w:szCs w:val="20"/>
          <w:color w:val="auto"/>
        </w:rPr>
      </w:pPr>
    </w:p>
    <w:p>
      <w:pPr>
        <w:jc w:val="both"/>
        <w:ind w:right="520" w:firstLine="357"/>
        <w:spacing w:after="0" w:line="313" w:lineRule="auto"/>
        <w:rPr>
          <w:sz w:val="20"/>
          <w:szCs w:val="20"/>
          <w:color w:val="auto"/>
        </w:rPr>
      </w:pPr>
      <w:r>
        <w:rPr>
          <w:rFonts w:ascii="Arial" w:cs="Arial" w:eastAsia="Arial" w:hAnsi="Arial"/>
          <w:sz w:val="17"/>
          <w:szCs w:val="17"/>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and Transfer of Debt Securities</w:t>
      </w:r>
    </w:p>
    <w:p>
      <w:pPr>
        <w:spacing w:after="0" w:line="125"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Holders may present debt securities for exchange, and holders of registered debt securities may present these securities for transfer, in the manner, at the places and subject to the restrictions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72" w:name="page73"/>
    <w:bookmarkEnd w:id="72"/>
    <w:p>
      <w:pPr>
        <w:ind w:right="100"/>
        <w:spacing w:after="0" w:line="277" w:lineRule="auto"/>
        <w:rPr>
          <w:sz w:val="20"/>
          <w:szCs w:val="20"/>
          <w:color w:val="auto"/>
        </w:rPr>
      </w:pPr>
      <w:r>
        <w:rPr>
          <w:rFonts w:ascii="Arial" w:cs="Arial" w:eastAsia="Arial" w:hAnsi="Arial"/>
          <w:sz w:val="18"/>
          <w:szCs w:val="18"/>
          <w:color w:val="auto"/>
        </w:rPr>
        <w:t>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Events of Default</w:t>
      </w:r>
    </w:p>
    <w:p>
      <w:pPr>
        <w:spacing w:after="0" w:line="125"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7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41" w:lineRule="exact"/>
        <w:rPr>
          <w:sz w:val="20"/>
          <w:szCs w:val="20"/>
          <w:color w:val="auto"/>
        </w:rPr>
      </w:pPr>
    </w:p>
    <w:p>
      <w:pPr>
        <w:ind w:left="540" w:hanging="168"/>
        <w:spacing w:after="0"/>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default is made for more than 30 days in the payment of interest, premium or principal in respect of the securities;</w:t>
      </w:r>
    </w:p>
    <w:p>
      <w:pPr>
        <w:spacing w:after="0" w:line="105"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we fail to perform or observe any of our other obligations under the securities and this failure has continued for the period of 60 days next following the service on us of notice requiring the same to be remedied;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bankruptcy, insolvency or reorganization under any applicable bankruptcy, insolvency or insolvency related reorganization law;</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 order is made or an effective resolution is passed for the winding up or liquidation of us; or</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other event of default provided in the supplemental indenture or resolution of the board of directors, if any, under which that series of debt securities is issued.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Acceleration of Debt Securities Upon an Event of Default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provides that, unless otherwise set forth in a supplemental indenture:</w:t>
      </w:r>
    </w:p>
    <w:p>
      <w:pPr>
        <w:spacing w:after="0" w:line="106" w:lineRule="exact"/>
        <w:rPr>
          <w:sz w:val="20"/>
          <w:szCs w:val="20"/>
          <w:color w:val="auto"/>
        </w:rPr>
      </w:pPr>
    </w:p>
    <w:p>
      <w:pPr>
        <w:ind w:left="540" w:right="20" w:hanging="168"/>
        <w:spacing w:after="0" w:line="275"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49" w:lineRule="exact"/>
        <w:rPr>
          <w:rFonts w:ascii="Arial" w:cs="Arial" w:eastAsia="Arial" w:hAnsi="Arial"/>
          <w:sz w:val="18"/>
          <w:szCs w:val="18"/>
          <w:color w:val="auto"/>
        </w:rPr>
      </w:pPr>
    </w:p>
    <w:p>
      <w:pPr>
        <w:ind w:left="540" w:hanging="168"/>
        <w:spacing w:after="0" w:line="283" w:lineRule="auto"/>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38" w:lineRule="exact"/>
        <w:rPr>
          <w:rFonts w:ascii="Arial" w:cs="Arial" w:eastAsia="Arial" w:hAnsi="Arial"/>
          <w:sz w:val="19"/>
          <w:szCs w:val="19"/>
          <w:color w:val="auto"/>
        </w:rPr>
      </w:pPr>
    </w:p>
    <w:p>
      <w:pPr>
        <w:ind w:left="540" w:right="180" w:hanging="168"/>
        <w:spacing w:after="0" w:line="277"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73" w:name="page74"/>
    <w:bookmarkEnd w:id="73"/>
    <w:p>
      <w:pPr>
        <w:spacing w:after="0"/>
        <w:rPr>
          <w:sz w:val="20"/>
          <w:szCs w:val="20"/>
          <w:color w:val="auto"/>
        </w:rPr>
      </w:pPr>
      <w:r>
        <w:rPr>
          <w:rFonts w:ascii="Arial" w:cs="Arial" w:eastAsia="Arial" w:hAnsi="Arial"/>
          <w:sz w:val="19"/>
          <w:szCs w:val="19"/>
          <w:b w:val="1"/>
          <w:bCs w:val="1"/>
          <w:color w:val="auto"/>
        </w:rPr>
        <w:t>Annulment of Acceleration and Waiver of Defaults</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of Trustee for Actions Taken on Your Behalf</w:t>
      </w:r>
    </w:p>
    <w:p>
      <w:pPr>
        <w:spacing w:after="0" w:line="125" w:lineRule="exact"/>
        <w:rPr>
          <w:sz w:val="20"/>
          <w:szCs w:val="20"/>
          <w:color w:val="auto"/>
        </w:rPr>
      </w:pPr>
    </w:p>
    <w:p>
      <w:pPr>
        <w:ind w:right="100" w:firstLine="357"/>
        <w:spacing w:after="0" w:line="272" w:lineRule="auto"/>
        <w:rPr>
          <w:sz w:val="20"/>
          <w:szCs w:val="20"/>
          <w:color w:val="auto"/>
        </w:rPr>
      </w:pPr>
      <w:r>
        <w:rPr>
          <w:rFonts w:ascii="Arial" w:cs="Arial" w:eastAsia="Arial" w:hAnsi="Arial"/>
          <w:sz w:val="18"/>
          <w:szCs w:val="18"/>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 on Actions by You as an Individual Holder</w:t>
      </w:r>
    </w:p>
    <w:p>
      <w:pPr>
        <w:spacing w:after="0" w:line="125"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38" w:lineRule="exact"/>
        <w:rPr>
          <w:sz w:val="20"/>
          <w:szCs w:val="20"/>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holder must have previously given written notice to the trustee of the continuing default;</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holders of not less than 25% in aggregate principal amount of the outstanding debt securities of each affected series, treated as one class, must have: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requested the trustee to institute that action;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offered the trustee indemnity satisfactory to it;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trustee must have failed to institute that action within 60 days after receipt of the request referred to above; and</w:t>
      </w:r>
    </w:p>
    <w:p>
      <w:pPr>
        <w:spacing w:after="0" w:line="105" w:lineRule="exact"/>
        <w:rPr>
          <w:rFonts w:ascii="Arial" w:cs="Arial" w:eastAsia="Arial" w:hAnsi="Arial"/>
          <w:sz w:val="19"/>
          <w:szCs w:val="19"/>
          <w:color w:val="auto"/>
        </w:rPr>
      </w:pPr>
    </w:p>
    <w:p>
      <w:pPr>
        <w:ind w:left="540" w:right="280" w:hanging="168"/>
        <w:spacing w:after="0" w:line="283" w:lineRule="auto"/>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52"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The indenture contains a covenant that we will file annually with the trustee a certificate of no default or a certificate specifying any default that exists.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Discharge, Defeasance and Covenant Defeasance</w:t>
      </w:r>
    </w:p>
    <w:p>
      <w:pPr>
        <w:spacing w:after="0" w:line="125"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We have the ability to eliminate most or all of our obligations on any series of debt securities prior to maturity if we comply with the following provisions: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Discharge of Indenture. </w:t>
      </w:r>
      <w:r>
        <w:rPr>
          <w:rFonts w:ascii="Arial" w:cs="Arial" w:eastAsia="Arial" w:hAnsi="Arial"/>
          <w:sz w:val="17"/>
          <w:szCs w:val="17"/>
          <w:color w:val="auto"/>
        </w:rPr>
        <w:t>We may discharge all of our obligations, other than as to transfers and exchanges, under the indenture after we have:</w:t>
      </w:r>
    </w:p>
    <w:p>
      <w:pPr>
        <w:spacing w:after="0" w:line="115" w:lineRule="exact"/>
        <w:rPr>
          <w:sz w:val="20"/>
          <w:szCs w:val="20"/>
          <w:color w:val="auto"/>
        </w:rPr>
      </w:pPr>
    </w:p>
    <w:p>
      <w:pPr>
        <w:ind w:left="540" w:hanging="168"/>
        <w:spacing w:after="0"/>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paid or caused to be paid the principal of and interest on all of the outstanding debt securities in accordance with their terms;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delivered to the trustee for cancellation all of the outstanding debt securities; or</w:t>
      </w:r>
    </w:p>
    <w:p>
      <w:pPr>
        <w:spacing w:after="0" w:line="105" w:lineRule="exact"/>
        <w:rPr>
          <w:rFonts w:ascii="Arial" w:cs="Arial" w:eastAsia="Arial" w:hAnsi="Arial"/>
          <w:sz w:val="19"/>
          <w:szCs w:val="19"/>
          <w:color w:val="auto"/>
        </w:rPr>
      </w:pPr>
    </w:p>
    <w:p>
      <w:pPr>
        <w:ind w:left="540" w:right="620" w:hanging="168"/>
        <w:spacing w:after="0" w:line="344"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74" w:name="page75"/>
    <w:bookmarkEnd w:id="74"/>
    <w:p>
      <w:pPr>
        <w:ind w:left="520" w:right="60"/>
        <w:spacing w:after="0" w:line="259" w:lineRule="auto"/>
        <w:rPr>
          <w:sz w:val="20"/>
          <w:szCs w:val="20"/>
          <w:color w:val="auto"/>
        </w:rPr>
      </w:pPr>
      <w:r>
        <w:rPr>
          <w:rFonts w:ascii="Arial" w:cs="Arial" w:eastAsia="Arial" w:hAnsi="Arial"/>
          <w:sz w:val="19"/>
          <w:szCs w:val="19"/>
          <w:color w:val="auto"/>
        </w:rPr>
        <w:t>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77"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b w:val="1"/>
          <w:bCs w:val="1"/>
          <w:i w:val="1"/>
          <w:iCs w:val="1"/>
          <w:color w:val="auto"/>
        </w:rPr>
        <w:t xml:space="preserve">Defeasance of a Series of Securities at Any Time. </w:t>
      </w:r>
      <w:r>
        <w:rPr>
          <w:rFonts w:ascii="Arial" w:cs="Arial" w:eastAsia="Arial" w:hAnsi="Arial"/>
          <w:sz w:val="19"/>
          <w:szCs w:val="19"/>
          <w:color w:val="auto"/>
        </w:rPr>
        <w:t>We may also discharge all of our obligations, other than as to transfers and exchanges,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any series 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Defeasance or covenant defeasance may be effected only if, among other things:</w:t>
      </w:r>
    </w:p>
    <w:p>
      <w:pPr>
        <w:spacing w:after="0" w:line="106" w:lineRule="exact"/>
        <w:rPr>
          <w:sz w:val="20"/>
          <w:szCs w:val="20"/>
          <w:color w:val="auto"/>
        </w:rPr>
      </w:pPr>
    </w:p>
    <w:p>
      <w:pPr>
        <w:ind w:left="540" w:hanging="168"/>
        <w:spacing w:after="0" w:line="289"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irrevocably deposit with the trustee cash or, in the case of debt securities payable only in U. 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22" w:lineRule="exact"/>
        <w:rPr>
          <w:rFonts w:ascii="Arial" w:cs="Arial" w:eastAsia="Arial" w:hAnsi="Arial"/>
          <w:sz w:val="18"/>
          <w:szCs w:val="18"/>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we deliver to the trustee an opinion of counsel to the effect that:</w:t>
      </w:r>
    </w:p>
    <w:p>
      <w:pPr>
        <w:spacing w:after="0" w:line="105" w:lineRule="exact"/>
        <w:rPr>
          <w:rFonts w:ascii="Arial" w:cs="Arial" w:eastAsia="Arial" w:hAnsi="Arial"/>
          <w:sz w:val="19"/>
          <w:szCs w:val="19"/>
          <w:color w:val="auto"/>
        </w:rPr>
      </w:pPr>
    </w:p>
    <w:p>
      <w:pPr>
        <w:ind w:left="540" w:right="540" w:hanging="168"/>
        <w:spacing w:after="0" w:line="283"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holders of the series of debt securities being defeased will not recognize income, gain or loss for United States federal income tax purposes as a result of the defeasance or covenant defeasance;</w:t>
      </w:r>
    </w:p>
    <w:p>
      <w:pPr>
        <w:spacing w:after="0" w:line="38" w:lineRule="exact"/>
        <w:rPr>
          <w:rFonts w:ascii="Arial" w:cs="Arial" w:eastAsia="Arial" w:hAnsi="Arial"/>
          <w:sz w:val="19"/>
          <w:szCs w:val="19"/>
          <w:color w:val="auto"/>
        </w:rPr>
      </w:pPr>
    </w:p>
    <w:p>
      <w:pPr>
        <w:ind w:left="540" w:right="260" w:hanging="168"/>
        <w:spacing w:after="0" w:line="283"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defeasance or covenant defeasance will not otherwise alter those holders’ United States federal income tax treatment of principal and interest payments on the series of debt securities being defeased; and</w:t>
      </w:r>
    </w:p>
    <w:p>
      <w:pPr>
        <w:spacing w:after="0" w:line="38" w:lineRule="exact"/>
        <w:rPr>
          <w:rFonts w:ascii="Arial" w:cs="Arial" w:eastAsia="Arial" w:hAnsi="Arial"/>
          <w:sz w:val="19"/>
          <w:szCs w:val="19"/>
          <w:color w:val="auto"/>
        </w:rPr>
      </w:pPr>
    </w:p>
    <w:p>
      <w:pPr>
        <w:ind w:left="540" w:right="420" w:hanging="168"/>
        <w:spacing w:after="0" w:line="312"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of the Indenture</w:t>
      </w:r>
    </w:p>
    <w:p>
      <w:pPr>
        <w:spacing w:after="0" w:line="125"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b w:val="1"/>
          <w:bCs w:val="1"/>
          <w:i w:val="1"/>
          <w:iCs w:val="1"/>
          <w:color w:val="auto"/>
        </w:rPr>
        <w:t xml:space="preserve">Modification without Consent of Holders. </w:t>
      </w:r>
      <w:r>
        <w:rPr>
          <w:rFonts w:ascii="Arial" w:cs="Arial" w:eastAsia="Arial" w:hAnsi="Arial"/>
          <w:sz w:val="19"/>
          <w:szCs w:val="19"/>
          <w:color w:val="auto"/>
        </w:rPr>
        <w:t>We and the trustee may enter into supplemental indentures without the consent of the holders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debt securities issued under the indenture to:</w:t>
      </w:r>
    </w:p>
    <w:p>
      <w:pPr>
        <w:spacing w:after="0" w:line="38" w:lineRule="exact"/>
        <w:rPr>
          <w:sz w:val="20"/>
          <w:szCs w:val="20"/>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secure any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evidence the assumption by a successor corporation of our obligations;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add covenants for the protection of the holders of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cure any ambiguity or correct any inconsistency;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establish the forms or terms of debt securities of any series;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evidence the acceptance of appointment by a successor trustee; or</w:t>
      </w:r>
    </w:p>
    <w:p>
      <w:pPr>
        <w:spacing w:after="0" w:line="105" w:lineRule="exact"/>
        <w:rPr>
          <w:rFonts w:ascii="Arial" w:cs="Arial" w:eastAsia="Arial" w:hAnsi="Arial"/>
          <w:sz w:val="19"/>
          <w:szCs w:val="19"/>
          <w:color w:val="auto"/>
        </w:rPr>
      </w:pPr>
    </w:p>
    <w:p>
      <w:pPr>
        <w:ind w:left="540" w:right="60" w:hanging="168"/>
        <w:spacing w:after="0" w:line="267" w:lineRule="auto"/>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68" w:lineRule="exact"/>
        <w:rPr>
          <w:sz w:val="20"/>
          <w:szCs w:val="20"/>
          <w:color w:val="auto"/>
        </w:rPr>
      </w:pPr>
    </w:p>
    <w:p>
      <w:pPr>
        <w:ind w:right="20" w:firstLine="357"/>
        <w:spacing w:after="0" w:line="289" w:lineRule="auto"/>
        <w:rPr>
          <w:sz w:val="20"/>
          <w:szCs w:val="20"/>
          <w:color w:val="auto"/>
        </w:rPr>
      </w:pPr>
      <w:r>
        <w:rPr>
          <w:rFonts w:ascii="Arial" w:cs="Arial" w:eastAsia="Arial" w:hAnsi="Arial"/>
          <w:sz w:val="18"/>
          <w:szCs w:val="18"/>
          <w:b w:val="1"/>
          <w:bCs w:val="1"/>
          <w:i w:val="1"/>
          <w:iCs w:val="1"/>
          <w:color w:val="auto"/>
        </w:rPr>
        <w:t xml:space="preserve">Modification with Consent of Holders. </w:t>
      </w:r>
      <w:r>
        <w:rPr>
          <w:rFonts w:ascii="Arial" w:cs="Arial" w:eastAsia="Arial" w:hAnsi="Arial"/>
          <w:sz w:val="18"/>
          <w:szCs w:val="18"/>
          <w:color w:val="auto"/>
        </w:rPr>
        <w:t>We and the trustee, with the consent of the holders of not less than a majority in aggregate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each affected series of outstanding debt securities, voting as one class, may add any provisions to, or change in any manner or eliminate any of the provisions of, the indenture or modify in any manner the rights of the holders of those debt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40" w:right="259" w:bottom="1440" w:gutter="0" w:footer="0" w:header="0"/>
        </w:sectPr>
      </w:pPr>
    </w:p>
    <w:bookmarkStart w:id="75" w:name="page76"/>
    <w:bookmarkEnd w:id="75"/>
    <w:p>
      <w:pPr>
        <w:ind w:right="180"/>
        <w:spacing w:after="0" w:line="283" w:lineRule="auto"/>
        <w:rPr>
          <w:sz w:val="20"/>
          <w:szCs w:val="20"/>
          <w:color w:val="auto"/>
        </w:rPr>
      </w:pPr>
      <w:r>
        <w:rPr>
          <w:rFonts w:ascii="Arial" w:cs="Arial" w:eastAsia="Arial" w:hAnsi="Arial"/>
          <w:sz w:val="19"/>
          <w:szCs w:val="19"/>
          <w:color w:val="auto"/>
        </w:rPr>
        <w:t>securities. However, we and the trustee may not make any of the following changes to any outstanding debt security without the consent of each holder that would be affected by the change:</w:t>
      </w:r>
    </w:p>
    <w:p>
      <w:pPr>
        <w:spacing w:after="0" w:line="38" w:lineRule="exact"/>
        <w:rPr>
          <w:sz w:val="20"/>
          <w:szCs w:val="20"/>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extend the final maturity of the security;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reduce the principal amount;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reduce the rate or extend the time of payment of interest;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reduce any amount payable on redemption;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 the currency in which the principal, including any amount of original issue discount, premium, or interest on the security is payable;</w:t>
      </w:r>
    </w:p>
    <w:p>
      <w:pPr>
        <w:spacing w:after="0" w:line="128" w:lineRule="exact"/>
        <w:rPr>
          <w:rFonts w:ascii="Arial" w:cs="Arial" w:eastAsia="Arial" w:hAnsi="Arial"/>
          <w:sz w:val="17"/>
          <w:szCs w:val="17"/>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modify or amend the provisions for conversion of any currency into another currency;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reduce the amount of any original issue discount security payable upon acceleration or provable in bankruptcy;</w:t>
      </w:r>
    </w:p>
    <w:p>
      <w:pPr>
        <w:spacing w:after="0" w:line="105" w:lineRule="exact"/>
        <w:rPr>
          <w:rFonts w:ascii="Arial" w:cs="Arial" w:eastAsia="Arial" w:hAnsi="Arial"/>
          <w:sz w:val="19"/>
          <w:szCs w:val="19"/>
          <w:color w:val="auto"/>
        </w:rPr>
      </w:pPr>
    </w:p>
    <w:p>
      <w:pPr>
        <w:ind w:left="540" w:right="80" w:hanging="168"/>
        <w:spacing w:after="0" w:line="339"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impair the right of any holder to institute suit for the enforcement of any payment on any debt security when due;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reduce the percentage of debt securities the consent of whose holders is required for modification of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 of Debt Security</w:t>
      </w:r>
    </w:p>
    <w:p>
      <w:pPr>
        <w:spacing w:after="0" w:line="112" w:lineRule="exact"/>
        <w:rPr>
          <w:sz w:val="20"/>
          <w:szCs w:val="20"/>
          <w:color w:val="auto"/>
        </w:rPr>
      </w:pPr>
    </w:p>
    <w:p>
      <w:pPr>
        <w:ind w:right="240" w:firstLine="357"/>
        <w:spacing w:after="0" w:line="339" w:lineRule="auto"/>
        <w:rPr>
          <w:sz w:val="20"/>
          <w:szCs w:val="20"/>
          <w:color w:val="auto"/>
        </w:rPr>
      </w:pPr>
      <w:r>
        <w:rPr>
          <w:rFonts w:ascii="Arial" w:cs="Arial" w:eastAsia="Arial" w:hAnsi="Arial"/>
          <w:sz w:val="17"/>
          <w:szCs w:val="17"/>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2" w:lineRule="exact"/>
        <w:rPr>
          <w:sz w:val="20"/>
          <w:szCs w:val="20"/>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registered form, where our obligation runs to the holder of the security named on the face of the security;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bearer form, where our obligation runs to the bearer of the security.</w:t>
      </w:r>
    </w:p>
    <w:p>
      <w:pPr>
        <w:spacing w:after="0" w:line="119"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49"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Global Securities</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76" w:name="page77"/>
    <w:bookmarkEnd w:id="76"/>
    <w:p>
      <w:pPr>
        <w:ind w:right="320"/>
        <w:spacing w:after="0" w:line="283" w:lineRule="auto"/>
        <w:rPr>
          <w:sz w:val="20"/>
          <w:szCs w:val="20"/>
          <w:color w:val="auto"/>
        </w:rPr>
      </w:pPr>
      <w:r>
        <w:rPr>
          <w:rFonts w:ascii="Arial" w:cs="Arial" w:eastAsia="Arial" w:hAnsi="Arial"/>
          <w:sz w:val="19"/>
          <w:szCs w:val="19"/>
          <w:color w:val="auto"/>
        </w:rPr>
        <w:t>security will be described in the prospectus supplement relating to those securities. We anticipate that the following provisions will apply to all depositary arrangements:</w:t>
      </w:r>
    </w:p>
    <w:p>
      <w:pPr>
        <w:spacing w:after="0" w:line="52" w:lineRule="exact"/>
        <w:rPr>
          <w:sz w:val="20"/>
          <w:szCs w:val="20"/>
          <w:color w:val="auto"/>
        </w:rPr>
      </w:pPr>
    </w:p>
    <w:p>
      <w:pPr>
        <w:ind w:right="120" w:firstLine="357"/>
        <w:spacing w:after="0" w:line="270"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72"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83"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0" w:lineRule="exact"/>
        <w:rPr>
          <w:sz w:val="20"/>
          <w:szCs w:val="20"/>
          <w:color w:val="auto"/>
        </w:rPr>
      </w:pPr>
    </w:p>
    <w:p>
      <w:pPr>
        <w:ind w:right="180" w:firstLine="357"/>
        <w:spacing w:after="0" w:line="297" w:lineRule="auto"/>
        <w:rPr>
          <w:sz w:val="20"/>
          <w:szCs w:val="20"/>
          <w:color w:val="auto"/>
        </w:rPr>
      </w:pPr>
      <w:r>
        <w:rPr>
          <w:rFonts w:ascii="Arial" w:cs="Arial" w:eastAsia="Arial" w:hAnsi="Arial"/>
          <w:sz w:val="17"/>
          <w:szCs w:val="17"/>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77" w:name="page78"/>
    <w:bookmarkEnd w:id="77"/>
    <w:p>
      <w:pPr>
        <w:spacing w:after="0" w:line="281" w:lineRule="auto"/>
        <w:rPr>
          <w:sz w:val="20"/>
          <w:szCs w:val="20"/>
          <w:color w:val="auto"/>
        </w:rPr>
      </w:pPr>
      <w:r>
        <w:rPr>
          <w:rFonts w:ascii="Arial" w:cs="Arial" w:eastAsia="Arial" w:hAnsi="Arial"/>
          <w:sz w:val="18"/>
          <w:szCs w:val="18"/>
          <w:color w:val="auto"/>
        </w:rPr>
        <w:t>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57"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b w:val="1"/>
          <w:bCs w:val="1"/>
          <w:i w:val="1"/>
          <w:iCs w:val="1"/>
          <w:color w:val="auto"/>
        </w:rPr>
        <w:t xml:space="preserve">Bearer Global Securities. </w:t>
      </w:r>
      <w:r>
        <w:rPr>
          <w:rFonts w:ascii="Arial" w:cs="Arial" w:eastAsia="Arial" w:hAnsi="Arial"/>
          <w:sz w:val="19"/>
          <w:szCs w:val="19"/>
          <w:color w:val="auto"/>
        </w:rPr>
        <w:t>The securities may also be issued in the form of one or more bearer global securities that will be deposited with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common depositary for the Euroclear System and Clearstream Banking,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York Law to Govern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and the debt securities will be governed by the laws of the State of New York.</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WARRANTS</w:t>
      </w:r>
    </w:p>
    <w:p>
      <w:pPr>
        <w:spacing w:after="0" w:line="125"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129" w:lineRule="exact"/>
        <w:rPr>
          <w:sz w:val="20"/>
          <w:szCs w:val="20"/>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title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aggregate number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price or prices at which such Warrants will be issued;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currency or currencies, in which the price of such Warrants will be payable;</w:t>
      </w:r>
    </w:p>
    <w:p>
      <w:pPr>
        <w:spacing w:after="0" w:line="105" w:lineRule="exact"/>
        <w:rPr>
          <w:rFonts w:ascii="Arial" w:cs="Arial" w:eastAsia="Arial" w:hAnsi="Arial"/>
          <w:sz w:val="19"/>
          <w:szCs w:val="19"/>
          <w:color w:val="auto"/>
        </w:rPr>
      </w:pPr>
    </w:p>
    <w:p>
      <w:pPr>
        <w:ind w:left="540" w:right="140" w:hanging="168"/>
        <w:spacing w:after="0" w:line="339"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 w:lineRule="exact"/>
        <w:rPr>
          <w:rFonts w:ascii="Arial" w:cs="Arial" w:eastAsia="Arial" w:hAnsi="Arial"/>
          <w:sz w:val="17"/>
          <w:szCs w:val="17"/>
          <w:color w:val="auto"/>
        </w:rPr>
      </w:pPr>
    </w:p>
    <w:p>
      <w:pPr>
        <w:ind w:left="540" w:right="6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price at which and the currency or currencies, in which the securities or other rights purchasable upon exercise of such Warrants may be purchased;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date on which the right to exercise such Warrants shall commence and the date on which such right shall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amount of Warrants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applicable, the minimum or maximum amount of such Warrants which may be exercised at any one time;</w:t>
      </w:r>
    </w:p>
    <w:p>
      <w:pPr>
        <w:spacing w:after="0" w:line="105"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applicable, the designation and terms of the securities with which such Warrants are issued and the number of such Warrants issued with each such security;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applicable, the date on and after which such Warrants and the related securities will be separately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information with respect to book-entry procedures,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applicable, a discussion of any material United States Federal income tax considerations;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8" w:name="page79"/>
    <w:bookmarkEnd w:id="78"/>
    <w:p>
      <w:pPr>
        <w:ind w:left="380"/>
        <w:spacing w:after="0"/>
        <w:rPr>
          <w:sz w:val="20"/>
          <w:szCs w:val="20"/>
          <w:color w:val="auto"/>
        </w:rPr>
      </w:pPr>
      <w:r>
        <w:rPr>
          <w:rFonts w:ascii="Arial" w:cs="Arial" w:eastAsia="Arial" w:hAnsi="Arial"/>
          <w:sz w:val="18"/>
          <w:szCs w:val="18"/>
          <w:color w:val="auto"/>
        </w:rPr>
        <w:t>• any other terms of such Warrants, including terms, procedures and limitations relating to the exchange and exercise of such warrants.</w:t>
      </w:r>
    </w:p>
    <w:p>
      <w:pPr>
        <w:spacing w:after="0" w:line="131"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7 of this prospectus. We urge you to read the applicable warrant certificate, the applicable warrant agreement and any applicable prospectus supplement in their entirety.</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RIGHTS</w:t>
      </w:r>
    </w:p>
    <w:p>
      <w:pPr>
        <w:spacing w:after="0" w:line="125" w:lineRule="exact"/>
        <w:rPr>
          <w:sz w:val="20"/>
          <w:szCs w:val="20"/>
          <w:color w:val="auto"/>
        </w:rPr>
      </w:pPr>
    </w:p>
    <w:p>
      <w:pPr>
        <w:jc w:val="both"/>
        <w:ind w:firstLine="357"/>
        <w:spacing w:after="0" w:line="262" w:lineRule="auto"/>
        <w:rPr>
          <w:sz w:val="20"/>
          <w:szCs w:val="20"/>
          <w:color w:val="auto"/>
        </w:rPr>
      </w:pPr>
      <w:r>
        <w:rPr>
          <w:rFonts w:ascii="Arial" w:cs="Arial" w:eastAsia="Arial" w:hAnsi="Arial"/>
          <w:sz w:val="19"/>
          <w:szCs w:val="19"/>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72"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The applicable prospectus supplement relating to any rights will describe the terms of the offered rights, including, where applicable, the following:</w:t>
      </w:r>
    </w:p>
    <w:p>
      <w:pPr>
        <w:spacing w:after="0" w:line="25" w:lineRule="exact"/>
        <w:rPr>
          <w:sz w:val="20"/>
          <w:szCs w:val="20"/>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exercise price for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number of Rights issued to each shareholder;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extent to which the Rights are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other terms of the Rights, including terms, procedures and limitations relating to the exchange and exercise of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date on which the Right to exercise the Rights will commence and the date on which the Right will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amount of Rights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extent to which the Rights include an over-subscription privilege with respect to unsubscribed securities;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material terms of any standby underwriting arrangement entered into by us in connection with the Rights offering.</w:t>
      </w:r>
    </w:p>
    <w:p>
      <w:pPr>
        <w:spacing w:after="0" w:line="119"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7 of this prospectus. We urge you to read the applicable rights certificate, the applicable rights agreement and any applicable prospectus supplement in their entirety.</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THE COMBINATION UNITS</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We may issue Combination Units consisting of any combination of Common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included security. The unit agreement under which a Combination Unit is issued may provide that the securities included in the unit may not be held or transferred separately, at any time, or at any time before a specified date.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79" w:name="page80"/>
    <w:bookmarkEnd w:id="79"/>
    <w:p>
      <w:pPr>
        <w:ind w:right="520" w:firstLine="357"/>
        <w:spacing w:after="0" w:line="283" w:lineRule="auto"/>
        <w:rPr>
          <w:sz w:val="20"/>
          <w:szCs w:val="20"/>
          <w:color w:val="auto"/>
        </w:rPr>
      </w:pPr>
      <w:r>
        <w:rPr>
          <w:rFonts w:ascii="Arial" w:cs="Arial" w:eastAsia="Arial" w:hAnsi="Arial"/>
          <w:sz w:val="19"/>
          <w:szCs w:val="19"/>
          <w:color w:val="auto"/>
        </w:rPr>
        <w:t>The applicable prospectus supplement relating to any series of units will describe the terms of the Combination Units, including, where applicable, the following:</w:t>
      </w:r>
    </w:p>
    <w:p>
      <w:pPr>
        <w:spacing w:after="0" w:line="38" w:lineRule="exact"/>
        <w:rPr>
          <w:sz w:val="20"/>
          <w:szCs w:val="20"/>
          <w:color w:val="auto"/>
        </w:rPr>
      </w:pPr>
    </w:p>
    <w:p>
      <w:pPr>
        <w:ind w:left="540" w:right="18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designation and terms of the Combination Units and of the securities comprising the Combination Units, including whether and under what circumstances those securities may be held or transferred separately;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provisions of the governing unit agreement; and</w:t>
      </w:r>
    </w:p>
    <w:p>
      <w:pPr>
        <w:spacing w:after="0" w:line="105" w:lineRule="exact"/>
        <w:rPr>
          <w:rFonts w:ascii="Arial" w:cs="Arial" w:eastAsia="Arial" w:hAnsi="Arial"/>
          <w:sz w:val="19"/>
          <w:szCs w:val="19"/>
          <w:color w:val="auto"/>
        </w:rPr>
      </w:pPr>
    </w:p>
    <w:p>
      <w:pPr>
        <w:ind w:left="540" w:right="34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provisions for the issuance, payment, settlement, transfer, or exchange of the Combination Units or of the securities comprising the Combination Units.</w:t>
      </w:r>
    </w:p>
    <w:p>
      <w:pPr>
        <w:spacing w:after="0" w:line="52"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7 of this prospectus. We urge you to read the applicable unit certificate, the applicable unit agreement and any applicable prospectus supplement in their entirety.</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SUMMARY OF OUR PARTNERSHIP AGREEMENT</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A copy of our partnership agreement is filed as an exhibit to the registration statement of which this prospectus is a part. A summary of the important provisions of our partnership agreement and the rights and privileges of our unitholders is included in our Annual Report on Form 20-F for the year ended December 31, 2014 and our registration statement on Form 8-A (File No. 001-36433), filed with the SEC on April 30, 2014, including any subsequent amendments or reports filed for the purpose of updating such description. Please read “Where You Can Find More Information”.</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OUR CASH DISTRIBUTION POLICY AND RESTRICTIONS ON DISTRIBUTIONS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Rationale for Our Cash Distribution Policy</w:t>
      </w:r>
    </w:p>
    <w:p>
      <w:pPr>
        <w:spacing w:after="0" w:line="119"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Our cash distribution policy reflects a judgment that our unitholders will be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Cash Distributions and Our Ability to Change Our Cash Distribution Policy</w:t>
      </w:r>
    </w:p>
    <w:p>
      <w:pPr>
        <w:spacing w:after="0" w:line="119"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There is no guarantee that unitholders will receive quarterly distributions from us. Our distribution policy is subject to certain restrictions and may be changed at any time, including:</w:t>
      </w:r>
    </w:p>
    <w:p>
      <w:pPr>
        <w:spacing w:after="0" w:line="38" w:lineRule="exact"/>
        <w:rPr>
          <w:sz w:val="20"/>
          <w:szCs w:val="20"/>
          <w:color w:val="auto"/>
        </w:rPr>
      </w:pPr>
    </w:p>
    <w:p>
      <w:pPr>
        <w:ind w:left="540" w:right="20" w:hanging="168"/>
        <w:spacing w:after="0" w:line="267"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54" w:lineRule="exact"/>
        <w:rPr>
          <w:rFonts w:ascii="Arial" w:cs="Arial" w:eastAsia="Arial" w:hAnsi="Arial"/>
          <w:sz w:val="19"/>
          <w:szCs w:val="19"/>
          <w:color w:val="auto"/>
        </w:rPr>
      </w:pPr>
    </w:p>
    <w:p>
      <w:pPr>
        <w:ind w:left="540" w:hanging="168"/>
        <w:spacing w:after="0" w:line="262"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We will be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80" w:name="page81"/>
    <w:bookmarkEnd w:id="80"/>
    <w:p>
      <w:pPr>
        <w:ind w:left="540" w:right="200" w:hanging="168"/>
        <w:spacing w:after="0" w:line="294"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35" w:lineRule="exact"/>
        <w:rPr>
          <w:rFonts w:ascii="Arial" w:cs="Arial" w:eastAsia="Arial" w:hAnsi="Arial"/>
          <w:sz w:val="17"/>
          <w:szCs w:val="17"/>
          <w:color w:val="auto"/>
        </w:rPr>
      </w:pPr>
    </w:p>
    <w:p>
      <w:pPr>
        <w:ind w:left="540" w:right="100" w:hanging="168"/>
        <w:spacing w:after="0" w:line="258" w:lineRule="auto"/>
        <w:tabs>
          <w:tab w:leader="none" w:pos="5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Although our partnership agreement requires us to distribute all of our available cash, our partnership agreement, including provisions contained therein requiring us to make cash distributions, may be amended. During the subordination period, with certain exceptions, our partnership agreement may not be amended without the approval of non-affiliated common unitholders. After the subordination period has ended, our partnership agreement can be amended with the approval of a majority of the outstanding Common Units. GasLog owns approximately 0.66% of our Common Units, all of our subordinated units and indirectly 2.0% of our general partnership units outstanding as of June 1, 2015.</w:t>
      </w:r>
    </w:p>
    <w:p>
      <w:pPr>
        <w:spacing w:after="0" w:line="62" w:lineRule="exact"/>
        <w:rPr>
          <w:rFonts w:ascii="Arial" w:cs="Arial" w:eastAsia="Arial" w:hAnsi="Arial"/>
          <w:sz w:val="19"/>
          <w:szCs w:val="19"/>
          <w:color w:val="auto"/>
        </w:rPr>
      </w:pPr>
    </w:p>
    <w:p>
      <w:pPr>
        <w:ind w:left="540" w:right="220" w:hanging="168"/>
        <w:spacing w:after="0" w:line="267" w:lineRule="auto"/>
        <w:tabs>
          <w:tab w:leader="none" w:pos="5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54"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Under Section 51 of the Marshall Islands Act, we may not make a distribution to you if the distribution would cause our liabilities to exceed the fair value of our assets.</w:t>
      </w:r>
    </w:p>
    <w:p>
      <w:pPr>
        <w:spacing w:after="0" w:line="38" w:lineRule="exact"/>
        <w:rPr>
          <w:rFonts w:ascii="Arial" w:cs="Arial" w:eastAsia="Arial" w:hAnsi="Arial"/>
          <w:sz w:val="19"/>
          <w:szCs w:val="19"/>
          <w:color w:val="auto"/>
        </w:rPr>
      </w:pPr>
    </w:p>
    <w:p>
      <w:pPr>
        <w:ind w:left="540" w:right="140" w:hanging="168"/>
        <w:spacing w:after="0" w:line="262" w:lineRule="auto"/>
        <w:tabs>
          <w:tab w:leader="none" w:pos="5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72" w:lineRule="exact"/>
        <w:rPr>
          <w:sz w:val="20"/>
          <w:szCs w:val="20"/>
          <w:color w:val="auto"/>
        </w:rPr>
      </w:pPr>
    </w:p>
    <w:p>
      <w:pPr>
        <w:ind w:right="240" w:firstLine="357"/>
        <w:spacing w:after="0" w:line="28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Available Cash</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640" w:firstLine="357"/>
        <w:spacing w:after="0" w:line="283" w:lineRule="auto"/>
        <w:rPr>
          <w:sz w:val="20"/>
          <w:szCs w:val="20"/>
          <w:color w:val="auto"/>
        </w:rPr>
      </w:pPr>
      <w:r>
        <w:rPr>
          <w:rFonts w:ascii="Arial" w:cs="Arial" w:eastAsia="Arial" w:hAnsi="Arial"/>
          <w:sz w:val="19"/>
          <w:szCs w:val="19"/>
          <w:color w:val="auto"/>
        </w:rPr>
        <w:t>Within 45 days after the end of each quarter we will distribute all of our available cash (defined below) to unitholders of record on the applicable record date.</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Available Cash</w:t>
      </w:r>
    </w:p>
    <w:p>
      <w:pPr>
        <w:spacing w:after="0" w:line="119"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Available cash generally means, for each fiscal quarter, all cash on hand at the end of the quarter (including our proportionate share of cash on hand of any subsidiaries we do not wholly own):</w:t>
      </w:r>
    </w:p>
    <w:p>
      <w:pPr>
        <w:spacing w:after="0" w:line="25" w:lineRule="exact"/>
        <w:rPr>
          <w:sz w:val="20"/>
          <w:szCs w:val="20"/>
          <w:color w:val="auto"/>
        </w:rPr>
      </w:pPr>
    </w:p>
    <w:p>
      <w:pPr>
        <w:ind w:left="540" w:right="80" w:hanging="168"/>
        <w:spacing w:after="0" w:line="283"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i w:val="1"/>
          <w:iCs w:val="1"/>
          <w:color w:val="auto"/>
        </w:rPr>
        <w:t>less</w:t>
      </w:r>
      <w:r>
        <w:rPr>
          <w:rFonts w:ascii="Arial" w:cs="Arial" w:eastAsia="Arial" w:hAnsi="Arial"/>
          <w:sz w:val="19"/>
          <w:szCs w:val="19"/>
          <w:color w:val="auto"/>
        </w:rPr>
        <w:t>, the amount of cash reserves (including our proportionate share of cash reserves of any subsidiaries we do not wholly own) established</w:t>
      </w:r>
      <w:r>
        <w:rPr>
          <w:rFonts w:ascii="Arial" w:cs="Arial" w:eastAsia="Arial" w:hAnsi="Arial"/>
          <w:sz w:val="19"/>
          <w:szCs w:val="19"/>
          <w:i w:val="1"/>
          <w:iCs w:val="1"/>
          <w:color w:val="auto"/>
        </w:rPr>
        <w:t xml:space="preserve"> </w:t>
      </w:r>
      <w:r>
        <w:rPr>
          <w:rFonts w:ascii="Arial" w:cs="Arial" w:eastAsia="Arial" w:hAnsi="Arial"/>
          <w:sz w:val="19"/>
          <w:szCs w:val="19"/>
          <w:color w:val="auto"/>
        </w:rPr>
        <w:t>by our board of directors and our subsidiaries to:</w:t>
      </w:r>
    </w:p>
    <w:p>
      <w:pPr>
        <w:spacing w:after="0" w:line="51" w:lineRule="exact"/>
        <w:rPr>
          <w:rFonts w:ascii="Arial" w:cs="Arial" w:eastAsia="Arial" w:hAnsi="Arial"/>
          <w:sz w:val="19"/>
          <w:szCs w:val="19"/>
          <w:color w:val="auto"/>
        </w:rPr>
      </w:pPr>
    </w:p>
    <w:p>
      <w:pPr>
        <w:ind w:left="720" w:hanging="158"/>
        <w:spacing w:after="0"/>
        <w:tabs>
          <w:tab w:leader="none" w:pos="7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for our anticipated credit needs);</w:t>
      </w:r>
    </w:p>
    <w:p>
      <w:pPr>
        <w:spacing w:after="0" w:line="117" w:lineRule="exact"/>
        <w:rPr>
          <w:rFonts w:ascii="Arial" w:cs="Arial" w:eastAsia="Arial" w:hAnsi="Arial"/>
          <w:sz w:val="18"/>
          <w:szCs w:val="18"/>
          <w:color w:val="auto"/>
        </w:rPr>
      </w:pPr>
    </w:p>
    <w:p>
      <w:pPr>
        <w:ind w:left="720" w:hanging="158"/>
        <w:spacing w:after="0"/>
        <w:tabs>
          <w:tab w:leader="none" w:pos="720" w:val="left"/>
        </w:tabs>
        <w:numPr>
          <w:ilvl w:val="1"/>
          <w:numId w:val="64"/>
        </w:numPr>
        <w:rPr>
          <w:rFonts w:ascii="Arial" w:cs="Arial" w:eastAsia="Arial" w:hAnsi="Arial"/>
          <w:sz w:val="19"/>
          <w:szCs w:val="19"/>
          <w:color w:val="auto"/>
        </w:rPr>
      </w:pPr>
      <w:r>
        <w:rPr>
          <w:rFonts w:ascii="Arial" w:cs="Arial" w:eastAsia="Arial" w:hAnsi="Arial"/>
          <w:sz w:val="19"/>
          <w:szCs w:val="19"/>
          <w:color w:val="auto"/>
        </w:rPr>
        <w:t>comply with applicable law, any of our debt instruments or other agreements; and/or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81" w:name="page82"/>
    <w:bookmarkEnd w:id="81"/>
    <w:p>
      <w:pPr>
        <w:jc w:val="both"/>
        <w:ind w:left="720" w:right="160" w:hanging="158"/>
        <w:spacing w:after="0" w:line="267" w:lineRule="auto"/>
        <w:tabs>
          <w:tab w:leader="none" w:pos="720" w:val="left"/>
        </w:tabs>
        <w:numPr>
          <w:ilvl w:val="1"/>
          <w:numId w:val="65"/>
        </w:numPr>
        <w:rPr>
          <w:rFonts w:ascii="Arial" w:cs="Arial" w:eastAsia="Arial" w:hAnsi="Arial"/>
          <w:sz w:val="19"/>
          <w:szCs w:val="19"/>
          <w:color w:val="auto"/>
        </w:rPr>
      </w:pPr>
      <w:r>
        <w:rPr>
          <w:rFonts w:ascii="Arial" w:cs="Arial" w:eastAsia="Arial" w:hAnsi="Arial"/>
          <w:sz w:val="19"/>
          <w:szCs w:val="19"/>
          <w:color w:val="auto"/>
        </w:rPr>
        <w:t>provide funds for distributions to our unitholders and to our general partner for any one or more of the next four quarters (except to the extent establishing such reserves would cause us to not be able to distribute the minimum quarterly distribution (plus any arrearage) for such quarter);</w:t>
      </w:r>
    </w:p>
    <w:p>
      <w:pPr>
        <w:spacing w:after="0" w:line="54" w:lineRule="exact"/>
        <w:rPr>
          <w:rFonts w:ascii="Arial" w:cs="Arial" w:eastAsia="Arial" w:hAnsi="Arial"/>
          <w:sz w:val="19"/>
          <w:szCs w:val="19"/>
          <w:color w:val="auto"/>
        </w:rPr>
      </w:pPr>
    </w:p>
    <w:p>
      <w:pPr>
        <w:ind w:left="540" w:right="60" w:hanging="168"/>
        <w:spacing w:after="0" w:line="258" w:lineRule="auto"/>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i w:val="1"/>
          <w:iCs w:val="1"/>
          <w:color w:val="auto"/>
        </w:rPr>
        <w:t>plus</w:t>
      </w:r>
      <w:r>
        <w:rPr>
          <w:rFonts w:ascii="Arial" w:cs="Arial" w:eastAsia="Arial" w:hAnsi="Arial"/>
          <w:sz w:val="19"/>
          <w:szCs w:val="19"/>
          <w:color w:val="auto"/>
        </w:rPr>
        <w:t>, all cash on hand (including our proportionate share of cash on hand of any subsidiaries we do not wholly own) on the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determination 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are made under a revolving credit facility and in all cases are used solely for working capital purposes or to pay distributions to partners.</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Intent to Distribute the Minimum Quarterly Distribution</w:t>
      </w:r>
    </w:p>
    <w:p>
      <w:pPr>
        <w:spacing w:after="0" w:line="119"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We intend to distribute to the holders of Common Units and subordinated units on a quarterly basis at least the minimum quarterly distribution of $0.375 per unit, or $1.50 per unit per year, to the extent we have sufficient cash on hand to pay the distribution after we establish cash reserves and pay fees and expenses.</w:t>
      </w:r>
    </w:p>
    <w:p>
      <w:pPr>
        <w:spacing w:after="0" w:line="54"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There is no guarantee that we will pay the minimum quarterly distribution on the Common Units and subordinated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We will be effectively prohibited from making any distributions to unitholders if it would cause an event of default, or an event of default is then existing, under our financing agreements.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Surplus and Capital Surplus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Operating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Operating surplus for any period generally means:</w:t>
      </w:r>
    </w:p>
    <w:p>
      <w:pPr>
        <w:spacing w:after="0" w:line="106" w:lineRule="exact"/>
        <w:rPr>
          <w:sz w:val="20"/>
          <w:szCs w:val="20"/>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$19.0 million; </w:t>
      </w:r>
      <w:r>
        <w:rPr>
          <w:rFonts w:ascii="Arial" w:cs="Arial" w:eastAsia="Arial" w:hAnsi="Arial"/>
          <w:sz w:val="19"/>
          <w:szCs w:val="19"/>
          <w:i w:val="1"/>
          <w:iCs w:val="1"/>
          <w:color w:val="auto"/>
        </w:rPr>
        <w:t>plus</w:t>
      </w:r>
    </w:p>
    <w:p>
      <w:pPr>
        <w:spacing w:after="0" w:line="105" w:lineRule="exact"/>
        <w:rPr>
          <w:rFonts w:ascii="Arial" w:cs="Arial" w:eastAsia="Arial" w:hAnsi="Arial"/>
          <w:sz w:val="19"/>
          <w:szCs w:val="19"/>
          <w:color w:val="auto"/>
        </w:rPr>
      </w:pPr>
    </w:p>
    <w:p>
      <w:pPr>
        <w:ind w:left="540" w:hanging="168"/>
        <w:spacing w:after="0" w:line="288"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all of our cash receipts (including our proportionate share of cash receipts of any subsidiaries we do not wholly own; provided, that cash receipts from the termination of an interest rate, currency or commodity hedge contract prior to its specified termination date will be included in operating surplus in equal quarterly installments over the remaining scheduled life of such hedge contract), excluding cash from</w:t>
      </w:r>
    </w:p>
    <w:p>
      <w:pPr>
        <w:spacing w:after="0" w:line="1" w:lineRule="exact"/>
        <w:rPr>
          <w:rFonts w:ascii="Arial" w:cs="Arial" w:eastAsia="Arial" w:hAnsi="Arial"/>
          <w:sz w:val="17"/>
          <w:szCs w:val="17"/>
          <w:color w:val="auto"/>
        </w:rPr>
      </w:pPr>
    </w:p>
    <w:p>
      <w:pPr>
        <w:ind w:left="540" w:right="540"/>
        <w:spacing w:after="0" w:line="293" w:lineRule="auto"/>
        <w:rPr>
          <w:rFonts w:ascii="Arial" w:cs="Arial" w:eastAsia="Arial" w:hAnsi="Arial"/>
          <w:sz w:val="17"/>
          <w:szCs w:val="17"/>
          <w:color w:val="auto"/>
        </w:rPr>
      </w:pPr>
      <w:r>
        <w:rPr>
          <w:rFonts w:ascii="Arial" w:cs="Arial" w:eastAsia="Arial" w:hAnsi="Arial"/>
          <w:sz w:val="18"/>
          <w:szCs w:val="18"/>
          <w:color w:val="auto"/>
        </w:rPr>
        <w:t xml:space="preserve">(1) borrowings, other than working capital borrowings, (2) sales of equity and debt securities, (3) sales or other dispositions of assets outside the ordinary course of business, (4) capital contributions or (5) corporate reorganizations or restructurings; </w:t>
      </w:r>
      <w:r>
        <w:rPr>
          <w:rFonts w:ascii="Arial" w:cs="Arial" w:eastAsia="Arial" w:hAnsi="Arial"/>
          <w:sz w:val="18"/>
          <w:szCs w:val="18"/>
          <w:i w:val="1"/>
          <w:iCs w:val="1"/>
          <w:color w:val="auto"/>
        </w:rPr>
        <w:t>plus</w:t>
      </w:r>
    </w:p>
    <w:p>
      <w:pPr>
        <w:spacing w:after="0" w:line="32" w:lineRule="exact"/>
        <w:rPr>
          <w:rFonts w:ascii="Arial" w:cs="Arial" w:eastAsia="Arial" w:hAnsi="Arial"/>
          <w:sz w:val="17"/>
          <w:szCs w:val="17"/>
          <w:color w:val="auto"/>
        </w:rPr>
      </w:pPr>
    </w:p>
    <w:p>
      <w:pPr>
        <w:ind w:left="540" w:right="180" w:hanging="168"/>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working capital borrowings (including our proportionate share of working capital borrowings for any subsidiaries we do not wholly own) made after the end of a quarter but before the date of determination of operating surplus for the quarter;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260" w:hanging="168"/>
        <w:spacing w:after="0" w:line="262"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finance all or any portion of the construction, replacement 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82" w:name="page83"/>
    <w:bookmarkEnd w:id="82"/>
    <w:p>
      <w:pPr>
        <w:ind w:left="540" w:right="20"/>
        <w:spacing w:after="0" w:line="283" w:lineRule="auto"/>
        <w:rPr>
          <w:sz w:val="20"/>
          <w:szCs w:val="20"/>
          <w:color w:val="auto"/>
        </w:rPr>
      </w:pPr>
      <w:r>
        <w:rPr>
          <w:rFonts w:ascii="Arial" w:cs="Arial" w:eastAsia="Arial" w:hAnsi="Arial"/>
          <w:sz w:val="19"/>
          <w:szCs w:val="19"/>
          <w:color w:val="auto"/>
        </w:rPr>
        <w:t xml:space="preserve">improvement of a capital asset (such as a vessel) in respect of the period from such financing until the earlier to occur of the date the capital asset is put into service or the date that it is abandoned or disposed of; </w:t>
      </w:r>
      <w:r>
        <w:rPr>
          <w:rFonts w:ascii="Arial" w:cs="Arial" w:eastAsia="Arial" w:hAnsi="Arial"/>
          <w:sz w:val="19"/>
          <w:szCs w:val="19"/>
          <w:i w:val="1"/>
          <w:iCs w:val="1"/>
          <w:color w:val="auto"/>
        </w:rPr>
        <w:t>plus</w:t>
      </w:r>
    </w:p>
    <w:p>
      <w:pPr>
        <w:spacing w:after="0" w:line="38" w:lineRule="exact"/>
        <w:rPr>
          <w:sz w:val="20"/>
          <w:szCs w:val="20"/>
          <w:color w:val="auto"/>
        </w:rPr>
      </w:pPr>
    </w:p>
    <w:p>
      <w:pPr>
        <w:ind w:left="540" w:right="220" w:hanging="168"/>
        <w:spacing w:after="0" w:line="297"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pay the construction period interest on debt incurred (including periodic net payments under related interest rate swap agreements), or to pay construction period distributions on equity issued, to finance the construction projects described in the immediately preceding bullet; </w:t>
      </w:r>
      <w:r>
        <w:rPr>
          <w:rFonts w:ascii="Arial" w:cs="Arial" w:eastAsia="Arial" w:hAnsi="Arial"/>
          <w:sz w:val="17"/>
          <w:szCs w:val="17"/>
          <w:i w:val="1"/>
          <w:iCs w:val="1"/>
          <w:color w:val="auto"/>
        </w:rPr>
        <w:t>less</w:t>
      </w:r>
    </w:p>
    <w:p>
      <w:pPr>
        <w:spacing w:after="0" w:line="32" w:lineRule="exact"/>
        <w:rPr>
          <w:rFonts w:ascii="Arial" w:cs="Arial" w:eastAsia="Arial" w:hAnsi="Arial"/>
          <w:sz w:val="17"/>
          <w:szCs w:val="17"/>
          <w:color w:val="auto"/>
        </w:rPr>
      </w:pPr>
    </w:p>
    <w:p>
      <w:pPr>
        <w:ind w:left="540" w:right="260" w:hanging="168"/>
        <w:spacing w:after="0" w:line="283" w:lineRule="auto"/>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all of our “operating expenditures” (which includes estimated maintenance and replacement capital expenditures and is further described below) (including our proportionate share of operating expenditures by any subsidiaries we do not wholly own);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the amount of cash reserves (including our proportionate share of cash reserves for any subsidiaries we do not wholly own) established by our board of directors to provide funds for future operating expenditures;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any cash loss realized on dispositions of assets acquired using investment capital expenditures; </w:t>
      </w:r>
      <w:r>
        <w:rPr>
          <w:rFonts w:ascii="Arial" w:cs="Arial" w:eastAsia="Arial" w:hAnsi="Arial"/>
          <w:sz w:val="19"/>
          <w:szCs w:val="19"/>
          <w:i w:val="1"/>
          <w:iCs w:val="1"/>
          <w:color w:val="auto"/>
        </w:rPr>
        <w:t>less</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all working capital borrowings (including our proportionate share of working capital borrowings by any subsidiaries we do not wholly own) not repaid within twelve months after having been incurred.</w:t>
      </w:r>
    </w:p>
    <w:p>
      <w:pPr>
        <w:spacing w:after="0" w:line="52"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If a working capital borrowing, which increases operating surplus, is not repaid during the twelve-month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72"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As described above, operating surplus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we receive from non-operating sources.</w:t>
      </w:r>
    </w:p>
    <w:p>
      <w:pPr>
        <w:spacing w:after="0" w:line="76"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Operating expenditures generally means all of our cash expenditures, including but not limited to taxes, employee and director compensation, reimbursement of expenses to our general partner, repayment of working capital borrowings, debt service payments and payments made under any interest rate, currency or commodity hedge contracts (provided that payments made in connection with the termination of any hedge contract prior to the expiration of its specified termination date be included in operating expenditures in equal quarterly installments over the remaining scheduled life of such hedge contract), provided that operating expenditures will not include:</w:t>
      </w:r>
    </w:p>
    <w:p>
      <w:pPr>
        <w:spacing w:after="0" w:line="48" w:lineRule="exact"/>
        <w:rPr>
          <w:sz w:val="20"/>
          <w:szCs w:val="20"/>
          <w:color w:val="auto"/>
        </w:rPr>
      </w:pPr>
    </w:p>
    <w:p>
      <w:pPr>
        <w:ind w:left="540" w:right="400" w:hanging="168"/>
        <w:spacing w:after="0" w:line="283" w:lineRule="auto"/>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deemed repayments of working capital borrowings deducted from operating surplus pursuant to the last bullet point of the definition of operating surplus above when such repayment actually occurs;</w:t>
      </w:r>
    </w:p>
    <w:p>
      <w:pPr>
        <w:spacing w:after="0" w:line="24" w:lineRule="exact"/>
        <w:rPr>
          <w:rFonts w:ascii="Arial" w:cs="Arial" w:eastAsia="Arial" w:hAnsi="Arial"/>
          <w:sz w:val="19"/>
          <w:szCs w:val="19"/>
          <w:color w:val="auto"/>
        </w:rPr>
      </w:pPr>
    </w:p>
    <w:p>
      <w:pPr>
        <w:ind w:left="540" w:right="720" w:hanging="168"/>
        <w:spacing w:after="0" w:line="283" w:lineRule="auto"/>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payments (including prepayments and payment penalties) of principal of and premium on indebtedness, other than working capital borrowings;</w:t>
      </w:r>
    </w:p>
    <w:p>
      <w:pPr>
        <w:spacing w:after="0" w:line="38" w:lineRule="exact"/>
        <w:rPr>
          <w:rFonts w:ascii="Arial" w:cs="Arial" w:eastAsia="Arial" w:hAnsi="Arial"/>
          <w:sz w:val="19"/>
          <w:szCs w:val="19"/>
          <w:color w:val="auto"/>
        </w:rPr>
      </w:pPr>
    </w:p>
    <w:p>
      <w:pPr>
        <w:ind w:left="540" w:right="380" w:hanging="168"/>
        <w:spacing w:after="0" w:line="283" w:lineRule="auto"/>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expansion capital expenditures, investment capital expenditures or actual maintenance and replacement capital expenditures (which are discussed in further detail under “—Capital Expenditures” below);</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83" w:name="page84"/>
    <w:bookmarkEnd w:id="83"/>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payment of transaction expenses (including taxes) relating to interim capital transactions;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distributions to partners.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Expenditures</w:t>
      </w:r>
    </w:p>
    <w:p>
      <w:pPr>
        <w:spacing w:after="0" w:line="119" w:lineRule="exact"/>
        <w:rPr>
          <w:sz w:val="20"/>
          <w:szCs w:val="20"/>
          <w:color w:val="auto"/>
        </w:rPr>
      </w:pPr>
    </w:p>
    <w:p>
      <w:pPr>
        <w:ind w:right="20" w:firstLine="357"/>
        <w:spacing w:after="0" w:line="289" w:lineRule="auto"/>
        <w:rPr>
          <w:sz w:val="20"/>
          <w:szCs w:val="20"/>
          <w:color w:val="auto"/>
        </w:rPr>
      </w:pPr>
      <w:r>
        <w:rPr>
          <w:rFonts w:ascii="Arial" w:cs="Arial" w:eastAsia="Arial" w:hAnsi="Arial"/>
          <w:sz w:val="18"/>
          <w:szCs w:val="18"/>
          <w:color w:val="auto"/>
        </w:rPr>
        <w:t>For purposes of determining operating surplus, capital expenditures are classified as either maintenance and replacement capital expenditures, expansion capital expenditures or investment capital expenditures. Maintenance and replacement capital expenditures are those capital expenditures required to maintain, over the long-term, the operating capacity of or the revenue generated by our capital assets.</w:t>
      </w:r>
    </w:p>
    <w:p>
      <w:pPr>
        <w:spacing w:after="0" w:line="49" w:lineRule="exact"/>
        <w:rPr>
          <w:sz w:val="20"/>
          <w:szCs w:val="20"/>
          <w:color w:val="auto"/>
        </w:rPr>
      </w:pPr>
    </w:p>
    <w:p>
      <w:pPr>
        <w:ind w:right="200" w:firstLine="357"/>
        <w:spacing w:after="0" w:line="313" w:lineRule="auto"/>
        <w:rPr>
          <w:sz w:val="20"/>
          <w:szCs w:val="20"/>
          <w:color w:val="auto"/>
        </w:rPr>
      </w:pPr>
      <w:r>
        <w:rPr>
          <w:rFonts w:ascii="Arial" w:cs="Arial" w:eastAsia="Arial" w:hAnsi="Arial"/>
          <w:sz w:val="17"/>
          <w:szCs w:val="17"/>
          <w:color w:val="auto"/>
        </w:rPr>
        <w:t>Expansion capital expenditures are those capital expenditures that increase the operating capacity of or the revenue generated by our capital assets. To the extent, however, that capital expenditures associated with acquiring a new vessel or improving an existing vessel increase the revenues or the operating capacity of our fleet, those capital expenditures would be classified as expansion capital expenditures.</w:t>
      </w:r>
    </w:p>
    <w:p>
      <w:pPr>
        <w:spacing w:after="0" w:line="32" w:lineRule="exact"/>
        <w:rPr>
          <w:sz w:val="20"/>
          <w:szCs w:val="20"/>
          <w:color w:val="auto"/>
        </w:rPr>
      </w:pPr>
    </w:p>
    <w:p>
      <w:pPr>
        <w:jc w:val="both"/>
        <w:ind w:right="680" w:firstLine="357"/>
        <w:spacing w:after="0" w:line="259" w:lineRule="auto"/>
        <w:rPr>
          <w:sz w:val="20"/>
          <w:szCs w:val="20"/>
          <w:color w:val="auto"/>
        </w:rPr>
      </w:pPr>
      <w:r>
        <w:rPr>
          <w:rFonts w:ascii="Arial" w:cs="Arial" w:eastAsia="Arial" w:hAnsi="Arial"/>
          <w:sz w:val="19"/>
          <w:szCs w:val="19"/>
          <w:color w:val="auto"/>
        </w:rPr>
        <w:t>Investment capital expenditures are those capital expenditures that are neither maintenance and replacement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 of equity securities, as well as other capital expenditures that might be made in lieu of such traditional investment capital expenditures, such as the acquisition of a capital asset for investment purposes.</w:t>
      </w:r>
    </w:p>
    <w:p>
      <w:pPr>
        <w:spacing w:after="0" w:line="64" w:lineRule="exact"/>
        <w:rPr>
          <w:sz w:val="20"/>
          <w:szCs w:val="20"/>
          <w:color w:val="auto"/>
        </w:rPr>
      </w:pPr>
    </w:p>
    <w:p>
      <w:pPr>
        <w:ind w:right="80" w:firstLine="357"/>
        <w:spacing w:after="0" w:line="289" w:lineRule="auto"/>
        <w:rPr>
          <w:sz w:val="20"/>
          <w:szCs w:val="20"/>
          <w:color w:val="auto"/>
        </w:rPr>
      </w:pPr>
      <w:r>
        <w:rPr>
          <w:rFonts w:ascii="Arial" w:cs="Arial" w:eastAsia="Arial" w:hAnsi="Arial"/>
          <w:sz w:val="17"/>
          <w:szCs w:val="17"/>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(including the amount of any incremental distributions made to the holders of our incentive distribution rights) to finance the acquisition or construction of a replacement vessel and paid in respect of the construction period. We define construction period as the period beginning on the date that we enter into a binding acquisition or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(including the amount of any incremental distributions made to the holders of our incentive distribution rights) will also be considered maintenance and replacement capital expenditures.</w:t>
      </w:r>
    </w:p>
    <w:p>
      <w:pPr>
        <w:spacing w:after="0" w:line="56"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Because our maintenance and replacement capital expenditures can be very large and vary significantly in timing, the amount of our actual maintenance and replacement capital expenditures may differ substantially from period to period. In order to avoid these fluctuations having a similar effect on operating surplus, adjusted operating surplus and available cash for distribution to our unitholders, our partnership agreement will require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our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will be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will be prospective only. For a</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84" w:name="page85"/>
    <w:bookmarkEnd w:id="84"/>
    <w:p>
      <w:pPr>
        <w:ind w:right="400"/>
        <w:spacing w:after="0" w:line="283" w:lineRule="auto"/>
        <w:rPr>
          <w:sz w:val="20"/>
          <w:szCs w:val="20"/>
          <w:color w:val="auto"/>
        </w:rPr>
      </w:pPr>
      <w:r>
        <w:rPr>
          <w:rFonts w:ascii="Arial" w:cs="Arial" w:eastAsia="Arial" w:hAnsi="Arial"/>
          <w:sz w:val="19"/>
          <w:szCs w:val="19"/>
          <w:color w:val="auto"/>
        </w:rPr>
        <w:t>discussion of the amounts we have allocated toward estimated maintenance and replacement capital expenditures, see “Our Cash Distribution Policy and Restrictions on Distributions”.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estimated maintenance and replacement capital expenditures in calculating operating surplus will have the following effects:</w:t>
      </w:r>
    </w:p>
    <w:p>
      <w:pPr>
        <w:spacing w:after="0" w:line="117" w:lineRule="exact"/>
        <w:rPr>
          <w:sz w:val="20"/>
          <w:szCs w:val="20"/>
          <w:color w:val="auto"/>
        </w:rPr>
      </w:pPr>
    </w:p>
    <w:p>
      <w:pPr>
        <w:ind w:left="540" w:right="660" w:hanging="168"/>
        <w:spacing w:after="0" w:line="331" w:lineRule="auto"/>
        <w:tabs>
          <w:tab w:leader="none" w:pos="5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it will reduce the risk that actual maintenance and replacement capital expenditures in any one quarter will be large enough to make operating surplus less than the minimum quarterly distribution to be paid on all the units for that quarter and subsequent quarters;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it may reduce the need for us to borrow to pay distributions;</w:t>
      </w:r>
    </w:p>
    <w:p>
      <w:pPr>
        <w:spacing w:after="0" w:line="105" w:lineRule="exact"/>
        <w:rPr>
          <w:rFonts w:ascii="Arial" w:cs="Arial" w:eastAsia="Arial" w:hAnsi="Arial"/>
          <w:sz w:val="19"/>
          <w:szCs w:val="19"/>
          <w:color w:val="auto"/>
        </w:rPr>
      </w:pPr>
    </w:p>
    <w:p>
      <w:pPr>
        <w:ind w:left="540" w:right="60" w:hanging="168"/>
        <w:spacing w:after="0" w:line="283" w:lineRule="auto"/>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it will be more difficult for us to raise our distribution above the minimum quarterly distribution and pay incentive distributions to GasLog; and</w:t>
      </w:r>
    </w:p>
    <w:p>
      <w:pPr>
        <w:spacing w:after="0" w:line="38" w:lineRule="exact"/>
        <w:rPr>
          <w:rFonts w:ascii="Arial" w:cs="Arial" w:eastAsia="Arial" w:hAnsi="Arial"/>
          <w:sz w:val="19"/>
          <w:szCs w:val="19"/>
          <w:color w:val="auto"/>
        </w:rPr>
      </w:pPr>
    </w:p>
    <w:p>
      <w:pPr>
        <w:ind w:left="540" w:right="140" w:hanging="168"/>
        <w:spacing w:after="0" w:line="267" w:lineRule="auto"/>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it will reduce the likelihood that a large maintenance and replacement capital expenditure in a period will prevent GasLog from being able to convert some or all of its subordinated units into Common Units since the effect of an estimate is to spread the expected expense over several periods, mitigating the effect of the actual payment of the expenditure on any single period.</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Capital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Capital surplus generally will be generated only by:</w:t>
      </w:r>
    </w:p>
    <w:p>
      <w:pPr>
        <w:spacing w:after="0" w:line="106" w:lineRule="exact"/>
        <w:rPr>
          <w:sz w:val="20"/>
          <w:szCs w:val="20"/>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borrowings other than working capital borrowings;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sales of debt and equity securities; and</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Characterization of Cash Distributions</w:t>
      </w:r>
    </w:p>
    <w:p>
      <w:pPr>
        <w:spacing w:after="0" w:line="119" w:lineRule="exact"/>
        <w:rPr>
          <w:sz w:val="20"/>
          <w:szCs w:val="20"/>
          <w:color w:val="auto"/>
        </w:rPr>
      </w:pPr>
    </w:p>
    <w:p>
      <w:pPr>
        <w:ind w:right="80" w:firstLine="357"/>
        <w:spacing w:after="0" w:line="294" w:lineRule="auto"/>
        <w:rPr>
          <w:sz w:val="20"/>
          <w:szCs w:val="20"/>
          <w:color w:val="auto"/>
        </w:rPr>
      </w:pPr>
      <w:r>
        <w:rPr>
          <w:rFonts w:ascii="Arial" w:cs="Arial" w:eastAsia="Arial" w:hAnsi="Arial"/>
          <w:sz w:val="17"/>
          <w:szCs w:val="17"/>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does not reflect actual cash on hand that is available for distribution to our unitholders. For example, it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We do not anticipate that we will make any distributions from capital surplus.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Subordination Period</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20" w:firstLine="357"/>
        <w:spacing w:after="0" w:line="297" w:lineRule="auto"/>
        <w:rPr>
          <w:sz w:val="20"/>
          <w:szCs w:val="20"/>
          <w:color w:val="auto"/>
        </w:rPr>
      </w:pPr>
      <w:r>
        <w:rPr>
          <w:rFonts w:ascii="Arial" w:cs="Arial" w:eastAsia="Arial" w:hAnsi="Arial"/>
          <w:sz w:val="17"/>
          <w:szCs w:val="17"/>
          <w:color w:val="auto"/>
        </w:rPr>
        <w:t>During the subordination period, which we define below, the Common Units will have the right to receive distributions of available cash from operating surplus in an amount equal to the minimum quarterly distribution of $0.375 per unit, plus any arrearages in the payment of the minimum quarterly distribution on the Common Units from prior quarters, before any distributions of available cash from operating surplus may be made on the subordinated units. Distribution arrearages do not accrue on the subordinated units. The purpose of the subordinated units is to increase the likelihood that during the subordination period there will be available cash from operating surplus to be distributed on the Common Units.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85" w:name="page86"/>
    <w:bookmarkEnd w:id="85"/>
    <w:p>
      <w:pPr>
        <w:spacing w:after="0"/>
        <w:rPr>
          <w:sz w:val="20"/>
          <w:szCs w:val="20"/>
          <w:color w:val="auto"/>
        </w:rPr>
      </w:pPr>
      <w:r>
        <w:rPr>
          <w:rFonts w:ascii="Arial" w:cs="Arial" w:eastAsia="Arial" w:hAnsi="Arial"/>
          <w:sz w:val="19"/>
          <w:szCs w:val="19"/>
          <w:b w:val="1"/>
          <w:bCs w:val="1"/>
          <w:i w:val="1"/>
          <w:iCs w:val="1"/>
          <w:color w:val="auto"/>
        </w:rPr>
        <w:t>Definition of Subordination Period</w:t>
      </w:r>
    </w:p>
    <w:p>
      <w:pPr>
        <w:spacing w:after="0" w:line="119"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The subordination period will extend until the second business day following the distribution of available cash from operating surplus in respect of any quarter, ending on or after March 31, 2017, that each of the following tests are met:</w:t>
      </w:r>
    </w:p>
    <w:p>
      <w:pPr>
        <w:spacing w:after="0" w:line="38" w:lineRule="exact"/>
        <w:rPr>
          <w:sz w:val="20"/>
          <w:szCs w:val="20"/>
          <w:color w:val="auto"/>
        </w:rPr>
      </w:pPr>
    </w:p>
    <w:p>
      <w:pPr>
        <w:ind w:left="540" w:right="120" w:hanging="168"/>
        <w:spacing w:after="0" w:line="267" w:lineRule="auto"/>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distributions of available cash from operating surplus on each of the outstanding Common Units and subordinated units equaled or exceeded the sum of the minimum quarterly distribution for each of the three consecutive four-quarter periods immediately preceding that date;</w:t>
      </w:r>
    </w:p>
    <w:p>
      <w:pPr>
        <w:spacing w:after="0" w:line="40" w:lineRule="exact"/>
        <w:rPr>
          <w:rFonts w:ascii="Arial" w:cs="Arial" w:eastAsia="Arial" w:hAnsi="Arial"/>
          <w:sz w:val="19"/>
          <w:szCs w:val="19"/>
          <w:color w:val="auto"/>
        </w:rPr>
      </w:pPr>
    </w:p>
    <w:p>
      <w:pPr>
        <w:ind w:left="540" w:right="20" w:hanging="168"/>
        <w:spacing w:after="0" w:line="262" w:lineRule="auto"/>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“adjusted operating surplus” (as defined below) generated during each of the three consecutive, non-overlapping four-quarter periods immediately preceding that date equaled or exceeded the sum of the minimum quarterly distributions on all of the outstanding Common Units and subordinated units during those periods on a fully diluted weighted average basis and the related distribution on the 2.0% general partner interest during those periods; and</w:t>
      </w:r>
    </w:p>
    <w:p>
      <w:pPr>
        <w:spacing w:after="0" w:line="58"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there are no outstanding arrearages in payment of the minimum quarterly distribution on the Common Units.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the unitholders remove our general partner without cause, the subordination period will end before March 31, 2017.</w:t>
      </w:r>
    </w:p>
    <w:p>
      <w:pPr>
        <w:spacing w:after="0" w:line="106"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For purposes of determining whether the tests in the bullets above have been met, the three consecutive, non-overlapping four-quarter periods for which the determination is being made may include one or more quarters with respect to which arrearages in the payment of the minimum quarterly distribution on the Common Units have accrued, provided that all such arrearages have been repaid prior to the end of each such four-quarter period.</w:t>
      </w:r>
    </w:p>
    <w:p>
      <w:pPr>
        <w:spacing w:after="0" w:line="72" w:lineRule="exact"/>
        <w:rPr>
          <w:sz w:val="20"/>
          <w:szCs w:val="20"/>
          <w:color w:val="auto"/>
        </w:rPr>
      </w:pPr>
    </w:p>
    <w:p>
      <w:pPr>
        <w:ind w:right="80" w:firstLine="357"/>
        <w:spacing w:after="0" w:line="312" w:lineRule="auto"/>
        <w:rPr>
          <w:sz w:val="20"/>
          <w:szCs w:val="20"/>
          <w:color w:val="auto"/>
        </w:rPr>
      </w:pPr>
      <w:r>
        <w:rPr>
          <w:rFonts w:ascii="Arial" w:cs="Arial" w:eastAsia="Arial" w:hAnsi="Arial"/>
          <w:sz w:val="18"/>
          <w:szCs w:val="18"/>
          <w:color w:val="auto"/>
        </w:rPr>
        <w:t>If the expiration of the subordination period occurs as a result of us having met the tests described above, each outstanding subordinated unit will convert into one Common Unit and will then participate pro rata with the other Common Units in distributions of available cash.</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Adjusted Operating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Adjusted operating surplus for any period generally means:</w:t>
      </w:r>
    </w:p>
    <w:p>
      <w:pPr>
        <w:spacing w:after="0" w:line="106" w:lineRule="exact"/>
        <w:rPr>
          <w:sz w:val="20"/>
          <w:szCs w:val="20"/>
          <w:color w:val="auto"/>
        </w:rPr>
      </w:pPr>
    </w:p>
    <w:p>
      <w:pPr>
        <w:ind w:left="540" w:right="320" w:hanging="168"/>
        <w:spacing w:after="0" w:line="283" w:lineRule="auto"/>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operating surplus generated with respect to that period (excluding any amounts attributable to the item described in the first bullet point under “—Operating Surplus and Capital Surplus—Definition of Operating Surplus” above);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right="680" w:hanging="168"/>
        <w:spacing w:after="0" w:line="283" w:lineRule="auto"/>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the amount of any net increase in working capital borrowings (including our proportionate share of any changes in working capital borrowings of any subsidiaries we do not wholly own) with respect to that period;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right="460" w:hanging="168"/>
        <w:spacing w:after="0" w:line="312"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amount of any net reduction in cash reserves for operating expenditures (including our proportionate share of cash reserves of any subsidiaries we do not wholly own) over that period not relating to an operating expenditure made during that period; </w:t>
      </w:r>
      <w:r>
        <w:rPr>
          <w:rFonts w:ascii="Arial" w:cs="Arial" w:eastAsia="Arial" w:hAnsi="Arial"/>
          <w:sz w:val="18"/>
          <w:szCs w:val="18"/>
          <w:i w:val="1"/>
          <w:iCs w:val="1"/>
          <w:color w:val="auto"/>
        </w:rPr>
        <w:t>plus</w:t>
      </w:r>
    </w:p>
    <w:p>
      <w:pPr>
        <w:spacing w:after="0" w:line="15" w:lineRule="exact"/>
        <w:rPr>
          <w:rFonts w:ascii="Arial" w:cs="Arial" w:eastAsia="Arial" w:hAnsi="Arial"/>
          <w:sz w:val="18"/>
          <w:szCs w:val="18"/>
          <w:color w:val="auto"/>
        </w:rPr>
      </w:pPr>
    </w:p>
    <w:p>
      <w:pPr>
        <w:ind w:left="540" w:right="660" w:hanging="168"/>
        <w:spacing w:after="0" w:line="283" w:lineRule="auto"/>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the amount of any net decrease in working capital borrowings (including our proportionate share of any changes in working capital borrowings of any subsidiaries we do not wholly own) with respect to that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200" w:hanging="168"/>
        <w:spacing w:after="0" w:line="267" w:lineRule="auto"/>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the amount of any net increase in cash reserves for operating expenditures (including our proportionate share of cash reserves of any subsidiaries we do not wholly own) over that period required by any debt instrument for the repayment of principal, interest or premium; </w:t>
      </w:r>
      <w:r>
        <w:rPr>
          <w:rFonts w:ascii="Arial" w:cs="Arial" w:eastAsia="Arial" w:hAnsi="Arial"/>
          <w:sz w:val="19"/>
          <w:szCs w:val="19"/>
          <w:i w:val="1"/>
          <w:iCs w:val="1"/>
          <w:color w:val="auto"/>
        </w:rPr>
        <w:t>plus</w:t>
      </w:r>
    </w:p>
    <w:p>
      <w:pPr>
        <w:spacing w:after="0" w:line="54" w:lineRule="exact"/>
        <w:rPr>
          <w:rFonts w:ascii="Arial" w:cs="Arial" w:eastAsia="Arial" w:hAnsi="Arial"/>
          <w:sz w:val="19"/>
          <w:szCs w:val="19"/>
          <w:color w:val="auto"/>
        </w:rPr>
      </w:pPr>
    </w:p>
    <w:p>
      <w:pPr>
        <w:ind w:left="540" w:right="100" w:hanging="168"/>
        <w:spacing w:after="0" w:line="312"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of any net decrease made in subsequent periods to cash reserves for operating expenditures initially established with respect to such period to the extent such decrease results in a reduction in adjusted operating surplus in subsequent periods.</w:t>
      </w:r>
    </w:p>
    <w:p>
      <w:pPr>
        <w:spacing w:after="0" w:line="29"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Adjusted operating surplus is intended to reflect the cash generated from operations during a particular period and therefore excludes net increases in working capital borrowings and net drawdowns of reserves of cash generated in prior periods.</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5" w:right="299" w:bottom="1440" w:gutter="0" w:footer="0" w:header="0"/>
        </w:sectPr>
      </w:pPr>
    </w:p>
    <w:bookmarkStart w:id="86" w:name="page87"/>
    <w:bookmarkEnd w:id="86"/>
    <w:p>
      <w:pPr>
        <w:spacing w:after="0"/>
        <w:rPr>
          <w:sz w:val="20"/>
          <w:szCs w:val="20"/>
          <w:color w:val="auto"/>
        </w:rPr>
      </w:pPr>
      <w:r>
        <w:rPr>
          <w:rFonts w:ascii="Arial" w:cs="Arial" w:eastAsia="Arial" w:hAnsi="Arial"/>
          <w:sz w:val="19"/>
          <w:szCs w:val="19"/>
          <w:b w:val="1"/>
          <w:bCs w:val="1"/>
          <w:i w:val="1"/>
          <w:iCs w:val="1"/>
          <w:color w:val="auto"/>
        </w:rPr>
        <w:t>Effect of Removal of Our General Partner on the Subordination Period</w:t>
      </w:r>
    </w:p>
    <w:p>
      <w:pPr>
        <w:spacing w:after="0" w:line="119"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If the unitholders remove our general partner other than for cause and units held by our general partner and its affiliates are not voted in favor of such removal:</w:t>
      </w:r>
    </w:p>
    <w:p>
      <w:pPr>
        <w:spacing w:after="0" w:line="38" w:lineRule="exact"/>
        <w:rPr>
          <w:sz w:val="20"/>
          <w:szCs w:val="20"/>
          <w:color w:val="auto"/>
        </w:rPr>
      </w:pPr>
    </w:p>
    <w:p>
      <w:pPr>
        <w:ind w:left="540" w:right="80" w:hanging="168"/>
        <w:spacing w:after="0" w:line="283" w:lineRule="auto"/>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subordination period will end and each subordinated unit will immediately convert into one Common Unit and will then participate pro rata with the other Common Units in distributions of available cash;</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existing arrearages in payment of the minimum quarterly distribution on the Common Units will be extinguished; and</w:t>
      </w:r>
    </w:p>
    <w:p>
      <w:pPr>
        <w:spacing w:after="0" w:line="105" w:lineRule="exact"/>
        <w:rPr>
          <w:rFonts w:ascii="Arial" w:cs="Arial" w:eastAsia="Arial" w:hAnsi="Arial"/>
          <w:sz w:val="19"/>
          <w:szCs w:val="19"/>
          <w:color w:val="auto"/>
        </w:rPr>
      </w:pPr>
    </w:p>
    <w:p>
      <w:pPr>
        <w:ind w:left="540" w:right="440" w:hanging="168"/>
        <w:spacing w:after="0" w:line="283" w:lineRule="auto"/>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our general partner will have the right to convert its general partner interest into Common Units or to receive cash in exchange for that interest.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Available Cash From Operating Surplus During the Subordination Period</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for any quarter during the subordination period in the following manner:</w:t>
      </w:r>
    </w:p>
    <w:p>
      <w:pPr>
        <w:spacing w:after="0" w:line="117" w:lineRule="exact"/>
        <w:rPr>
          <w:sz w:val="20"/>
          <w:szCs w:val="20"/>
          <w:color w:val="auto"/>
        </w:rPr>
      </w:pPr>
    </w:p>
    <w:p>
      <w:pPr>
        <w:ind w:left="540" w:right="40" w:hanging="168"/>
        <w:spacing w:after="0" w:line="283" w:lineRule="auto"/>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Common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minimum quarterly distribution for that quarter;</w:t>
      </w:r>
    </w:p>
    <w:p>
      <w:pPr>
        <w:spacing w:after="0" w:line="38" w:lineRule="exact"/>
        <w:rPr>
          <w:rFonts w:ascii="Arial" w:cs="Arial" w:eastAsia="Arial" w:hAnsi="Arial"/>
          <w:sz w:val="19"/>
          <w:szCs w:val="19"/>
          <w:color w:val="auto"/>
        </w:rPr>
      </w:pPr>
    </w:p>
    <w:p>
      <w:pPr>
        <w:jc w:val="both"/>
        <w:ind w:left="540" w:hanging="168"/>
        <w:spacing w:after="0" w:line="267" w:lineRule="auto"/>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common unitholders, pro rata, and 2.0% to our general partner, until we distribute for each outstanding Common Unit</w:t>
      </w:r>
      <w:r>
        <w:rPr>
          <w:rFonts w:ascii="Arial" w:cs="Arial" w:eastAsia="Arial" w:hAnsi="Arial"/>
          <w:sz w:val="19"/>
          <w:szCs w:val="19"/>
          <w:i w:val="1"/>
          <w:iCs w:val="1"/>
          <w:color w:val="auto"/>
        </w:rPr>
        <w:t xml:space="preserve"> </w:t>
      </w:r>
      <w:r>
        <w:rPr>
          <w:rFonts w:ascii="Arial" w:cs="Arial" w:eastAsia="Arial" w:hAnsi="Arial"/>
          <w:sz w:val="19"/>
          <w:szCs w:val="19"/>
          <w:color w:val="auto"/>
        </w:rPr>
        <w:t>an amount equal to any arrearages in payment of the minimum quarterly distribution on the Common Units for any prior quarters during the subordination period;</w:t>
      </w:r>
    </w:p>
    <w:p>
      <w:pPr>
        <w:spacing w:after="0" w:line="54" w:lineRule="exact"/>
        <w:rPr>
          <w:rFonts w:ascii="Arial" w:cs="Arial" w:eastAsia="Arial" w:hAnsi="Arial"/>
          <w:sz w:val="19"/>
          <w:szCs w:val="19"/>
          <w:color w:val="auto"/>
        </w:rPr>
      </w:pPr>
    </w:p>
    <w:p>
      <w:pPr>
        <w:ind w:left="540" w:right="380" w:hanging="168"/>
        <w:spacing w:after="0" w:line="283" w:lineRule="auto"/>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third</w:t>
      </w:r>
      <w:r>
        <w:rPr>
          <w:rFonts w:ascii="Arial" w:cs="Arial" w:eastAsia="Arial" w:hAnsi="Arial"/>
          <w:sz w:val="19"/>
          <w:szCs w:val="19"/>
          <w:color w:val="auto"/>
        </w:rPr>
        <w:t>, 98.0% to the subordinated unitholders, pro rata, and 2.0% to our general partner, until we distribute for each subordinated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minimum quarterly distribution for that quarter;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in the manner described in “—General Partner Interest” and “—Incentive Distribution Rights” below.</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preceding paragraph is based on the assumption that our general partner maintains its 2.0% general partner interest and that we do not issue additional classes of equity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Available Cash From Operating Surplus After the Subordination Period</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for any quarter after the subordination period in the following manner:</w:t>
      </w:r>
    </w:p>
    <w:p>
      <w:pPr>
        <w:spacing w:after="0" w:line="117" w:lineRule="exact"/>
        <w:rPr>
          <w:sz w:val="20"/>
          <w:szCs w:val="20"/>
          <w:color w:val="auto"/>
        </w:rPr>
      </w:pPr>
    </w:p>
    <w:p>
      <w:pPr>
        <w:ind w:left="540" w:right="40" w:hanging="168"/>
        <w:spacing w:after="0" w:line="283" w:lineRule="auto"/>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we distribute for each outstanding unit an amount equal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minimum quarterly distribution for that quarter; and</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in the manner described in “—General Partner Interest” and “—Incentive Distribution Rights” below.</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preceding paragraph is based on the assumption that our general partner maintains its 2.0% general partner interest and that we do not issue additional classes of equity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Partner Interest</w:t>
      </w:r>
    </w:p>
    <w:p>
      <w:pPr>
        <w:spacing w:after="0" w:line="125"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units. Our general partner’s 2.0% interest, and the percentage of our cash distributions to which it is entitled, will be proportionately reduced if we issue additional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6" w:right="259" w:bottom="1440" w:gutter="0" w:footer="0" w:header="0"/>
        </w:sectPr>
      </w:pPr>
    </w:p>
    <w:bookmarkStart w:id="87" w:name="page88"/>
    <w:bookmarkEnd w:id="87"/>
    <w:p>
      <w:pPr>
        <w:spacing w:after="0"/>
        <w:rPr>
          <w:sz w:val="20"/>
          <w:szCs w:val="20"/>
          <w:color w:val="auto"/>
        </w:rPr>
      </w:pPr>
      <w:r>
        <w:rPr>
          <w:rFonts w:ascii="Arial" w:cs="Arial" w:eastAsia="Arial" w:hAnsi="Arial"/>
          <w:sz w:val="19"/>
          <w:szCs w:val="19"/>
          <w:color w:val="auto"/>
        </w:rPr>
        <w:t>contribution to us of Common Units based on the current market value of the contributed Common Units.</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Incentive Distribution Rights</w:t>
      </w:r>
    </w:p>
    <w:p>
      <w:pPr>
        <w:spacing w:after="0" w:line="125" w:lineRule="exact"/>
        <w:rPr>
          <w:sz w:val="20"/>
          <w:szCs w:val="20"/>
          <w:color w:val="auto"/>
        </w:rPr>
      </w:pPr>
    </w:p>
    <w:p>
      <w:pPr>
        <w:ind w:right="60" w:firstLine="357"/>
        <w:spacing w:after="0" w:line="272"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will hold the incentive distribution rights following completion of the offering.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for any quarter:</w:t>
      </w:r>
    </w:p>
    <w:p>
      <w:pPr>
        <w:spacing w:after="0" w:line="106" w:lineRule="exact"/>
        <w:rPr>
          <w:sz w:val="20"/>
          <w:szCs w:val="20"/>
          <w:color w:val="auto"/>
        </w:rPr>
      </w:pPr>
    </w:p>
    <w:p>
      <w:pPr>
        <w:ind w:left="540" w:right="20" w:hanging="168"/>
        <w:spacing w:after="0" w:line="283" w:lineRule="auto"/>
        <w:tabs>
          <w:tab w:leader="none" w:pos="5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we have distributed available cash from operating surplus to the common and subordinated unitholders in an amount equal to the minimum quarterly distribution; and</w:t>
      </w:r>
    </w:p>
    <w:p>
      <w:pPr>
        <w:spacing w:after="0" w:line="38" w:lineRule="exact"/>
        <w:rPr>
          <w:rFonts w:ascii="Arial" w:cs="Arial" w:eastAsia="Arial" w:hAnsi="Arial"/>
          <w:sz w:val="19"/>
          <w:szCs w:val="19"/>
          <w:color w:val="auto"/>
        </w:rPr>
      </w:pPr>
    </w:p>
    <w:p>
      <w:pPr>
        <w:ind w:left="540" w:right="760" w:hanging="168"/>
        <w:spacing w:after="0" w:line="283" w:lineRule="auto"/>
        <w:tabs>
          <w:tab w:leader="none" w:pos="5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we have distributed available cash from operating surplus on outstanding Common Units in an amount necessary to eliminate any cumulative arrearages in payment of the minimum quarterly distribution;</w:t>
      </w:r>
    </w:p>
    <w:p>
      <w:pPr>
        <w:spacing w:after="0" w:line="52" w:lineRule="exact"/>
        <w:rPr>
          <w:sz w:val="20"/>
          <w:szCs w:val="20"/>
          <w:color w:val="auto"/>
        </w:rPr>
      </w:pPr>
    </w:p>
    <w:p>
      <w:pPr>
        <w:ind w:right="120"/>
        <w:spacing w:after="0" w:line="283" w:lineRule="auto"/>
        <w:rPr>
          <w:sz w:val="20"/>
          <w:szCs w:val="20"/>
          <w:color w:val="auto"/>
        </w:rPr>
      </w:pPr>
      <w:r>
        <w:rPr>
          <w:rFonts w:ascii="Arial" w:cs="Arial" w:eastAsia="Arial" w:hAnsi="Arial"/>
          <w:sz w:val="19"/>
          <w:szCs w:val="19"/>
          <w:color w:val="auto"/>
        </w:rPr>
        <w:t>then, we will distribute any additional available cash from operating surplus for that quarter among the unitholders and our general partner in the following manner:</w:t>
      </w:r>
    </w:p>
    <w:p>
      <w:pPr>
        <w:spacing w:after="0" w:line="38" w:lineRule="exact"/>
        <w:rPr>
          <w:sz w:val="20"/>
          <w:szCs w:val="20"/>
          <w:color w:val="auto"/>
        </w:rPr>
      </w:pPr>
    </w:p>
    <w:p>
      <w:pPr>
        <w:ind w:left="540" w:right="160" w:hanging="168"/>
        <w:spacing w:after="0" w:line="283" w:lineRule="auto"/>
        <w:tabs>
          <w:tab w:leader="none" w:pos="540" w:val="left"/>
        </w:tabs>
        <w:numPr>
          <w:ilvl w:val="0"/>
          <w:numId w:val="78"/>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each unitholder receives a total of $0.43125 per unit for that</w:t>
      </w:r>
      <w:r>
        <w:rPr>
          <w:rFonts w:ascii="Arial" w:cs="Arial" w:eastAsia="Arial" w:hAnsi="Arial"/>
          <w:sz w:val="19"/>
          <w:szCs w:val="19"/>
          <w:i w:val="1"/>
          <w:iCs w:val="1"/>
          <w:color w:val="auto"/>
        </w:rPr>
        <w:t xml:space="preserve"> </w:t>
      </w:r>
      <w:r>
        <w:rPr>
          <w:rFonts w:ascii="Arial" w:cs="Arial" w:eastAsia="Arial" w:hAnsi="Arial"/>
          <w:sz w:val="19"/>
          <w:szCs w:val="19"/>
          <w:color w:val="auto"/>
        </w:rPr>
        <w:t>quarter (the “first target distribution”);</w:t>
      </w:r>
    </w:p>
    <w:p>
      <w:pPr>
        <w:spacing w:after="0" w:line="24"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78"/>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85.0% to all unitholders, pro rata, 2.0% to our general partner and 13.0% to the holders of the incentive distribution rights, pro rata,</w:t>
      </w:r>
      <w:r>
        <w:rPr>
          <w:rFonts w:ascii="Arial" w:cs="Arial" w:eastAsia="Arial" w:hAnsi="Arial"/>
          <w:sz w:val="19"/>
          <w:szCs w:val="19"/>
          <w:i w:val="1"/>
          <w:iCs w:val="1"/>
          <w:color w:val="auto"/>
        </w:rPr>
        <w:t xml:space="preserve"> </w:t>
      </w:r>
      <w:r>
        <w:rPr>
          <w:rFonts w:ascii="Arial" w:cs="Arial" w:eastAsia="Arial" w:hAnsi="Arial"/>
          <w:sz w:val="19"/>
          <w:szCs w:val="19"/>
          <w:color w:val="auto"/>
        </w:rPr>
        <w:t>until each unitholder receives a total of $0.46875 per unit for that quarter (the “second target distribution”);</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78"/>
        </w:numPr>
        <w:rPr>
          <w:rFonts w:ascii="Arial" w:cs="Arial" w:eastAsia="Arial" w:hAnsi="Arial"/>
          <w:sz w:val="19"/>
          <w:szCs w:val="19"/>
          <w:color w:val="auto"/>
        </w:rPr>
      </w:pPr>
      <w:r>
        <w:rPr>
          <w:rFonts w:ascii="Arial" w:cs="Arial" w:eastAsia="Arial" w:hAnsi="Arial"/>
          <w:sz w:val="19"/>
          <w:szCs w:val="19"/>
          <w:i w:val="1"/>
          <w:iCs w:val="1"/>
          <w:color w:val="auto"/>
        </w:rPr>
        <w:t>third</w:t>
      </w:r>
      <w:r>
        <w:rPr>
          <w:rFonts w:ascii="Arial" w:cs="Arial" w:eastAsia="Arial" w:hAnsi="Arial"/>
          <w:sz w:val="19"/>
          <w:szCs w:val="19"/>
          <w:color w:val="auto"/>
        </w:rPr>
        <w:t>, 75.0% to all unitholders, pro rata, 2.0% to our general partner and 23.0% to the holders of the incentive distribution rights, pro rata,</w:t>
      </w:r>
      <w:r>
        <w:rPr>
          <w:rFonts w:ascii="Arial" w:cs="Arial" w:eastAsia="Arial" w:hAnsi="Arial"/>
          <w:sz w:val="19"/>
          <w:szCs w:val="19"/>
          <w:i w:val="1"/>
          <w:iCs w:val="1"/>
          <w:color w:val="auto"/>
        </w:rPr>
        <w:t xml:space="preserve"> </w:t>
      </w:r>
      <w:r>
        <w:rPr>
          <w:rFonts w:ascii="Arial" w:cs="Arial" w:eastAsia="Arial" w:hAnsi="Arial"/>
          <w:sz w:val="19"/>
          <w:szCs w:val="19"/>
          <w:color w:val="auto"/>
        </w:rPr>
        <w:t>until each unitholder receives a total of $0.5625 per unit for that quarter (the “third target distribution”); and</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78"/>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2.0% to our general partner and 48.0% to the holders of the incentive distribution rights, pro</w:t>
      </w:r>
      <w:r>
        <w:rPr>
          <w:rFonts w:ascii="Arial" w:cs="Arial" w:eastAsia="Arial" w:hAnsi="Arial"/>
          <w:sz w:val="19"/>
          <w:szCs w:val="19"/>
          <w:i w:val="1"/>
          <w:iCs w:val="1"/>
          <w:color w:val="auto"/>
        </w:rPr>
        <w:t xml:space="preserve"> </w:t>
      </w:r>
      <w:r>
        <w:rPr>
          <w:rFonts w:ascii="Arial" w:cs="Arial" w:eastAsia="Arial" w:hAnsi="Arial"/>
          <w:sz w:val="19"/>
          <w:szCs w:val="19"/>
          <w:color w:val="auto"/>
        </w:rPr>
        <w:t>rata.</w:t>
      </w:r>
    </w:p>
    <w:p>
      <w:pPr>
        <w:spacing w:after="0" w:line="65"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our general partner maintains its 2.0% general partner interest and that we do not issue additional classes of equity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Percentage Allocations of Available Cash From Operating Surplus</w:t>
      </w:r>
    </w:p>
    <w:p>
      <w:pPr>
        <w:spacing w:after="0" w:line="125"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The following table illustrates the percentage allocations of the additional available cash from operating surplus among the unitholders, our general partner and the holders of the incentive distribution rights up to the various target distribution levels. The amounts set forth under “Marginal Percentage Interest in Distributions” are the percentage interests of the unitholders, our general partner and the holders of the incentive distribution rights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our general partner and the holders of the incentive distribution rights for the minimum quarterly distribution are also applicable to quarterly distribution amounts that are less than the minimum quarterly</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88" w:name="page89"/>
    <w:bookmarkEnd w:id="88"/>
    <w:p>
      <w:pPr>
        <w:ind w:right="440"/>
        <w:spacing w:after="0" w:line="283" w:lineRule="auto"/>
        <w:rPr>
          <w:sz w:val="20"/>
          <w:szCs w:val="20"/>
          <w:color w:val="auto"/>
        </w:rPr>
      </w:pPr>
      <w:r>
        <w:rPr>
          <w:rFonts w:ascii="Arial" w:cs="Arial" w:eastAsia="Arial" w:hAnsi="Arial"/>
          <w:sz w:val="19"/>
          <w:szCs w:val="19"/>
          <w:color w:val="auto"/>
        </w:rPr>
        <w:t>distribution. The percentage interests shown for our general partner include its 2.0% general partner interest only and assume that our general partner has contributed any capital necessary to maintain its 2.0% general partner interest.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Marginal Percentage Interest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9"/>
        </w:trPr>
        <w:tc>
          <w:tcPr>
            <w:tcW w:w="4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3"/>
              </w:rPr>
              <w:t>Total Quarterly</w:t>
            </w:r>
          </w:p>
        </w:tc>
        <w:tc>
          <w:tcPr>
            <w:tcW w:w="32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6"/>
                <w:szCs w:val="16"/>
                <w:b w:val="1"/>
                <w:bCs w:val="1"/>
                <w:color w:val="auto"/>
              </w:rPr>
              <w:t>in Distributions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45"/>
        </w:trPr>
        <w:tc>
          <w:tcPr>
            <w:tcW w:w="4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91"/>
              </w:rPr>
              <w:t>Distribution</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6"/>
                <w:szCs w:val="16"/>
                <w:b w:val="1"/>
                <w:bCs w:val="1"/>
                <w:color w:val="auto"/>
              </w:rPr>
              <w:t>General</w:t>
            </w:r>
          </w:p>
        </w:tc>
        <w:tc>
          <w:tcPr>
            <w:tcW w:w="300" w:type="dxa"/>
            <w:vAlign w:val="bottom"/>
          </w:tcPr>
          <w:p>
            <w:pPr>
              <w:spacing w:after="0"/>
              <w:rPr>
                <w:sz w:val="12"/>
                <w:szCs w:val="12"/>
                <w:color w:val="auto"/>
              </w:rPr>
            </w:pPr>
          </w:p>
        </w:tc>
        <w:tc>
          <w:tcPr>
            <w:tcW w:w="920" w:type="dxa"/>
            <w:vAlign w:val="bottom"/>
          </w:tcPr>
          <w:p>
            <w:pPr>
              <w:jc w:val="right"/>
              <w:ind w:right="21"/>
              <w:spacing w:after="0" w:line="145" w:lineRule="exact"/>
              <w:rPr>
                <w:sz w:val="20"/>
                <w:szCs w:val="20"/>
                <w:color w:val="auto"/>
              </w:rPr>
            </w:pPr>
            <w:r>
              <w:rPr>
                <w:rFonts w:ascii="Arial" w:cs="Arial" w:eastAsia="Arial" w:hAnsi="Arial"/>
                <w:sz w:val="16"/>
                <w:szCs w:val="16"/>
                <w:b w:val="1"/>
                <w:bCs w:val="1"/>
                <w:color w:val="auto"/>
              </w:rPr>
              <w:t>Holders of</w:t>
            </w:r>
          </w:p>
        </w:tc>
      </w:tr>
      <w:tr>
        <w:trPr>
          <w:trHeight w:val="199"/>
        </w:trPr>
        <w:tc>
          <w:tcPr>
            <w:tcW w:w="4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Target Amount</w:t>
            </w:r>
          </w:p>
        </w:tc>
        <w:tc>
          <w:tcPr>
            <w:tcW w:w="320" w:type="dxa"/>
            <w:vAlign w:val="bottom"/>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Unitholders</w:t>
            </w:r>
          </w:p>
        </w:tc>
        <w:tc>
          <w:tcPr>
            <w:tcW w:w="3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Partner</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IDRs</w:t>
            </w:r>
          </w:p>
        </w:tc>
      </w:tr>
      <w:tr>
        <w:trPr>
          <w:trHeight w:val="237"/>
        </w:trPr>
        <w:tc>
          <w:tcPr>
            <w:tcW w:w="4360" w:type="dxa"/>
            <w:vAlign w:val="bottom"/>
            <w:shd w:val="clear" w:color="auto" w:fill="E5FFFF"/>
          </w:tcPr>
          <w:p>
            <w:pPr>
              <w:spacing w:after="0"/>
              <w:rPr>
                <w:sz w:val="20"/>
                <w:szCs w:val="20"/>
                <w:color w:val="auto"/>
              </w:rPr>
            </w:pPr>
            <w:r>
              <w:rPr>
                <w:rFonts w:ascii="Arial" w:cs="Arial" w:eastAsia="Arial" w:hAnsi="Arial"/>
                <w:sz w:val="19"/>
                <w:szCs w:val="19"/>
                <w:color w:val="auto"/>
              </w:rPr>
              <w:t>Minimum Quarterly Distribution</w:t>
            </w:r>
          </w:p>
        </w:tc>
        <w:tc>
          <w:tcPr>
            <w:tcW w:w="3460" w:type="dxa"/>
            <w:vAlign w:val="bottom"/>
            <w:gridSpan w:val="2"/>
            <w:shd w:val="clear" w:color="auto" w:fill="E5FFFF"/>
          </w:tcPr>
          <w:p>
            <w:pPr>
              <w:ind w:left="1780"/>
              <w:spacing w:after="0"/>
              <w:rPr>
                <w:sz w:val="20"/>
                <w:szCs w:val="20"/>
                <w:color w:val="auto"/>
              </w:rPr>
            </w:pPr>
            <w:r>
              <w:rPr>
                <w:rFonts w:ascii="Arial" w:cs="Arial" w:eastAsia="Arial" w:hAnsi="Arial"/>
                <w:sz w:val="19"/>
                <w:szCs w:val="19"/>
                <w:color w:val="auto"/>
              </w:rPr>
              <w:t>$0.375</w:t>
            </w:r>
          </w:p>
        </w:tc>
        <w:tc>
          <w:tcPr>
            <w:tcW w:w="14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98.0%</w:t>
            </w:r>
          </w:p>
        </w:tc>
        <w:tc>
          <w:tcPr>
            <w:tcW w:w="98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2.0%</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0%</w:t>
            </w:r>
          </w:p>
        </w:tc>
      </w:tr>
      <w:tr>
        <w:trPr>
          <w:trHeight w:val="216"/>
        </w:trPr>
        <w:tc>
          <w:tcPr>
            <w:tcW w:w="4360" w:type="dxa"/>
            <w:vAlign w:val="bottom"/>
          </w:tcPr>
          <w:p>
            <w:pPr>
              <w:spacing w:after="0" w:line="216" w:lineRule="exact"/>
              <w:rPr>
                <w:sz w:val="20"/>
                <w:szCs w:val="20"/>
                <w:color w:val="auto"/>
              </w:rPr>
            </w:pPr>
            <w:r>
              <w:rPr>
                <w:rFonts w:ascii="Arial" w:cs="Arial" w:eastAsia="Arial" w:hAnsi="Arial"/>
                <w:sz w:val="19"/>
                <w:szCs w:val="19"/>
                <w:color w:val="auto"/>
              </w:rPr>
              <w:t>First Target Distribution</w:t>
            </w:r>
          </w:p>
        </w:tc>
        <w:tc>
          <w:tcPr>
            <w:tcW w:w="3460" w:type="dxa"/>
            <w:vAlign w:val="bottom"/>
            <w:gridSpan w:val="2"/>
          </w:tcPr>
          <w:p>
            <w:pPr>
              <w:ind w:left="1780"/>
              <w:spacing w:after="0" w:line="216" w:lineRule="exact"/>
              <w:rPr>
                <w:sz w:val="20"/>
                <w:szCs w:val="20"/>
                <w:color w:val="auto"/>
              </w:rPr>
            </w:pPr>
            <w:r>
              <w:rPr>
                <w:rFonts w:ascii="Arial" w:cs="Arial" w:eastAsia="Arial" w:hAnsi="Arial"/>
                <w:sz w:val="19"/>
                <w:szCs w:val="19"/>
                <w:color w:val="auto"/>
              </w:rPr>
              <w:t>up to $0.43125</w:t>
            </w:r>
          </w:p>
        </w:tc>
        <w:tc>
          <w:tcPr>
            <w:tcW w:w="1400" w:type="dxa"/>
            <w:vAlign w:val="bottom"/>
            <w:gridSpan w:val="2"/>
          </w:tcPr>
          <w:p>
            <w:pPr>
              <w:jc w:val="right"/>
              <w:ind w:right="81"/>
              <w:spacing w:after="0" w:line="216" w:lineRule="exact"/>
              <w:rPr>
                <w:sz w:val="20"/>
                <w:szCs w:val="20"/>
                <w:color w:val="auto"/>
              </w:rPr>
            </w:pPr>
            <w:r>
              <w:rPr>
                <w:rFonts w:ascii="Arial" w:cs="Arial" w:eastAsia="Arial" w:hAnsi="Arial"/>
                <w:sz w:val="19"/>
                <w:szCs w:val="19"/>
                <w:color w:val="auto"/>
              </w:rPr>
              <w:t>98.0%</w:t>
            </w:r>
          </w:p>
        </w:tc>
        <w:tc>
          <w:tcPr>
            <w:tcW w:w="980" w:type="dxa"/>
            <w:vAlign w:val="bottom"/>
            <w:gridSpan w:val="2"/>
          </w:tcPr>
          <w:p>
            <w:pPr>
              <w:jc w:val="right"/>
              <w:ind w:right="21"/>
              <w:spacing w:after="0" w:line="216" w:lineRule="exact"/>
              <w:rPr>
                <w:sz w:val="20"/>
                <w:szCs w:val="20"/>
                <w:color w:val="auto"/>
              </w:rPr>
            </w:pPr>
            <w:r>
              <w:rPr>
                <w:rFonts w:ascii="Arial" w:cs="Arial" w:eastAsia="Arial" w:hAnsi="Arial"/>
                <w:sz w:val="19"/>
                <w:szCs w:val="19"/>
                <w:color w:val="auto"/>
              </w:rPr>
              <w:t>2.0%</w:t>
            </w:r>
          </w:p>
        </w:tc>
        <w:tc>
          <w:tcPr>
            <w:tcW w:w="1220" w:type="dxa"/>
            <w:vAlign w:val="bottom"/>
            <w:gridSpan w:val="2"/>
          </w:tcPr>
          <w:p>
            <w:pPr>
              <w:jc w:val="right"/>
              <w:ind w:right="21"/>
              <w:spacing w:after="0" w:line="216" w:lineRule="exact"/>
              <w:rPr>
                <w:sz w:val="20"/>
                <w:szCs w:val="20"/>
                <w:color w:val="auto"/>
              </w:rPr>
            </w:pPr>
            <w:r>
              <w:rPr>
                <w:rFonts w:ascii="Arial" w:cs="Arial" w:eastAsia="Arial" w:hAnsi="Arial"/>
                <w:sz w:val="19"/>
                <w:szCs w:val="19"/>
                <w:color w:val="auto"/>
              </w:rPr>
              <w:t>0%</w:t>
            </w:r>
          </w:p>
        </w:tc>
      </w:tr>
      <w:tr>
        <w:trPr>
          <w:trHeight w:val="243"/>
        </w:trPr>
        <w:tc>
          <w:tcPr>
            <w:tcW w:w="4360" w:type="dxa"/>
            <w:vAlign w:val="bottom"/>
          </w:tcPr>
          <w:p>
            <w:pPr>
              <w:spacing w:after="0"/>
              <w:rPr>
                <w:sz w:val="21"/>
                <w:szCs w:val="21"/>
                <w:color w:val="auto"/>
              </w:rPr>
            </w:pPr>
          </w:p>
        </w:tc>
        <w:tc>
          <w:tcPr>
            <w:tcW w:w="3460" w:type="dxa"/>
            <w:vAlign w:val="bottom"/>
            <w:gridSpan w:val="2"/>
          </w:tcPr>
          <w:p>
            <w:pPr>
              <w:ind w:left="1780"/>
              <w:spacing w:after="0"/>
              <w:rPr>
                <w:sz w:val="20"/>
                <w:szCs w:val="20"/>
                <w:color w:val="auto"/>
              </w:rPr>
            </w:pPr>
            <w:r>
              <w:rPr>
                <w:rFonts w:ascii="Arial" w:cs="Arial" w:eastAsia="Arial" w:hAnsi="Arial"/>
                <w:sz w:val="19"/>
                <w:szCs w:val="19"/>
                <w:color w:val="auto"/>
              </w:rPr>
              <w:t>above $0.43125</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436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Second Target Distribution</w:t>
            </w:r>
          </w:p>
        </w:tc>
        <w:tc>
          <w:tcPr>
            <w:tcW w:w="3460" w:type="dxa"/>
            <w:vAlign w:val="bottom"/>
            <w:gridSpan w:val="2"/>
            <w:shd w:val="clear" w:color="auto" w:fill="E5FFFF"/>
          </w:tcPr>
          <w:p>
            <w:pPr>
              <w:ind w:left="1780"/>
              <w:spacing w:after="0" w:line="216" w:lineRule="exact"/>
              <w:rPr>
                <w:sz w:val="20"/>
                <w:szCs w:val="20"/>
                <w:color w:val="auto"/>
              </w:rPr>
            </w:pPr>
            <w:r>
              <w:rPr>
                <w:rFonts w:ascii="Arial" w:cs="Arial" w:eastAsia="Arial" w:hAnsi="Arial"/>
                <w:sz w:val="19"/>
                <w:szCs w:val="19"/>
                <w:color w:val="auto"/>
              </w:rPr>
              <w:t>up to $0.46875</w:t>
            </w:r>
          </w:p>
        </w:tc>
        <w:tc>
          <w:tcPr>
            <w:tcW w:w="1400" w:type="dxa"/>
            <w:vAlign w:val="bottom"/>
            <w:gridSpan w:val="2"/>
            <w:shd w:val="clear" w:color="auto" w:fill="E5FFFF"/>
          </w:tcPr>
          <w:p>
            <w:pPr>
              <w:jc w:val="right"/>
              <w:ind w:right="81"/>
              <w:spacing w:after="0" w:line="216" w:lineRule="exact"/>
              <w:rPr>
                <w:sz w:val="20"/>
                <w:szCs w:val="20"/>
                <w:color w:val="auto"/>
              </w:rPr>
            </w:pPr>
            <w:r>
              <w:rPr>
                <w:rFonts w:ascii="Arial" w:cs="Arial" w:eastAsia="Arial" w:hAnsi="Arial"/>
                <w:sz w:val="19"/>
                <w:szCs w:val="19"/>
                <w:color w:val="auto"/>
              </w:rPr>
              <w:t>85.0%</w:t>
            </w:r>
          </w:p>
        </w:tc>
        <w:tc>
          <w:tcPr>
            <w:tcW w:w="980" w:type="dxa"/>
            <w:vAlign w:val="bottom"/>
            <w:gridSpan w:val="2"/>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2.0%</w:t>
            </w:r>
          </w:p>
        </w:tc>
        <w:tc>
          <w:tcPr>
            <w:tcW w:w="1220" w:type="dxa"/>
            <w:vAlign w:val="bottom"/>
            <w:gridSpan w:val="2"/>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13.0%</w:t>
            </w:r>
          </w:p>
        </w:tc>
      </w:tr>
      <w:tr>
        <w:trPr>
          <w:trHeight w:val="243"/>
        </w:trPr>
        <w:tc>
          <w:tcPr>
            <w:tcW w:w="4360" w:type="dxa"/>
            <w:vAlign w:val="bottom"/>
            <w:shd w:val="clear" w:color="auto" w:fill="E5FFFF"/>
          </w:tcPr>
          <w:p>
            <w:pPr>
              <w:spacing w:after="0"/>
              <w:rPr>
                <w:sz w:val="21"/>
                <w:szCs w:val="21"/>
                <w:color w:val="auto"/>
              </w:rPr>
            </w:pPr>
          </w:p>
        </w:tc>
        <w:tc>
          <w:tcPr>
            <w:tcW w:w="3460" w:type="dxa"/>
            <w:vAlign w:val="bottom"/>
            <w:gridSpan w:val="2"/>
            <w:shd w:val="clear" w:color="auto" w:fill="E5FFFF"/>
          </w:tcPr>
          <w:p>
            <w:pPr>
              <w:ind w:left="1780"/>
              <w:spacing w:after="0"/>
              <w:rPr>
                <w:sz w:val="20"/>
                <w:szCs w:val="20"/>
                <w:color w:val="auto"/>
              </w:rPr>
            </w:pPr>
            <w:r>
              <w:rPr>
                <w:rFonts w:ascii="Arial" w:cs="Arial" w:eastAsia="Arial" w:hAnsi="Arial"/>
                <w:sz w:val="19"/>
                <w:szCs w:val="19"/>
                <w:color w:val="auto"/>
              </w:rPr>
              <w:t>above $0.46875</w:t>
            </w:r>
          </w:p>
        </w:tc>
        <w:tc>
          <w:tcPr>
            <w:tcW w:w="32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9"/>
                <w:szCs w:val="19"/>
                <w:color w:val="auto"/>
              </w:rPr>
              <w:t>Third Target Distribution</w:t>
            </w:r>
          </w:p>
        </w:tc>
        <w:tc>
          <w:tcPr>
            <w:tcW w:w="3460" w:type="dxa"/>
            <w:vAlign w:val="bottom"/>
            <w:gridSpan w:val="2"/>
          </w:tcPr>
          <w:p>
            <w:pPr>
              <w:ind w:left="1780"/>
              <w:spacing w:after="0"/>
              <w:rPr>
                <w:sz w:val="20"/>
                <w:szCs w:val="20"/>
                <w:color w:val="auto"/>
              </w:rPr>
            </w:pPr>
            <w:r>
              <w:rPr>
                <w:rFonts w:ascii="Arial" w:cs="Arial" w:eastAsia="Arial" w:hAnsi="Arial"/>
                <w:sz w:val="19"/>
                <w:szCs w:val="19"/>
                <w:color w:val="auto"/>
              </w:rPr>
              <w:t>up to $0.5625</w:t>
            </w:r>
          </w:p>
        </w:tc>
        <w:tc>
          <w:tcPr>
            <w:tcW w:w="1400" w:type="dxa"/>
            <w:vAlign w:val="bottom"/>
            <w:gridSpan w:val="2"/>
          </w:tcPr>
          <w:p>
            <w:pPr>
              <w:jc w:val="right"/>
              <w:ind w:right="81"/>
              <w:spacing w:after="0"/>
              <w:rPr>
                <w:sz w:val="20"/>
                <w:szCs w:val="20"/>
                <w:color w:val="auto"/>
              </w:rPr>
            </w:pPr>
            <w:r>
              <w:rPr>
                <w:rFonts w:ascii="Arial" w:cs="Arial" w:eastAsia="Arial" w:hAnsi="Arial"/>
                <w:sz w:val="19"/>
                <w:szCs w:val="19"/>
                <w:color w:val="auto"/>
              </w:rPr>
              <w:t>75.0%</w:t>
            </w:r>
          </w:p>
        </w:tc>
        <w:tc>
          <w:tcPr>
            <w:tcW w:w="980" w:type="dxa"/>
            <w:vAlign w:val="bottom"/>
            <w:gridSpan w:val="2"/>
          </w:tcPr>
          <w:p>
            <w:pPr>
              <w:jc w:val="right"/>
              <w:ind w:right="21"/>
              <w:spacing w:after="0"/>
              <w:rPr>
                <w:sz w:val="20"/>
                <w:szCs w:val="20"/>
                <w:color w:val="auto"/>
              </w:rPr>
            </w:pPr>
            <w:r>
              <w:rPr>
                <w:rFonts w:ascii="Arial" w:cs="Arial" w:eastAsia="Arial" w:hAnsi="Arial"/>
                <w:sz w:val="19"/>
                <w:szCs w:val="19"/>
                <w:color w:val="auto"/>
              </w:rPr>
              <w:t>2.0%</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23.0%</w:t>
            </w:r>
          </w:p>
        </w:tc>
      </w:tr>
      <w:tr>
        <w:trPr>
          <w:trHeight w:val="243"/>
        </w:trPr>
        <w:tc>
          <w:tcPr>
            <w:tcW w:w="4360" w:type="dxa"/>
            <w:vAlign w:val="bottom"/>
            <w:shd w:val="clear" w:color="auto" w:fill="E5FFFF"/>
          </w:tcPr>
          <w:p>
            <w:pPr>
              <w:spacing w:after="0"/>
              <w:rPr>
                <w:sz w:val="20"/>
                <w:szCs w:val="20"/>
                <w:color w:val="auto"/>
              </w:rPr>
            </w:pPr>
            <w:r>
              <w:rPr>
                <w:rFonts w:ascii="Arial" w:cs="Arial" w:eastAsia="Arial" w:hAnsi="Arial"/>
                <w:sz w:val="19"/>
                <w:szCs w:val="19"/>
                <w:color w:val="auto"/>
              </w:rPr>
              <w:t>Thereafter</w:t>
            </w:r>
          </w:p>
        </w:tc>
        <w:tc>
          <w:tcPr>
            <w:tcW w:w="3460" w:type="dxa"/>
            <w:vAlign w:val="bottom"/>
            <w:gridSpan w:val="2"/>
            <w:shd w:val="clear" w:color="auto" w:fill="E5FFFF"/>
          </w:tcPr>
          <w:p>
            <w:pPr>
              <w:ind w:left="1780"/>
              <w:spacing w:after="0"/>
              <w:rPr>
                <w:sz w:val="20"/>
                <w:szCs w:val="20"/>
                <w:color w:val="auto"/>
              </w:rPr>
            </w:pPr>
            <w:r>
              <w:rPr>
                <w:rFonts w:ascii="Arial" w:cs="Arial" w:eastAsia="Arial" w:hAnsi="Arial"/>
                <w:sz w:val="19"/>
                <w:szCs w:val="19"/>
                <w:color w:val="auto"/>
              </w:rPr>
              <w:t>above $0.5625</w:t>
            </w:r>
          </w:p>
        </w:tc>
        <w:tc>
          <w:tcPr>
            <w:tcW w:w="14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50.0%</w:t>
            </w:r>
          </w:p>
        </w:tc>
        <w:tc>
          <w:tcPr>
            <w:tcW w:w="98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2.0%</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48.0%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GasLog’s Right to Reset Incentive Distribution Levels</w:t>
      </w:r>
    </w:p>
    <w:p>
      <w:pPr>
        <w:spacing w:after="0" w:line="125" w:lineRule="exact"/>
        <w:rPr>
          <w:sz w:val="20"/>
          <w:szCs w:val="20"/>
          <w:color w:val="auto"/>
        </w:rPr>
      </w:pPr>
    </w:p>
    <w:p>
      <w:pPr>
        <w:ind w:right="20" w:firstLine="357"/>
        <w:spacing w:after="0" w:line="269" w:lineRule="auto"/>
        <w:rPr>
          <w:sz w:val="20"/>
          <w:szCs w:val="20"/>
          <w:color w:val="auto"/>
        </w:rPr>
      </w:pPr>
      <w:r>
        <w:rPr>
          <w:rFonts w:ascii="Arial" w:cs="Arial" w:eastAsia="Arial" w:hAnsi="Arial"/>
          <w:sz w:val="18"/>
          <w:szCs w:val="18"/>
          <w:color w:val="auto"/>
        </w:rPr>
        <w:t>GasLog, as the initial holder of our incentive distribution rights, has the right under our partnership agreement to elect to relinquish the right of the holders of our incentive distribution rights to receive incentive distribution payments based on the initial cash target distribution levels and to reset, at higher levels, the minimum quarterly distribution amount and cash target distribution levels upon which the incentive distribution payments to GasLog would be set. GasLog’s right to reset the minimum quarterly distribution amount and the cash target distribution levels upon which the incentive distributions payable to GasLog are based may be exercised, without approval of our unitholders or the conflicts committee of our board of directors, at any time when there are no subordinated units outstanding and we have made cash distributions to the holders of the incentive distribution rights at the highest level of incentive distribution for each of the prior four consecutive fiscal quarters. If at the time of any election to reset the minimum quarterly distribution amount and the cash target distribution levels GasLog and its affiliates are not the holders of a majority of the incentive distribution rights, then any such election to reset shall be subject to the prior written concurrence of our board of directors that the conditions described in the immediately preceding sentence have been satisfied. The reset minimum quarterly distribution amount and cash target distribution levels will be higher than the minimum quarterly distribution amount and the cash target distribution levels prior to the reset such that there will be no incentive distributions paid under the reset cash target distribution levels until cash distributions per unit following this event increase as described below. We anticipate that GasLog would exercise this reset right in order to facilitate acquisitions or internal growth projects that would otherwise not be sufficiently accretive to cash distributions per Common Unit, taking into account the existing levels of incentive distribution payments being made to GasLog.</w:t>
      </w:r>
    </w:p>
    <w:p>
      <w:pPr>
        <w:spacing w:after="0" w:line="72" w:lineRule="exact"/>
        <w:rPr>
          <w:sz w:val="20"/>
          <w:szCs w:val="20"/>
          <w:color w:val="auto"/>
        </w:rPr>
      </w:pPr>
    </w:p>
    <w:p>
      <w:pPr>
        <w:ind w:right="60" w:firstLine="357"/>
        <w:spacing w:after="0" w:line="294" w:lineRule="auto"/>
        <w:rPr>
          <w:sz w:val="20"/>
          <w:szCs w:val="20"/>
          <w:color w:val="auto"/>
        </w:rPr>
      </w:pPr>
      <w:r>
        <w:rPr>
          <w:rFonts w:ascii="Arial" w:cs="Arial" w:eastAsia="Arial" w:hAnsi="Arial"/>
          <w:sz w:val="17"/>
          <w:szCs w:val="17"/>
          <w:color w:val="auto"/>
        </w:rPr>
        <w:t>In connection with the resetting of the minimum quarterly distribution amount and the cash target distribution levels and the corresponding relinquishment by GasLog of incentive distribution payments based on the cash target distribution levels prior to the reset, GasLog will be entitled to receive a number of newly issued Common Units based on a predetermined formula described below that takes into account the “cash parity” value of the average cash distributions related to the incentive distribution rights received by GasLog for the two quarters prior to the reset event as compared to the average cash distributions per Common Unit during this period. We will also issue an additional amount of general partner units in order to maintain the general partner’s ownership interest in us relative to the issuance of the additional Common Units.</w:t>
      </w:r>
    </w:p>
    <w:p>
      <w:pPr>
        <w:spacing w:after="0" w:line="35"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The number of Common Units that GasLog would be entitled to receive from us in connection with a resetting of the minimum quarterly distribution amount and the cash target distribution levels then in effect would be equal to (x) the average amount of cash distributions received by GasLog in respect of its incentive distribution rights during the two consecutive fiscal quarters ended immediately prior to the date of such reset election divided by (y) the average of the amount of cash distributed per Common Unit during each of these two quarters. The issuance of the additional Common Units will be conditioned upon approval of the listing or admission for trading of such</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Common Units by the national securities exchange on which the Common Units are then listed or admitted for trading.</w:t>
      </w:r>
    </w:p>
    <w:p>
      <w:pPr>
        <w:spacing w:after="0" w:line="119" w:lineRule="exact"/>
        <w:rPr>
          <w:sz w:val="20"/>
          <w:szCs w:val="20"/>
          <w:color w:val="auto"/>
        </w:rPr>
      </w:pPr>
    </w:p>
    <w:p>
      <w:pPr>
        <w:ind w:right="240" w:firstLine="357"/>
        <w:spacing w:after="0" w:line="262" w:lineRule="auto"/>
        <w:rPr>
          <w:sz w:val="20"/>
          <w:szCs w:val="20"/>
          <w:color w:val="auto"/>
        </w:rPr>
      </w:pPr>
      <w:r>
        <w:rPr>
          <w:rFonts w:ascii="Arial" w:cs="Arial" w:eastAsia="Arial" w:hAnsi="Arial"/>
          <w:sz w:val="19"/>
          <w:szCs w:val="19"/>
          <w:color w:val="auto"/>
        </w:rPr>
        <w:t>Following a reset election, the minimum quarterly distribution amount will be reset to an amount equal to the average cash distribution amount per unit for the two fiscal quarters immediately preceding the reset election (such amount is referred to as the “reset minimum quarterly distribution”) and the cash target distribution levels will be reset to be correspondingly higher such that we would distribute all of our available cash from operating surplus for each quarter thereafter as follows:</w:t>
      </w:r>
    </w:p>
    <w:p>
      <w:pPr>
        <w:spacing w:after="0" w:line="59" w:lineRule="exact"/>
        <w:rPr>
          <w:sz w:val="20"/>
          <w:szCs w:val="20"/>
          <w:color w:val="auto"/>
        </w:rPr>
      </w:pPr>
    </w:p>
    <w:p>
      <w:pPr>
        <w:ind w:left="540" w:right="300" w:hanging="168"/>
        <w:spacing w:after="0" w:line="283"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each unitholder receives an amount equal to 115.0% of the</w:t>
      </w:r>
      <w:r>
        <w:rPr>
          <w:rFonts w:ascii="Arial" w:cs="Arial" w:eastAsia="Arial" w:hAnsi="Arial"/>
          <w:sz w:val="19"/>
          <w:szCs w:val="19"/>
          <w:i w:val="1"/>
          <w:iCs w:val="1"/>
          <w:color w:val="auto"/>
        </w:rPr>
        <w:t xml:space="preserve"> </w:t>
      </w:r>
      <w:r>
        <w:rPr>
          <w:rFonts w:ascii="Arial" w:cs="Arial" w:eastAsia="Arial" w:hAnsi="Arial"/>
          <w:sz w:val="19"/>
          <w:szCs w:val="19"/>
          <w:color w:val="auto"/>
        </w:rPr>
        <w:t>reset minimum quarterly distribution for that quarter;</w:t>
      </w:r>
    </w:p>
    <w:p>
      <w:pPr>
        <w:spacing w:after="0" w:line="24" w:lineRule="exact"/>
        <w:rPr>
          <w:rFonts w:ascii="Arial" w:cs="Arial" w:eastAsia="Arial" w:hAnsi="Arial"/>
          <w:sz w:val="19"/>
          <w:szCs w:val="19"/>
          <w:color w:val="auto"/>
        </w:rPr>
      </w:pPr>
    </w:p>
    <w:p>
      <w:pPr>
        <w:ind w:left="540" w:right="40" w:hanging="168"/>
        <w:spacing w:after="0" w:line="312"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85.0% to all unitholders, pro rata, 2.0% to our general partner and 13.0% to the holders of the incentive distribution rights, pro rata,</w:t>
      </w:r>
      <w:r>
        <w:rPr>
          <w:rFonts w:ascii="Arial" w:cs="Arial" w:eastAsia="Arial" w:hAnsi="Arial"/>
          <w:sz w:val="18"/>
          <w:szCs w:val="18"/>
          <w:i w:val="1"/>
          <w:iCs w:val="1"/>
          <w:color w:val="auto"/>
        </w:rPr>
        <w:t xml:space="preserve"> </w:t>
      </w:r>
      <w:r>
        <w:rPr>
          <w:rFonts w:ascii="Arial" w:cs="Arial" w:eastAsia="Arial" w:hAnsi="Arial"/>
          <w:sz w:val="18"/>
          <w:szCs w:val="18"/>
          <w:color w:val="auto"/>
        </w:rPr>
        <w:t>until each unitholder receives an amount per unit equal to 125.0% of the reset minimum quarterly distribution for that quarter;</w:t>
      </w:r>
    </w:p>
    <w:p>
      <w:pPr>
        <w:spacing w:after="0" w:line="15" w:lineRule="exact"/>
        <w:rPr>
          <w:rFonts w:ascii="Arial" w:cs="Arial" w:eastAsia="Arial" w:hAnsi="Arial"/>
          <w:sz w:val="18"/>
          <w:szCs w:val="18"/>
          <w:color w:val="auto"/>
        </w:rPr>
      </w:pPr>
    </w:p>
    <w:p>
      <w:pPr>
        <w:ind w:left="540" w:right="200" w:hanging="168"/>
        <w:spacing w:after="0" w:line="339" w:lineRule="auto"/>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75.0% to all unitholders, pro rata, 2.0% to our general partner and 23.0% to the holders of the incentive distribution rights,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until each unitholder receives an amount per unit equal to 150.0% of the reset minimum quarterly distribution for that quarter; and</w:t>
      </w:r>
    </w:p>
    <w:p>
      <w:pPr>
        <w:spacing w:after="0" w:line="1" w:lineRule="exact"/>
        <w:rPr>
          <w:rFonts w:ascii="Arial" w:cs="Arial" w:eastAsia="Arial" w:hAnsi="Arial"/>
          <w:sz w:val="17"/>
          <w:szCs w:val="17"/>
          <w:color w:val="auto"/>
        </w:rPr>
      </w:pPr>
    </w:p>
    <w:p>
      <w:pPr>
        <w:ind w:left="540" w:right="200" w:hanging="168"/>
        <w:spacing w:after="0" w:line="283"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2.0% to our general partner and 48.0% to the holders of the incentive distribution rights, pro</w:t>
      </w:r>
      <w:r>
        <w:rPr>
          <w:rFonts w:ascii="Arial" w:cs="Arial" w:eastAsia="Arial" w:hAnsi="Arial"/>
          <w:sz w:val="19"/>
          <w:szCs w:val="19"/>
          <w:i w:val="1"/>
          <w:iCs w:val="1"/>
          <w:color w:val="auto"/>
        </w:rPr>
        <w:t xml:space="preserve"> </w:t>
      </w:r>
      <w:r>
        <w:rPr>
          <w:rFonts w:ascii="Arial" w:cs="Arial" w:eastAsia="Arial" w:hAnsi="Arial"/>
          <w:sz w:val="19"/>
          <w:szCs w:val="19"/>
          <w:color w:val="auto"/>
        </w:rPr>
        <w:t>rata.</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From Capital Surplus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Distributions From Capital Surplus Will Be Made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make distributions of available cash from capital surplus, if any, in the following manner:</w:t>
      </w:r>
    </w:p>
    <w:p>
      <w:pPr>
        <w:spacing w:after="0" w:line="92" w:lineRule="exact"/>
        <w:rPr>
          <w:sz w:val="20"/>
          <w:szCs w:val="20"/>
          <w:color w:val="auto"/>
        </w:rPr>
      </w:pPr>
    </w:p>
    <w:p>
      <w:pPr>
        <w:ind w:left="540" w:right="440" w:hanging="168"/>
        <w:spacing w:after="0" w:line="283" w:lineRule="auto"/>
        <w:tabs>
          <w:tab w:leader="none" w:pos="540" w:val="left"/>
        </w:tabs>
        <w:numPr>
          <w:ilvl w:val="0"/>
          <w:numId w:val="80"/>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the minimum quarterly distribution is reduced to zero, as</w:t>
      </w:r>
      <w:r>
        <w:rPr>
          <w:rFonts w:ascii="Arial" w:cs="Arial" w:eastAsia="Arial" w:hAnsi="Arial"/>
          <w:sz w:val="19"/>
          <w:szCs w:val="19"/>
          <w:i w:val="1"/>
          <w:iCs w:val="1"/>
          <w:color w:val="auto"/>
        </w:rPr>
        <w:t xml:space="preserve"> </w:t>
      </w:r>
      <w:r>
        <w:rPr>
          <w:rFonts w:ascii="Arial" w:cs="Arial" w:eastAsia="Arial" w:hAnsi="Arial"/>
          <w:sz w:val="19"/>
          <w:szCs w:val="19"/>
          <w:color w:val="auto"/>
        </w:rPr>
        <w:t>described below;</w:t>
      </w:r>
    </w:p>
    <w:p>
      <w:pPr>
        <w:spacing w:after="0" w:line="38" w:lineRule="exact"/>
        <w:rPr>
          <w:rFonts w:ascii="Arial" w:cs="Arial" w:eastAsia="Arial" w:hAnsi="Arial"/>
          <w:sz w:val="19"/>
          <w:szCs w:val="19"/>
          <w:color w:val="auto"/>
        </w:rPr>
      </w:pPr>
    </w:p>
    <w:p>
      <w:pPr>
        <w:ind w:left="540" w:right="140" w:hanging="168"/>
        <w:spacing w:after="0" w:line="267" w:lineRule="auto"/>
        <w:tabs>
          <w:tab w:leader="none" w:pos="540" w:val="left"/>
        </w:tabs>
        <w:numPr>
          <w:ilvl w:val="0"/>
          <w:numId w:val="80"/>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common unitholders, pro rata, and 2.0% to our general partner, until we distribute for each Common Unit an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available cash from capital surplus equal to any unpaid arrearages in payment of the minimum quarterly distribution on the Common Units; and</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80"/>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we will make all distributions of available cash from capital surplus as if they were from operating surplus.</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preceding paragraph is based on the assumption that our general partner maintains its 2.0% general partner interest and that we do not issue additional classes of equity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Effect of a Distribution from Capital Surplus</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The partnership agreement treats a distribution of capital surplus as the repayment of the consideration for the issuance of the units, which is a return of capital. Each time a distribution of capital surplus is made, the minimum quarterly distribution and the cash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GasLog to receive incentive distributions and for the subordinated units to convert into Common Units. However, any distribution of capital surplus before the minimum quarterly distribution is reduced to zero cannot be applied to the payment of the minimum quarterly distribution or any arrearages.</w:t>
      </w:r>
    </w:p>
    <w:p>
      <w:pPr>
        <w:spacing w:after="0" w:line="77" w:lineRule="exact"/>
        <w:rPr>
          <w:sz w:val="20"/>
          <w:szCs w:val="20"/>
          <w:color w:val="auto"/>
        </w:rPr>
      </w:pPr>
    </w:p>
    <w:p>
      <w:pPr>
        <w:jc w:val="both"/>
        <w:ind w:right="200" w:firstLine="357"/>
        <w:spacing w:after="0" w:line="267" w:lineRule="auto"/>
        <w:rPr>
          <w:sz w:val="20"/>
          <w:szCs w:val="20"/>
          <w:color w:val="auto"/>
        </w:rPr>
      </w:pPr>
      <w:r>
        <w:rPr>
          <w:rFonts w:ascii="Arial" w:cs="Arial" w:eastAsia="Arial" w:hAnsi="Arial"/>
          <w:sz w:val="19"/>
          <w:szCs w:val="19"/>
          <w:color w:val="auto"/>
        </w:rPr>
        <w:t>Once we reduce the minimum quarterly distribution and the cash target distribution levels to zero, we will then make all future distributions 50.0% to the holders of units, 2.0% to our general partner and 48.0% to the holders of the incentive distribution rights (currently, GasLog). The 2.0%</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interests shown for our general partner assumes that our general partner maintains its 2.0% general partner interest.</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Adjustment to the Minimum Quarterly Distribution and Target Distribution Levels</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In addition to adjusting the minimum quarterly distribution and cash target distribution levels to reflect a distribution of capital surplus, if we combine our units into fewer units or subdivide our units into a greater number of units, we will proportionately adjust:</w:t>
      </w:r>
    </w:p>
    <w:p>
      <w:pPr>
        <w:spacing w:after="0" w:line="25" w:lineRule="exact"/>
        <w:rPr>
          <w:sz w:val="20"/>
          <w:szCs w:val="20"/>
          <w:color w:val="auto"/>
        </w:rPr>
      </w:pPr>
    </w:p>
    <w:p>
      <w:pPr>
        <w:ind w:left="540" w:hanging="168"/>
        <w:spacing w:after="0"/>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minimum quarterly distribution;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cash target distribution levels;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initial unit price.</w:t>
      </w:r>
    </w:p>
    <w:p>
      <w:pPr>
        <w:spacing w:after="0" w:line="119" w:lineRule="exact"/>
        <w:rPr>
          <w:sz w:val="20"/>
          <w:szCs w:val="20"/>
          <w:color w:val="auto"/>
        </w:rPr>
      </w:pPr>
    </w:p>
    <w:p>
      <w:pPr>
        <w:ind w:right="240" w:firstLine="357"/>
        <w:spacing w:after="0" w:line="259" w:lineRule="auto"/>
        <w:rPr>
          <w:sz w:val="20"/>
          <w:szCs w:val="20"/>
          <w:color w:val="auto"/>
        </w:rPr>
      </w:pPr>
      <w:r>
        <w:rPr>
          <w:rFonts w:ascii="Arial" w:cs="Arial" w:eastAsia="Arial" w:hAnsi="Arial"/>
          <w:sz w:val="19"/>
          <w:szCs w:val="19"/>
          <w:color w:val="auto"/>
        </w:rPr>
        <w:t>For example, if a two-for-one split of the Common Units and subordinated units should occur, the minimum quarterly distribution, the cash target distribution levels and the initial unit price would each be reduced to 50.0% of its initial level. If we combine our Common Units into a lesser number of units or subdivide our Common Units into a greater number of units, we will combine our subordinated units or subdivide our subordinated units, using the same ratio applied to the Common Units. We will not make any adjustment by reason of the issuance of additional units for cash or property.</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Cash Upon Liquidation</w:t>
      </w:r>
    </w:p>
    <w:p>
      <w:pPr>
        <w:spacing w:after="0" w:line="125"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If we dissolve in accordance with the partnership agreement, we will sell or otherwise dispose of our assets in a process called liquidation. We will apply the proceeds of liquidation in the manner set forth below.</w:t>
      </w:r>
    </w:p>
    <w:p>
      <w:pPr>
        <w:spacing w:after="0" w:line="52"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38" w:lineRule="exact"/>
        <w:rPr>
          <w:sz w:val="20"/>
          <w:szCs w:val="20"/>
          <w:color w:val="auto"/>
        </w:rPr>
      </w:pPr>
    </w:p>
    <w:p>
      <w:pPr>
        <w:ind w:left="540" w:right="440" w:hanging="168"/>
        <w:spacing w:after="0" w:line="283" w:lineRule="auto"/>
        <w:tabs>
          <w:tab w:leader="none" w:pos="5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any arrearages in payment of the minimum quarterly distribution on the Common Units for any prior quarters during the subordination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880" w:hanging="168"/>
        <w:spacing w:after="0" w:line="283" w:lineRule="auto"/>
        <w:tabs>
          <w:tab w:leader="none" w:pos="5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initial unit price (less any prior capital surplus distributions and any prior cash distributions made in connection with a partial liquidation);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then the proceeds of the liquidation will be applied as follows:</w:t>
      </w:r>
    </w:p>
    <w:p>
      <w:pPr>
        <w:spacing w:after="0" w:line="106" w:lineRule="exact"/>
        <w:rPr>
          <w:sz w:val="20"/>
          <w:szCs w:val="20"/>
          <w:color w:val="auto"/>
        </w:rPr>
      </w:pPr>
    </w:p>
    <w:p>
      <w:pPr>
        <w:ind w:left="540" w:right="60" w:hanging="168"/>
        <w:spacing w:after="0" w:line="283" w:lineRule="auto"/>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Common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current market price of our common units;</w:t>
      </w:r>
    </w:p>
    <w:p>
      <w:pPr>
        <w:spacing w:after="0" w:line="24"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subordinated unitholders, pro rata, and 2.0% to our general partner, until we distribute for each subordinated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current market price of our common units;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48.0% to holders of incentive distribution rights and 2.0% to our general partner.</w:t>
      </w:r>
    </w:p>
    <w:p>
      <w:pPr>
        <w:spacing w:after="0" w:line="119"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If, as of the date three trading days prior to the announcement of the proposed liquidation, the current market price of our Common Units is equal to or less than the sum of:</w:t>
      </w:r>
    </w:p>
    <w:p>
      <w:pPr>
        <w:spacing w:after="0" w:line="38" w:lineRule="exact"/>
        <w:rPr>
          <w:sz w:val="20"/>
          <w:szCs w:val="20"/>
          <w:color w:val="auto"/>
        </w:rPr>
      </w:pPr>
    </w:p>
    <w:p>
      <w:pPr>
        <w:ind w:left="540" w:right="440" w:hanging="168"/>
        <w:spacing w:after="0" w:line="283" w:lineRule="auto"/>
        <w:tabs>
          <w:tab w:leader="none" w:pos="5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any arrearages in payment of the minimum quarterly distribution on the Common Units for any prior quarters during the subordination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880" w:hanging="168"/>
        <w:spacing w:after="0" w:line="283" w:lineRule="auto"/>
        <w:tabs>
          <w:tab w:leader="none" w:pos="5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initial unit price (less any prior capital surplus distributions and any prior cash distributions made in connection with a partial liquidation);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then the proceeds of the liquidation will be applied as follows:</w:t>
      </w:r>
    </w:p>
    <w:p>
      <w:pPr>
        <w:spacing w:after="0" w:line="106" w:lineRule="exact"/>
        <w:rPr>
          <w:sz w:val="20"/>
          <w:szCs w:val="20"/>
          <w:color w:val="auto"/>
        </w:rPr>
      </w:pPr>
    </w:p>
    <w:p>
      <w:pPr>
        <w:ind w:left="540" w:right="60" w:hanging="168"/>
        <w:spacing w:after="0" w:line="283" w:lineRule="auto"/>
        <w:tabs>
          <w:tab w:leader="none" w:pos="540" w:val="left"/>
        </w:tabs>
        <w:numPr>
          <w:ilvl w:val="0"/>
          <w:numId w:val="85"/>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Common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initial unit price (less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91" w:name="page92"/>
    <w:bookmarkEnd w:id="91"/>
    <w:p>
      <w:pPr>
        <w:ind w:left="540"/>
        <w:spacing w:after="0"/>
        <w:rPr>
          <w:sz w:val="20"/>
          <w:szCs w:val="20"/>
          <w:color w:val="auto"/>
        </w:rPr>
      </w:pPr>
      <w:r>
        <w:rPr>
          <w:rFonts w:ascii="Arial" w:cs="Arial" w:eastAsia="Arial" w:hAnsi="Arial"/>
          <w:sz w:val="19"/>
          <w:szCs w:val="19"/>
          <w:color w:val="auto"/>
        </w:rPr>
        <w:t>any prior capital surplus distributions and any prior cash distributions made in connection with a partial liquidation);</w:t>
      </w:r>
    </w:p>
    <w:p>
      <w:pPr>
        <w:spacing w:after="0" w:line="106" w:lineRule="exact"/>
        <w:rPr>
          <w:sz w:val="20"/>
          <w:szCs w:val="20"/>
          <w:color w:val="auto"/>
        </w:rPr>
      </w:pPr>
    </w:p>
    <w:p>
      <w:pPr>
        <w:jc w:val="both"/>
        <w:ind w:left="540" w:hanging="168"/>
        <w:spacing w:after="0" w:line="267" w:lineRule="auto"/>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common unitholders, pro rata, and 2.0% to our general partner, until we distribute for each outstanding Common Unit</w:t>
      </w:r>
      <w:r>
        <w:rPr>
          <w:rFonts w:ascii="Arial" w:cs="Arial" w:eastAsia="Arial" w:hAnsi="Arial"/>
          <w:sz w:val="19"/>
          <w:szCs w:val="19"/>
          <w:i w:val="1"/>
          <w:iCs w:val="1"/>
          <w:color w:val="auto"/>
        </w:rPr>
        <w:t xml:space="preserve"> </w:t>
      </w:r>
      <w:r>
        <w:rPr>
          <w:rFonts w:ascii="Arial" w:cs="Arial" w:eastAsia="Arial" w:hAnsi="Arial"/>
          <w:sz w:val="19"/>
          <w:szCs w:val="19"/>
          <w:color w:val="auto"/>
        </w:rPr>
        <w:t>an amount equal to any arrearages in payment of the minimum quarterly distribution on the Common Units for any prior quarters during the subordination period;</w:t>
      </w:r>
    </w:p>
    <w:p>
      <w:pPr>
        <w:spacing w:after="0" w:line="54" w:lineRule="exact"/>
        <w:rPr>
          <w:rFonts w:ascii="Arial" w:cs="Arial" w:eastAsia="Arial" w:hAnsi="Arial"/>
          <w:sz w:val="19"/>
          <w:szCs w:val="19"/>
          <w:color w:val="auto"/>
        </w:rPr>
      </w:pPr>
    </w:p>
    <w:p>
      <w:pPr>
        <w:jc w:val="both"/>
        <w:ind w:left="540" w:right="20" w:hanging="168"/>
        <w:spacing w:after="0" w:line="267" w:lineRule="auto"/>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i w:val="1"/>
          <w:iCs w:val="1"/>
          <w:color w:val="auto"/>
        </w:rPr>
        <w:t>third</w:t>
      </w:r>
      <w:r>
        <w:rPr>
          <w:rFonts w:ascii="Arial" w:cs="Arial" w:eastAsia="Arial" w:hAnsi="Arial"/>
          <w:sz w:val="19"/>
          <w:szCs w:val="19"/>
          <w:color w:val="auto"/>
        </w:rPr>
        <w:t>, 98.0% to the subordinated unitholders, pro rata, and 2.0% to our general partner, until we distribute for each outstanding subordinated</w:t>
      </w:r>
      <w:r>
        <w:rPr>
          <w:rFonts w:ascii="Arial" w:cs="Arial" w:eastAsia="Arial" w:hAnsi="Arial"/>
          <w:sz w:val="19"/>
          <w:szCs w:val="19"/>
          <w:i w:val="1"/>
          <w:iCs w:val="1"/>
          <w:color w:val="auto"/>
        </w:rPr>
        <w:t xml:space="preserve"> </w:t>
      </w:r>
      <w:r>
        <w:rPr>
          <w:rFonts w:ascii="Arial" w:cs="Arial" w:eastAsia="Arial" w:hAnsi="Arial"/>
          <w:sz w:val="19"/>
          <w:szCs w:val="19"/>
          <w:color w:val="auto"/>
        </w:rPr>
        <w:t>unit an amount equal to the initial unit price (less any prior capital surplus distributions and any prior cash distributions made in connection with a partial liquidation); and</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48.0% to holders of incentive distribution rights and 2.0% to our general partner.</w:t>
      </w:r>
    </w:p>
    <w:p>
      <w:pPr>
        <w:spacing w:after="0" w:line="11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immediately preceding paragraph is based on the assumption that our general partner maintains its 2.0% general partner interest and that we do not issue additional classes of equity securities.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the material U.S. federal income tax considerations that may be relevant to prospective investors in Common Units. The applicable prospectus supplement may also contain information about any material U.S. federal income tax considerations relating to the securities covered by such prospectus supplement.</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NON-UNITED STATES TAX CONSIDERATIONS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Marshall Islands tax consequences that may be relevant to prospective investors in Common Units. The applicable prospectus supplement may also contain information about any non-U.S. tax considerations relating to the securities covered by such prospectus supplement.</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PLAN OF DISTRIBUTION</w:t>
      </w:r>
    </w:p>
    <w:p>
      <w:pPr>
        <w:spacing w:after="0" w:line="125" w:lineRule="exact"/>
        <w:rPr>
          <w:sz w:val="20"/>
          <w:szCs w:val="20"/>
          <w:color w:val="auto"/>
        </w:rPr>
      </w:pPr>
    </w:p>
    <w:p>
      <w:pPr>
        <w:ind w:right="220" w:firstLine="357"/>
        <w:spacing w:after="0" w:line="28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4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54" w:lineRule="exact"/>
        <w:rPr>
          <w:sz w:val="20"/>
          <w:szCs w:val="20"/>
          <w:color w:val="auto"/>
        </w:rPr>
      </w:pPr>
    </w:p>
    <w:p>
      <w:pPr>
        <w:ind w:left="540" w:right="180" w:hanging="168"/>
        <w:spacing w:after="0" w:line="283" w:lineRule="auto"/>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on the NYSE or any other national securities exchange or U.S. inter-dealer system of a registered national securities association on which our Common Units may be listed or quoted at the time of sale;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the over-the-counter market;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privately negotiated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an exchange distribution in accordance with the rules of the applicable exchange;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as settlement of short sales entered into after the date of the prospectus;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through the writing or settlement of options or other hedging transactions, whether through an options exchange or otherwise;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through broker-dealers, who may act as agents or principals;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through sales “at the market” to or through a market-maker;</w:t>
      </w:r>
    </w:p>
    <w:p>
      <w:pPr>
        <w:spacing w:after="0" w:line="105"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a block trade, in which a broker-dealer will attempt to sell a block as agent but may position and resell a portion of the block as principal to facilitate the transaction;</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through one or more underwriters on a firm commitment or best-efforts basis;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directly to one or more purchasers;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through agents;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options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over the Internet;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other method permitted pursuant to applicable law;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any combination of the above.</w:t>
      </w:r>
    </w:p>
    <w:p>
      <w:pPr>
        <w:spacing w:after="0" w:line="119"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In effecting sales, brokers or dealers engaged by us may arrange for other brokers or dealers to participate. Broker-dealer transactions may include:</w:t>
      </w:r>
    </w:p>
    <w:p>
      <w:pPr>
        <w:spacing w:after="0" w:line="38" w:lineRule="exact"/>
        <w:rPr>
          <w:sz w:val="20"/>
          <w:szCs w:val="20"/>
          <w:color w:val="auto"/>
        </w:rPr>
      </w:pPr>
    </w:p>
    <w:p>
      <w:pPr>
        <w:ind w:left="540" w:right="200" w:hanging="168"/>
        <w:spacing w:after="0" w:line="283" w:lineRule="auto"/>
        <w:tabs>
          <w:tab w:leader="none" w:pos="5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purchases of the securities by a broker-dealer as principal and resales of the securities by the broker-dealer for its account pursuant to this prospectus;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ordinary brokerage transactions;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transactions in which the broker-dealer solicits purchasers.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93" w:name="page94"/>
    <w:bookmarkEnd w:id="93"/>
    <w:p>
      <w:pPr>
        <w:ind w:right="200" w:firstLine="357"/>
        <w:spacing w:after="0" w:line="283" w:lineRule="auto"/>
        <w:rPr>
          <w:sz w:val="20"/>
          <w:szCs w:val="20"/>
          <w:color w:val="auto"/>
        </w:rPr>
      </w:pPr>
      <w:r>
        <w:rPr>
          <w:rFonts w:ascii="Arial" w:cs="Arial" w:eastAsia="Arial" w:hAnsi="Arial"/>
          <w:sz w:val="19"/>
          <w:szCs w:val="19"/>
          <w:color w:val="auto"/>
        </w:rPr>
        <w:t>In addition, we may sell any securities covered by this prospectus in private transactions or under Rule 144 of the Securities Act of 1933, as amended, rather than pursuant to this prospectus.</w:t>
      </w:r>
    </w:p>
    <w:p>
      <w:pPr>
        <w:spacing w:after="0" w:line="52"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58"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77" w:lineRule="exact"/>
        <w:rPr>
          <w:sz w:val="20"/>
          <w:szCs w:val="20"/>
          <w:color w:val="auto"/>
        </w:rPr>
      </w:pPr>
    </w:p>
    <w:p>
      <w:pPr>
        <w:ind w:right="100" w:firstLine="357"/>
        <w:spacing w:after="0" w:line="270" w:lineRule="auto"/>
        <w:rPr>
          <w:sz w:val="20"/>
          <w:szCs w:val="20"/>
          <w:color w:val="auto"/>
        </w:rPr>
      </w:pPr>
      <w:r>
        <w:rPr>
          <w:rFonts w:ascii="Arial" w:cs="Arial" w:eastAsia="Arial" w:hAnsi="Arial"/>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any discounts, commissions or concessions allowed or reallowed or paid to dealers and the number of securities being offered by them.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72"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94" w:name="page95"/>
    <w:bookmarkEnd w:id="94"/>
    <w:p>
      <w:pPr>
        <w:ind w:right="40" w:firstLine="357"/>
        <w:spacing w:after="0" w:line="258" w:lineRule="auto"/>
        <w:rPr>
          <w:sz w:val="20"/>
          <w:szCs w:val="20"/>
          <w:color w:val="auto"/>
        </w:rPr>
      </w:pPr>
      <w:r>
        <w:rPr>
          <w:rFonts w:ascii="Arial" w:cs="Arial" w:eastAsia="Arial" w:hAnsi="Arial"/>
          <w:sz w:val="19"/>
          <w:szCs w:val="19"/>
          <w:color w:val="auto"/>
        </w:rPr>
        <w:t>Pursuant to a requirement by the Financial Industry Regulatory Authority, or “FINRA”, the maximum commission or discount to be received by any FINRA member or independent broker-dealer may not be greater than 8.0% of the gross proceeds received by us for the sale of any securities being registered pursuant to SEC Rule 415 under the Securities Act of 1933, as amended.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NASD Conduct Rule 2720.</w:t>
      </w:r>
    </w:p>
    <w:p>
      <w:pPr>
        <w:spacing w:after="0" w:line="76" w:lineRule="exact"/>
        <w:rPr>
          <w:sz w:val="20"/>
          <w:szCs w:val="20"/>
          <w:color w:val="auto"/>
        </w:rPr>
      </w:pPr>
    </w:p>
    <w:p>
      <w:pPr>
        <w:ind w:right="280" w:firstLine="357"/>
        <w:spacing w:after="0" w:line="259" w:lineRule="auto"/>
        <w:rPr>
          <w:sz w:val="20"/>
          <w:szCs w:val="20"/>
          <w:color w:val="auto"/>
        </w:rPr>
      </w:pPr>
      <w:r>
        <w:rPr>
          <w:rFonts w:ascii="Arial" w:cs="Arial" w:eastAsia="Arial" w:hAnsi="Arial"/>
          <w:sz w:val="19"/>
          <w:szCs w:val="19"/>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EXPENSES</w:t>
      </w:r>
    </w:p>
    <w:p>
      <w:pPr>
        <w:spacing w:after="0" w:line="112" w:lineRule="exact"/>
        <w:rPr>
          <w:sz w:val="20"/>
          <w:szCs w:val="20"/>
          <w:color w:val="auto"/>
        </w:rPr>
      </w:pPr>
    </w:p>
    <w:p>
      <w:pPr>
        <w:ind w:right="300" w:firstLine="357"/>
        <w:spacing w:after="0" w:line="274" w:lineRule="auto"/>
        <w:rPr>
          <w:sz w:val="20"/>
          <w:szCs w:val="20"/>
          <w:color w:val="auto"/>
        </w:rPr>
      </w:pPr>
      <w:r>
        <w:rPr>
          <w:rFonts w:ascii="Arial" w:cs="Arial" w:eastAsia="Arial" w:hAnsi="Arial"/>
          <w:sz w:val="19"/>
          <w:szCs w:val="19"/>
          <w:color w:val="auto"/>
        </w:rPr>
        <w:t>The following are the expenses estimated to be incurred by us in connection with a possible offering of the securities registered under this registration statement.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SEC Registration Fee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69,720</w:t>
            </w:r>
          </w:p>
        </w:tc>
      </w:tr>
      <w:tr>
        <w:trPr>
          <w:trHeight w:val="243"/>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Printing</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Legal Fees and Expenses.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Accountants’ Fees and Expenses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NYSE Fees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FINRA Fee</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w w:val="96"/>
              </w:rPr>
              <w:t>90,500</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Miscellaneous Costs</w:t>
            </w: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50"/>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56"/>
        </w:trPr>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bl>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To be provided by a prospectus supplement or as an exhibit to a Report on Form 6-K that is incorporated by reference into this prospectus.</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LEGAL MATTERS</w:t>
      </w:r>
    </w:p>
    <w:p>
      <w:pPr>
        <w:spacing w:after="0" w:line="125" w:lineRule="exact"/>
        <w:rPr>
          <w:sz w:val="20"/>
          <w:szCs w:val="20"/>
          <w:color w:val="auto"/>
        </w:rPr>
      </w:pPr>
    </w:p>
    <w:p>
      <w:pPr>
        <w:ind w:right="60" w:firstLine="357"/>
        <w:spacing w:after="0" w:line="289" w:lineRule="auto"/>
        <w:rPr>
          <w:sz w:val="20"/>
          <w:szCs w:val="20"/>
          <w:color w:val="auto"/>
        </w:rPr>
      </w:pPr>
      <w:r>
        <w:rPr>
          <w:rFonts w:ascii="Arial" w:cs="Arial" w:eastAsia="Arial" w:hAnsi="Arial"/>
          <w:sz w:val="18"/>
          <w:szCs w:val="18"/>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EXPERTS</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combined and consolidated financial statements as of December 31, 2013 and for the two years in the period then ended, incorporated in this Prospectus by reference from the Company’s Annual Report on Form 20-F, have been audited by Deloitte Hadjipavlou, Sofianos &amp; Cambanis S.A, an independent registered public accounting firm, as stated in their report, which is incorporated herein by reference. Such combined and consolidated financial statements have been so incorporated in reliance upon the report of such firm given upon their authority as experts in accounting and auditing.</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95" w:name="page96"/>
    <w:bookmarkEnd w:id="95"/>
    <w:p>
      <w:pPr>
        <w:ind w:right="140" w:firstLine="357"/>
        <w:spacing w:after="0" w:line="283" w:lineRule="auto"/>
        <w:rPr>
          <w:sz w:val="20"/>
          <w:szCs w:val="20"/>
          <w:color w:val="auto"/>
        </w:rPr>
      </w:pPr>
      <w:r>
        <w:rPr>
          <w:rFonts w:ascii="Arial" w:cs="Arial" w:eastAsia="Arial" w:hAnsi="Arial"/>
          <w:sz w:val="19"/>
          <w:szCs w:val="19"/>
          <w:color w:val="auto"/>
        </w:rPr>
        <w:t>The offices of Deloitte Hadjipavlou, Sofianos &amp; Cambanis S.A are located at Fragoklissias 3a &amp; Granikou Street, Maroussi, Athens 151 25, Greece.</w:t>
      </w:r>
    </w:p>
    <w:p>
      <w:pPr>
        <w:spacing w:after="0" w:line="52"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The combined and consolidated financial statements as of and for the year ended December 31, 2014 incorporated in this Prospectus by reference from the Company’s Annual Report on Form 20-F have been audited by Deloitte LLP, an independent registered public accounting firm, as stated in their report, which is incorporated herein by reference. Such combined and consolidated financial statements have been so incorporated in reliance upon the report of such firm given upon their authority as experts in accounting and auditing.</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96" w:name="page97"/>
    <w:bookmarkEnd w:id="96"/>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55"/>
          <w:szCs w:val="55"/>
          <w:b w:val="1"/>
          <w:bCs w:val="1"/>
          <w:color w:val="auto"/>
        </w:rPr>
        <w:t>GasLog Partners LP</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916305</wp:posOffset>
            </wp:positionV>
            <wp:extent cx="1440815" cy="660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408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PRELIMINARY PROSPECTUS SUPPLEMENT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May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107950</wp:posOffset>
            </wp:positionV>
            <wp:extent cx="8661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6" w:lineRule="exact"/>
        <w:rPr>
          <w:sz w:val="20"/>
          <w:szCs w:val="20"/>
          <w:color w:val="auto"/>
        </w:rPr>
      </w:pPr>
    </w:p>
    <w:p>
      <w:pPr>
        <w:spacing w:after="0"/>
        <w:tabs>
          <w:tab w:leader="none" w:pos="2640" w:val="left"/>
          <w:tab w:leader="none" w:pos="5900" w:val="left"/>
          <w:tab w:leader="none" w:pos="9580" w:val="left"/>
        </w:tabs>
        <w:rPr>
          <w:sz w:val="20"/>
          <w:szCs w:val="20"/>
          <w:color w:val="auto"/>
        </w:rPr>
      </w:pPr>
      <w:r>
        <w:rPr>
          <w:rFonts w:ascii="Arial" w:cs="Arial" w:eastAsia="Arial" w:hAnsi="Arial"/>
          <w:sz w:val="27"/>
          <w:szCs w:val="27"/>
          <w:b w:val="1"/>
          <w:bCs w:val="1"/>
          <w:color w:val="auto"/>
        </w:rPr>
        <w:t>Citigroup</w:t>
      </w:r>
      <w:r>
        <w:rPr>
          <w:sz w:val="20"/>
          <w:szCs w:val="20"/>
          <w:color w:val="auto"/>
        </w:rPr>
        <w:tab/>
      </w:r>
      <w:r>
        <w:rPr>
          <w:rFonts w:ascii="Arial" w:cs="Arial" w:eastAsia="Arial" w:hAnsi="Arial"/>
          <w:sz w:val="27"/>
          <w:szCs w:val="27"/>
          <w:b w:val="1"/>
          <w:bCs w:val="1"/>
          <w:color w:val="auto"/>
        </w:rPr>
        <w:t>BofA Merrill Lynch</w:t>
      </w:r>
      <w:r>
        <w:rPr>
          <w:sz w:val="20"/>
          <w:szCs w:val="20"/>
          <w:color w:val="auto"/>
        </w:rPr>
        <w:tab/>
      </w:r>
      <w:r>
        <w:rPr>
          <w:rFonts w:ascii="Arial" w:cs="Arial" w:eastAsia="Arial" w:hAnsi="Arial"/>
          <w:sz w:val="27"/>
          <w:szCs w:val="27"/>
          <w:b w:val="1"/>
          <w:bCs w:val="1"/>
          <w:color w:val="auto"/>
        </w:rPr>
        <w:t>Credit Suisse</w:t>
      </w:r>
      <w:r>
        <w:rPr>
          <w:sz w:val="20"/>
          <w:szCs w:val="20"/>
          <w:color w:val="auto"/>
        </w:rPr>
        <w:tab/>
      </w:r>
      <w:r>
        <w:rPr>
          <w:rFonts w:ascii="Arial" w:cs="Arial" w:eastAsia="Arial" w:hAnsi="Arial"/>
          <w:sz w:val="24"/>
          <w:szCs w:val="24"/>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1)"/>
      <w:numFmt w:val="decimal"/>
      <w:start w:val="1"/>
    </w:lvl>
  </w:abstractNum>
  <w:abstractNum w:abstractNumId="2">
    <w:nsid w:val="7A6D8D3C"/>
    <w:multiLevelType w:val="hybridMultilevel"/>
    <w:lvl w:ilvl="0">
      <w:lvlJc w:val="left"/>
      <w:lvlText w:val="(%1)"/>
      <w:numFmt w:val="decimal"/>
      <w:start w:val="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1"/>
      <w:numFmt w:val="decimal"/>
      <w:start w:val="1"/>
    </w:lvl>
    <w:lvl w:ilvl="1">
      <w:lvlJc w:val="left"/>
      <w:lvlText w:val="**"/>
      <w:numFmt w:val="bullet"/>
      <w:start w:val="1"/>
    </w:lvl>
  </w:abstractNum>
  <w:abstractNum w:abstractNumId="7">
    <w:nsid w:val="7644A45C"/>
    <w:multiLevelType w:val="hybridMultilevel"/>
    <w:lvl w:ilvl="0">
      <w:lvlJc w:val="left"/>
      <w:lvlText w:val="(%1)"/>
      <w:numFmt w:val="decimal"/>
      <w:start w:val="5"/>
    </w:lvl>
    <w:lvl w:ilvl="1">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1."/>
      <w:numFmt w:val="decimal"/>
      <w:start w:val="3"/>
    </w:lvl>
  </w:abstractNum>
  <w:abstractNum w:abstractNumId="11">
    <w:nsid w:val="749ABB43"/>
    <w:multiLevelType w:val="hybridMultilevel"/>
    <w:lvl w:ilvl="0">
      <w:lvlJc w:val="left"/>
      <w:lvlText w:val="•"/>
      <w:numFmt w:val="bullet"/>
      <w:start w:val="1"/>
    </w:lvl>
    <w:lvl w:ilvl="1">
      <w:lvlJc w:val="left"/>
      <w:lvlText w:val="•"/>
      <w:numFmt w:val="bullet"/>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3"/>
    </w:lvl>
    <w:lvl w:ilvl="1">
      <w:lvlJc w:val="left"/>
      <w:lvlText w:val="•"/>
      <w:numFmt w:val="bullet"/>
      <w:start w:val="1"/>
    </w:lvl>
  </w:abstractNum>
  <w:abstractNum w:abstractNumId="21">
    <w:nsid w:val="23F9C13C"/>
    <w:multiLevelType w:val="hybridMultilevel"/>
    <w:lvl w:ilvl="0">
      <w:lvlJc w:val="left"/>
      <w:lvlText w:val="(%1)"/>
      <w:numFmt w:val="decimal"/>
      <w:start w:val="6"/>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decimal"/>
      <w:start w:val="5"/>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2"/>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lowerRoman"/>
      <w:start w:val="1"/>
    </w:lvl>
  </w:abstractNum>
  <w:abstractNum w:abstractNumId="34">
    <w:nsid w:val="3F6AB60F"/>
    <w:multiLevelType w:val="hybridMultilevel"/>
    <w:lvl w:ilvl="0">
      <w:lvlJc w:val="left"/>
      <w:lvlText w:val="(%1)"/>
      <w:numFmt w:val="lowerRoman"/>
      <w:start w:val="1"/>
    </w:lvl>
  </w:abstractNum>
  <w:abstractNum w:abstractNumId="35">
    <w:nsid w:val="61574095"/>
    <w:multiLevelType w:val="hybridMultilevel"/>
    <w:lvl w:ilvl="0">
      <w:lvlJc w:val="left"/>
      <w:lvlText w:val="(%1)"/>
      <w:numFmt w:val="lowerRoman"/>
      <w:start w:val="1"/>
    </w:lvl>
    <w:lvl w:ilvl="1">
      <w:lvlJc w:val="left"/>
      <w:lvlText w:val="(%2)"/>
      <w:numFmt w:val="lowerRoman"/>
      <w:start w:val="2"/>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1)"/>
      <w:numFmt w:val="decimal"/>
      <w:start w:val="1"/>
    </w:lvl>
    <w:lvl w:ilvl="1">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1)"/>
      <w:numFmt w:val="decimal"/>
      <w:start w:val="1"/>
    </w:lvl>
    <w:lvl w:ilvl="1">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lvl w:ilvl="1">
      <w:lvlJc w:val="left"/>
      <w:lvlText w:val="•"/>
      <w:numFmt w:val="bullet"/>
      <w:start w:val="1"/>
    </w:lvl>
  </w:abstractNum>
  <w:abstractNum w:abstractNumId="64">
    <w:nsid w:val="BF72B14"/>
    <w:multiLevelType w:val="hybridMultilevel"/>
    <w:lvl w:ilvl="0">
      <w:lvlJc w:val="left"/>
      <w:lvlText w:val="•"/>
      <w:numFmt w:val="bullet"/>
      <w:start w:val="1"/>
    </w:lvl>
    <w:lvl w:ilvl="1">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2019-12-07T23:06:39Z</dcterms:created>
  <dcterms:modified xsi:type="dcterms:W3CDTF">2019-12-07T23:06:39Z</dcterms:modified>
</cp:coreProperties>
</file>