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980" w:val="left"/>
          <w:tab w:leader="none" w:pos="22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jc w:val="both"/>
        <w:ind w:right="20"/>
        <w:spacing w:after="0" w:line="277" w:lineRule="auto"/>
        <w:rPr>
          <w:sz w:val="20"/>
          <w:szCs w:val="20"/>
          <w:color w:val="auto"/>
        </w:rPr>
      </w:pPr>
      <w:r>
        <w:rPr>
          <w:rFonts w:ascii="Arial" w:cs="Arial" w:eastAsia="Arial" w:hAnsi="Arial"/>
          <w:sz w:val="18"/>
          <w:szCs w:val="18"/>
          <w:color w:val="auto"/>
        </w:rPr>
        <w:t>The press release issued by GasLog Partners LP. on May 14, 2021 confirming the Series A, B and C Preference Units payable on June 15, 2021 is attached hereto as Exhibit 99.1.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333-249399), filed with the Securities and Exchange Commission (the “SEC”) on October 9, 2020,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May 14,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6"/>
          <w:szCs w:val="16"/>
          <w:color w:val="auto"/>
        </w:rPr>
        <w:t>GASLOG PARTNERS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Paul A. Wogan</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 Declares Distributions on Series A, B and C Preference Units</w:t>
      </w:r>
    </w:p>
    <w:p>
      <w:pPr>
        <w:spacing w:after="0" w:line="22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 xml:space="preserve">Piraeus, Greece, May 14, 2021 </w:t>
      </w:r>
      <w:r>
        <w:rPr>
          <w:rFonts w:ascii="Arial" w:cs="Arial" w:eastAsia="Arial" w:hAnsi="Arial"/>
          <w:sz w:val="18"/>
          <w:szCs w:val="18"/>
          <w:color w:val="auto"/>
        </w:rPr>
        <w:t>— GasLog Partners LP (“GasLog Partners” or the “Partnership”) (NYSE: GLOP) today announced the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on its preference units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20" w:type="dxa"/>
            <w:vAlign w:val="bottom"/>
            <w:tcBorders>
              <w:right w:val="single" w:sz="8" w:color="auto"/>
            </w:tcBorders>
          </w:tcPr>
          <w:p>
            <w:pPr>
              <w:spacing w:after="0"/>
              <w:rPr>
                <w:sz w:val="21"/>
                <w:szCs w:val="21"/>
                <w:color w:val="auto"/>
              </w:rPr>
            </w:pPr>
          </w:p>
        </w:tc>
        <w:tc>
          <w:tcPr>
            <w:tcW w:w="4800" w:type="dxa"/>
            <w:vAlign w:val="bottom"/>
            <w:tcBorders>
              <w:top w:val="single" w:sz="8" w:color="auto"/>
              <w:bottom w:val="single" w:sz="8" w:color="auto"/>
              <w:right w:val="single" w:sz="8" w:color="auto"/>
            </w:tcBorders>
          </w:tcPr>
          <w:p>
            <w:pPr>
              <w:spacing w:after="0"/>
              <w:rPr>
                <w:sz w:val="21"/>
                <w:szCs w:val="21"/>
                <w:color w:val="auto"/>
              </w:rPr>
            </w:pPr>
          </w:p>
        </w:tc>
        <w:tc>
          <w:tcPr>
            <w:tcW w:w="172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Distribution</w:t>
            </w:r>
          </w:p>
        </w:tc>
        <w:tc>
          <w:tcPr>
            <w:tcW w:w="200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Record Date</w:t>
            </w:r>
          </w:p>
        </w:tc>
        <w:tc>
          <w:tcPr>
            <w:tcW w:w="212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Payment Date</w:t>
            </w:r>
          </w:p>
        </w:tc>
      </w:tr>
      <w:tr>
        <w:trPr>
          <w:trHeight w:val="240"/>
        </w:trPr>
        <w:tc>
          <w:tcPr>
            <w:tcW w:w="3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8.625% Series A Cumulative Redeemable Perpetual Fixed to</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$0.5390625 per</w:t>
            </w:r>
          </w:p>
        </w:tc>
        <w:tc>
          <w:tcPr>
            <w:tcW w:w="2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June 8, 2021</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June 15, 2021</w:t>
            </w:r>
          </w:p>
        </w:tc>
      </w:tr>
      <w:tr>
        <w:trPr>
          <w:trHeight w:val="230"/>
        </w:trPr>
        <w:tc>
          <w:tcPr>
            <w:tcW w:w="3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Floating Rate Preference Units</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w:t>
            </w:r>
          </w:p>
        </w:tc>
        <w:tc>
          <w:tcPr>
            <w:tcW w:w="20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r>
      <w:tr>
        <w:trPr>
          <w:trHeight w:val="40"/>
        </w:trPr>
        <w:tc>
          <w:tcPr>
            <w:tcW w:w="320" w:type="dxa"/>
            <w:vAlign w:val="bottom"/>
            <w:tcBorders>
              <w:right w:val="single" w:sz="8" w:color="auto"/>
            </w:tcBorders>
          </w:tcPr>
          <w:p>
            <w:pPr>
              <w:spacing w:after="0"/>
              <w:rPr>
                <w:sz w:val="3"/>
                <w:szCs w:val="3"/>
                <w:color w:val="auto"/>
              </w:rPr>
            </w:pPr>
          </w:p>
        </w:tc>
        <w:tc>
          <w:tcPr>
            <w:tcW w:w="480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r>
      <w:tr>
        <w:trPr>
          <w:trHeight w:val="236"/>
        </w:trPr>
        <w:tc>
          <w:tcPr>
            <w:tcW w:w="3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8.200% Series B Cumulative Redeemable Perpetual Fixed to</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$0.5125 per</w:t>
            </w:r>
          </w:p>
        </w:tc>
        <w:tc>
          <w:tcPr>
            <w:tcW w:w="2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June 8, 2021</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June 15, 2021</w:t>
            </w:r>
          </w:p>
        </w:tc>
      </w:tr>
      <w:tr>
        <w:trPr>
          <w:trHeight w:val="230"/>
        </w:trPr>
        <w:tc>
          <w:tcPr>
            <w:tcW w:w="3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Floating Rate Preference Units</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w:t>
            </w:r>
          </w:p>
        </w:tc>
        <w:tc>
          <w:tcPr>
            <w:tcW w:w="20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r>
      <w:tr>
        <w:trPr>
          <w:trHeight w:val="40"/>
        </w:trPr>
        <w:tc>
          <w:tcPr>
            <w:tcW w:w="320" w:type="dxa"/>
            <w:vAlign w:val="bottom"/>
            <w:tcBorders>
              <w:right w:val="single" w:sz="8" w:color="auto"/>
            </w:tcBorders>
          </w:tcPr>
          <w:p>
            <w:pPr>
              <w:spacing w:after="0"/>
              <w:rPr>
                <w:sz w:val="3"/>
                <w:szCs w:val="3"/>
                <w:color w:val="auto"/>
              </w:rPr>
            </w:pPr>
          </w:p>
        </w:tc>
        <w:tc>
          <w:tcPr>
            <w:tcW w:w="480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r>
      <w:tr>
        <w:trPr>
          <w:trHeight w:val="236"/>
        </w:trPr>
        <w:tc>
          <w:tcPr>
            <w:tcW w:w="3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8.500% Series C Cumulative Redeemable Perpetual Fixed to</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$0.53125 per</w:t>
            </w:r>
          </w:p>
        </w:tc>
        <w:tc>
          <w:tcPr>
            <w:tcW w:w="2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June 8, 2021</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June 15, 2021</w:t>
            </w:r>
          </w:p>
        </w:tc>
      </w:tr>
      <w:tr>
        <w:trPr>
          <w:trHeight w:val="230"/>
        </w:trPr>
        <w:tc>
          <w:tcPr>
            <w:tcW w:w="3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Floating Rate Preference Units</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w:t>
            </w:r>
          </w:p>
        </w:tc>
        <w:tc>
          <w:tcPr>
            <w:tcW w:w="20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r>
      <w:tr>
        <w:trPr>
          <w:trHeight w:val="41"/>
        </w:trPr>
        <w:tc>
          <w:tcPr>
            <w:tcW w:w="320" w:type="dxa"/>
            <w:vAlign w:val="bottom"/>
            <w:tcBorders>
              <w:right w:val="single" w:sz="8" w:color="auto"/>
            </w:tcBorders>
          </w:tcPr>
          <w:p>
            <w:pPr>
              <w:spacing w:after="0"/>
              <w:rPr>
                <w:sz w:val="3"/>
                <w:szCs w:val="3"/>
                <w:color w:val="auto"/>
              </w:rPr>
            </w:pPr>
          </w:p>
        </w:tc>
        <w:tc>
          <w:tcPr>
            <w:tcW w:w="480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r>
      <w:tr>
        <w:trPr>
          <w:trHeight w:val="642"/>
        </w:trPr>
        <w:tc>
          <w:tcPr>
            <w:tcW w:w="512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18"/>
        </w:trPr>
        <w:tc>
          <w:tcPr>
            <w:tcW w:w="5120" w:type="dxa"/>
            <w:vAlign w:val="bottom"/>
            <w:gridSpan w:val="2"/>
          </w:tcPr>
          <w:p>
            <w:pPr>
              <w:spacing w:after="0"/>
              <w:rPr>
                <w:sz w:val="20"/>
                <w:szCs w:val="20"/>
                <w:color w:val="auto"/>
              </w:rPr>
            </w:pPr>
            <w:r>
              <w:rPr>
                <w:rFonts w:ascii="Arial" w:cs="Arial" w:eastAsia="Arial" w:hAnsi="Arial"/>
                <w:sz w:val="18"/>
                <w:szCs w:val="18"/>
                <w:color w:val="auto"/>
              </w:rPr>
              <w:t>Joseph Nelson</w:t>
            </w:r>
          </w:p>
        </w:tc>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Head of Investor Relations</w:t>
            </w:r>
          </w:p>
        </w:tc>
        <w:tc>
          <w:tcPr>
            <w:tcW w:w="1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Phone: +1 212-223-0643</w:t>
            </w:r>
          </w:p>
        </w:tc>
        <w:tc>
          <w:tcPr>
            <w:tcW w:w="1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color w:val="auto"/>
              </w:rPr>
              <w:t>Email: ir@gaslogmlp.com</w:t>
            </w:r>
          </w:p>
        </w:tc>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GasLog Partners</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2021-05-14T11:48:40Z</dcterms:created>
  <dcterms:modified xsi:type="dcterms:W3CDTF">2021-05-14T11:48:40Z</dcterms:modified>
</cp:coreProperties>
</file>