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9350d1_6k.htm"/>
      <w:bookmarkStart w:id="1" w:name="kstm2529350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October 24, 2025 relating to its results for the three-month period ended September 30, 2025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50"/>
        <w:gridCol w:w="60"/>
        <w:gridCol w:w="4910"/>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52935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hyperlink w:anchor="tm2529350d1_ex99-1.htm">
              <w:r>
                <w:rPr>
                  <w:rStyle w:val="InternetLink"/>
                  <w:rFonts w:ascii="Times New Roman;Times;Serif" w:hAnsi="Times New Roman;Times;Serif"/>
                  <w:sz w:val="20"/>
                </w:rPr>
                <w:t>Press Release of GasLog Partners LP dated October 24,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925"/>
        <w:gridCol w:w="60"/>
        <w:gridCol w:w="230"/>
        <w:gridCol w:w="545"/>
        <w:gridCol w:w="195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24, 2025</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2790"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GASLOG PARTNERS LP</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29350d1_ex99-1.htm"/>
      <w:bookmarkStart w:id="3" w:name="kstm2529350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October 24, 2025, GasLog Partners LP (“GasLog Partners” or the “Partnership”) (NYSE: GLOP-PA, GLOP-PB, GLOP-PC), </w:t>
      </w:r>
      <w:r>
        <w:rPr>
          <w:rFonts w:ascii="Times New Roman;Times;Serif" w:hAnsi="Times New Roman;Times;Serif"/>
          <w:b w:val="false"/>
          <w:i w:val="false"/>
          <w:caps w:val="false"/>
          <w:smallCaps w:val="false"/>
          <w:sz w:val="20"/>
        </w:rPr>
        <w:t>an international owner and operator of liquefied natural gas (“LNG”) carriers, today reported its financial results for the three-month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Sale of Vessel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GasLog Partners entered into an agreement to sell, subject to customary and other closing conditions,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a 145,000 cubic meter steam turbine propulsion (“Steam”) LNG carrier built in 2006, to an unrelated third party for a gross sale price of approximately $25.0 million, resulting in the reclassification of the vessel as held for sale and the recognition of an impairment loss of $22.3 million as of September 30, 2025. The sale was completed on October 13,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GasLog Partners Dividend Declarations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the board of directors of GasLog Partners approved and declared a quarterly cash distribution of $2.93 per common unit to GasLog Ltd. (“GasLog”) that was settled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Financial Results</w:t>
      </w:r>
    </w:p>
    <w:p>
      <w:pPr>
        <w:pStyle w:val="TextBody"/>
        <w:bidi w:val="0"/>
        <w:spacing w:before="0" w:after="0"/>
        <w:ind w:left="0" w:right="0" w:hanging="0"/>
        <w:jc w:val="left"/>
        <w:rPr>
          <w:caps w:val="false"/>
          <w:smallCaps w:val="false"/>
        </w:rPr>
      </w:pPr>
      <w:r>
        <w:rPr>
          <w:caps w:val="false"/>
          <w:smallCaps w:val="false"/>
        </w:rPr>
        <w:t> </w:t>
      </w:r>
    </w:p>
    <w:tbl>
      <w:tblPr>
        <w:tblW w:w="5847" w:type="dxa"/>
        <w:jc w:val="left"/>
        <w:tblInd w:w="0" w:type="dxa"/>
        <w:tblLayout w:type="fixed"/>
        <w:tblCellMar>
          <w:top w:w="0" w:type="dxa"/>
          <w:left w:w="0" w:type="dxa"/>
          <w:bottom w:w="0" w:type="dxa"/>
          <w:right w:w="0" w:type="dxa"/>
        </w:tblCellMar>
      </w:tblPr>
      <w:tblGrid>
        <w:gridCol w:w="3080"/>
        <w:gridCol w:w="60"/>
        <w:gridCol w:w="213"/>
        <w:gridCol w:w="1007"/>
        <w:gridCol w:w="86"/>
        <w:gridCol w:w="86"/>
        <w:gridCol w:w="196"/>
        <w:gridCol w:w="1024"/>
        <w:gridCol w:w="95"/>
      </w:tblGrid>
      <w:tr>
        <w:trPr/>
        <w:tc>
          <w:tcPr>
            <w:tcW w:w="308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in thousands of U.S.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2024</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85,670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44,488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were $60.9 million for the quarter ended September 30, 2025 ($85.7 million for the same period in 2024). The decrease of $24.8 million is mainly attributable to the 184 less available days due to the redelivery of the </w:t>
      </w:r>
      <w:r>
        <w:rPr>
          <w:rFonts w:ascii="Times New Roman;Times;Serif" w:hAnsi="Times New Roman;Times;Serif"/>
          <w:b w:val="false"/>
          <w:i/>
          <w:caps w:val="false"/>
          <w:smallCaps w:val="false"/>
          <w:sz w:val="20"/>
        </w:rPr>
        <w:t>Methane Heather Sally</w:t>
      </w:r>
      <w:r>
        <w:rPr>
          <w:rFonts w:ascii="Times New Roman;Times;Serif" w:hAnsi="Times New Roman;Times;Serif"/>
          <w:b w:val="false"/>
          <w:i w:val="false"/>
          <w:caps w:val="false"/>
          <w:smallCaps w:val="false"/>
          <w:sz w:val="20"/>
        </w:rPr>
        <w:t xml:space="preserve"> to its owners and the sale of the </w:t>
      </w:r>
      <w:r>
        <w:rPr>
          <w:rFonts w:ascii="Times New Roman;Times;Serif" w:hAnsi="Times New Roman;Times;Serif"/>
          <w:b w:val="false"/>
          <w:i/>
          <w:caps w:val="false"/>
          <w:smallCaps w:val="false"/>
          <w:sz w:val="20"/>
        </w:rPr>
        <w:t>Methane Alison Victoria</w:t>
      </w:r>
      <w:r>
        <w:rPr>
          <w:rFonts w:ascii="Times New Roman;Times;Serif" w:hAnsi="Times New Roman;Times;Serif"/>
          <w:b w:val="false"/>
          <w:i w:val="false"/>
          <w:caps w:val="false"/>
          <w:smallCaps w:val="false"/>
          <w:sz w:val="20"/>
        </w:rPr>
        <w:t xml:space="preserve"> in July 2025, the 2024 and 2025 fixtures at lower rates due to the weak market and the 198 idle days in the quarter ended September 30, 2025 (nil idle days for the quarter ended September 30,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was $13.0 million for the quarter ended September 30, 2025 (profit of $44.5 million for the same period in 2024). The decrease in profit of $57.5 million is mainly attributable to a) $23.6 million non-cash impairment loss, $22.3 million of which relate to the agreement to sale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xml:space="preserve">, b) a decrease of $8.3 million in non-cash gain on disposal of vessel ($8.2 million non-cash gain on disposal was recognized in the quarter ended September 30, 2024 as a result of the </w:t>
      </w:r>
      <w:r>
        <w:rPr>
          <w:rFonts w:ascii="Times New Roman;Times;Serif" w:hAnsi="Times New Roman;Times;Serif"/>
          <w:b w:val="false"/>
          <w:i/>
          <w:caps w:val="false"/>
          <w:smallCaps w:val="false"/>
          <w:sz w:val="20"/>
        </w:rPr>
        <w:t>GasLog Santiago</w:t>
      </w:r>
      <w:r>
        <w:rPr>
          <w:rFonts w:ascii="Times New Roman;Times;Serif" w:hAnsi="Times New Roman;Times;Serif"/>
          <w:b w:val="false"/>
          <w:i w:val="false"/>
          <w:caps w:val="false"/>
          <w:smallCaps w:val="false"/>
          <w:sz w:val="20"/>
        </w:rPr>
        <w:t xml:space="preserve"> sale and leaseback completed on August 27, 2024) and c) a decrease of $24.8 million in revenues,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943" w:type="dxa"/>
        <w:jc w:val="left"/>
        <w:tblInd w:w="0" w:type="dxa"/>
        <w:tblLayout w:type="fixed"/>
        <w:tblCellMar>
          <w:top w:w="0" w:type="dxa"/>
          <w:left w:w="0" w:type="dxa"/>
          <w:bottom w:w="0" w:type="dxa"/>
          <w:right w:w="0" w:type="dxa"/>
        </w:tblCellMar>
      </w:tblPr>
      <w:tblGrid>
        <w:gridCol w:w="3365"/>
        <w:gridCol w:w="60"/>
        <w:gridCol w:w="107"/>
        <w:gridCol w:w="1532"/>
        <w:gridCol w:w="60"/>
        <w:gridCol w:w="60"/>
        <w:gridCol w:w="110"/>
        <w:gridCol w:w="1574"/>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1,276,472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1,141,071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1,407,844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1,230,196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59,822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1,290,018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1,016,574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888,267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1,296,703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1,168,212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87,221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1,446,117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1,290,018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6"/>
        <w:gridCol w:w="60"/>
        <w:gridCol w:w="139"/>
        <w:gridCol w:w="1516"/>
        <w:gridCol w:w="115"/>
        <w:gridCol w:w="87"/>
        <w:gridCol w:w="139"/>
        <w:gridCol w:w="1516"/>
        <w:gridCol w:w="80"/>
        <w:gridCol w:w="60"/>
        <w:gridCol w:w="129"/>
        <w:gridCol w:w="1526"/>
        <w:gridCol w:w="106"/>
        <w:gridCol w:w="79"/>
        <w:gridCol w:w="129"/>
        <w:gridCol w:w="1526"/>
        <w:gridCol w:w="102"/>
      </w:tblGrid>
      <w:tr>
        <w:trPr/>
        <w:tc>
          <w:tcPr>
            <w:tcW w:w="2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1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9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102"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85,670</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271,037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211,371</w:t>
            </w:r>
          </w:p>
        </w:tc>
        <w:tc>
          <w:tcPr>
            <w:tcW w:w="102" w:type="dxa"/>
            <w:tcBorders/>
            <w:shd w:fill="CCEE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102"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(17,345</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(50,639</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(47,882</w:t>
            </w:r>
          </w:p>
        </w:tc>
        <w:tc>
          <w:tcPr>
            <w:tcW w:w="102"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(25,801</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(76,167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(81,032</w:t>
            </w:r>
          </w:p>
        </w:tc>
        <w:tc>
          <w:tcPr>
            <w:tcW w:w="102"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(12,091</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w:t>
            </w:r>
          </w:p>
        </w:tc>
        <w:tc>
          <w:tcPr>
            <w:tcW w:w="102"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Gain/(loss) on disposal of vessel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8,196</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8,196</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(58,170</w:t>
            </w:r>
          </w:p>
        </w:tc>
        <w:tc>
          <w:tcPr>
            <w:tcW w:w="102"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136,041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w:t>
            </w:r>
          </w:p>
        </w:tc>
        <w:tc>
          <w:tcPr>
            <w:tcW w:w="102" w:type="dxa"/>
            <w:tcBorders/>
            <w:shd w:fill="FFFFFF" w:val="clear"/>
            <w:vAlign w:val="center"/>
          </w:tcPr>
          <w:p>
            <w:pPr>
              <w:pStyle w:val="TableContents"/>
              <w:bidi w:val="0"/>
              <w:spacing w:before="0" w:after="283"/>
              <w:ind w:left="0" w:right="0" w:hanging="1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(1,232</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(3,193</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w:t>
            </w:r>
          </w:p>
        </w:tc>
        <w:tc>
          <w:tcPr>
            <w:tcW w:w="102"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02"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(1,212</w:t>
            </w:r>
          </w:p>
        </w:tc>
        <w:tc>
          <w:tcPr>
            <w:tcW w:w="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(3,050</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(3,929</w:t>
            </w:r>
          </w:p>
        </w:tc>
        <w:tc>
          <w:tcPr>
            <w:tcW w:w="102" w:type="dxa"/>
            <w:tcBorders/>
            <w:shd w:fill="CCEEFF" w:val="clear"/>
            <w:vAlign w:val="center"/>
          </w:tcPr>
          <w:p>
            <w:pPr>
              <w:pStyle w:val="TableContents"/>
              <w:bidi w:val="0"/>
              <w:spacing w:before="0" w:after="283"/>
              <w:ind w:left="0" w:right="0" w:hanging="1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44,488</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(13,033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132,991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(5,105</w:t>
            </w:r>
          </w:p>
        </w:tc>
        <w:tc>
          <w:tcPr>
            <w:tcW w:w="1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908</Words>
  <Characters>4936</Characters>
  <CharactersWithSpaces>6031</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