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month of January, 2018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001-36433</w:t>
      </w:r>
    </w:p>
    <w:p>
      <w:pPr>
        <w:spacing w:after="0" w:line="20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GasLog Partners LP</w:t>
      </w:r>
    </w:p>
    <w:p>
      <w:pPr>
        <w:spacing w:after="0" w:line="4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 GasLog Monaco S.A.M.</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Form 20-F x</w:t>
        <w:tab/>
        <w:t>Form 40-F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4"/>
          <w:szCs w:val="24"/>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Report on Form 6-K shall be incorporated by reference into our registration statement on Form F-3, as declared effective by the Securities and Exchange Commission on October 10, 2017 (Registration No. 333-220736), as amended, to the extent not superseded by documents or reports subsequently filed by us under the Securities Act of 1933 or the Securities Exchange of 1934, in each case as amended.</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40" w:type="dxa"/>
            <w:vAlign w:val="bottom"/>
          </w:tcPr>
          <w:p>
            <w:pPr>
              <w:spacing w:after="0"/>
              <w:rPr>
                <w:sz w:val="15"/>
                <w:szCs w:val="15"/>
                <w:color w:val="auto"/>
              </w:rPr>
            </w:pPr>
          </w:p>
        </w:tc>
        <w:tc>
          <w:tcPr>
            <w:tcW w:w="9920" w:type="dxa"/>
            <w:vAlign w:val="bottom"/>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Underwriting Agreement, dated January 9, 2018, by and among GasLog Partners GP LLC, GasLog Partners LP and GasLog Partners</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Holdings LLC and Morgan Stanley &amp; Co. LLC, UBS Securities LLC, Stifel, Nicolaus &amp; Company, Incorporated and Citigroup Global</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Markets Inc. as representatives of the underwriters named therein</w:t>
            </w:r>
          </w:p>
        </w:tc>
        <w:tc>
          <w:tcPr>
            <w:tcW w:w="40" w:type="dxa"/>
            <w:vAlign w:val="bottom"/>
          </w:tcPr>
          <w:p>
            <w:pPr>
              <w:spacing w:after="0"/>
              <w:rPr>
                <w:sz w:val="20"/>
                <w:szCs w:val="20"/>
                <w:color w:val="auto"/>
              </w:rPr>
            </w:pPr>
          </w:p>
        </w:tc>
      </w:tr>
      <w:tr>
        <w:trPr>
          <w:trHeight w:val="414"/>
        </w:trPr>
        <w:tc>
          <w:tcPr>
            <w:tcW w:w="11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5.1</w:t>
            </w: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Cozen O’Connor, special counsel on matters of the law of the Republic of the Marshall Islands to GasLog Partners LP, dated</w:t>
            </w:r>
          </w:p>
        </w:tc>
        <w:tc>
          <w:tcPr>
            <w:tcW w:w="4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9, 2018</w:t>
            </w:r>
          </w:p>
        </w:tc>
        <w:tc>
          <w:tcPr>
            <w:tcW w:w="40" w:type="dxa"/>
            <w:vAlign w:val="bottom"/>
          </w:tcPr>
          <w:p>
            <w:pPr>
              <w:spacing w:after="0"/>
              <w:rPr>
                <w:sz w:val="20"/>
                <w:szCs w:val="20"/>
                <w:color w:val="auto"/>
              </w:rPr>
            </w:pPr>
          </w:p>
        </w:tc>
      </w:tr>
      <w:tr>
        <w:trPr>
          <w:trHeight w:val="432"/>
        </w:trPr>
        <w:tc>
          <w:tcPr>
            <w:tcW w:w="11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8.1</w:t>
            </w:r>
          </w:p>
        </w:tc>
        <w:tc>
          <w:tcPr>
            <w:tcW w:w="10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Opinion of Cravath, Swaine &amp; Moore LLP, United States tax counsel to GasLog Partners LP, dated January 9, 2018</w:t>
            </w: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January 10, 2018</w:t>
      </w:r>
    </w:p>
    <w:p>
      <w:pPr>
        <w:spacing w:after="0" w:line="221"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9" w:lineRule="exact"/>
        <w:rPr>
          <w:sz w:val="24"/>
          <w:szCs w:val="24"/>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Andrew J. Orekar</w:t>
      </w:r>
    </w:p>
    <w:p>
      <w:pPr>
        <w:spacing w:after="0" w:line="27" w:lineRule="exact"/>
        <w:rPr>
          <w:sz w:val="24"/>
          <w:szCs w:val="24"/>
          <w:color w:val="auto"/>
        </w:rPr>
      </w:pPr>
    </w:p>
    <w:tbl>
      <w:tblPr>
        <w:tblLayout w:type="fixed"/>
        <w:tblInd w:w="6180" w:type="dxa"/>
        <w:tblCellMar>
          <w:top w:w="0" w:type="dxa"/>
          <w:left w:w="0" w:type="dxa"/>
          <w:bottom w:w="0" w:type="dxa"/>
          <w:right w:w="0" w:type="dxa"/>
        </w:tblCellMar>
      </w:tblPr>
      <w:tr>
        <w:trPr>
          <w:trHeight w:val="191"/>
        </w:trPr>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Andrew J. Orekar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38" w:right="199" w:bottom="158"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8.200% Series B Cumulative Redeemable Perpetual Fixed to Floating Rate Preference Units Representing Limited Partner Interests in the Partnership</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7"/>
          <w:szCs w:val="17"/>
          <w:color w:val="auto"/>
        </w:rPr>
        <w:t>January 9, 2018</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GasLog Partners LP, a limited partnership organized under the laws of the Republic of The Marshall Islands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has filed a registration statement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which the Partnership may from time to time, issue and sell up to an aggregate of $750,000,000 of the Partnership’s common units representing limited partner interests in the Partnership (the “</w:t>
      </w:r>
      <w:r>
        <w:rPr>
          <w:rFonts w:ascii="Times New Roman" w:cs="Times New Roman" w:eastAsia="Times New Roman" w:hAnsi="Times New Roman"/>
          <w:sz w:val="18"/>
          <w:szCs w:val="18"/>
          <w:u w:val="single" w:color="auto"/>
          <w:color w:val="auto"/>
        </w:rPr>
        <w:t>Common Units</w:t>
      </w:r>
      <w:r>
        <w:rPr>
          <w:rFonts w:ascii="Times New Roman" w:cs="Times New Roman" w:eastAsia="Times New Roman" w:hAnsi="Times New Roman"/>
          <w:sz w:val="18"/>
          <w:szCs w:val="18"/>
          <w:color w:val="auto"/>
        </w:rPr>
        <w:t>”), other classes of units representing limited partner interests in the Partnership (the “</w:t>
      </w:r>
      <w:r>
        <w:rPr>
          <w:rFonts w:ascii="Times New Roman" w:cs="Times New Roman" w:eastAsia="Times New Roman" w:hAnsi="Times New Roman"/>
          <w:sz w:val="18"/>
          <w:szCs w:val="18"/>
          <w:u w:val="single" w:color="auto"/>
          <w:color w:val="auto"/>
        </w:rPr>
        <w:t>Other Units</w:t>
      </w:r>
      <w:r>
        <w:rPr>
          <w:rFonts w:ascii="Times New Roman" w:cs="Times New Roman" w:eastAsia="Times New Roman" w:hAnsi="Times New Roman"/>
          <w:sz w:val="18"/>
          <w:szCs w:val="18"/>
          <w:color w:val="auto"/>
        </w:rPr>
        <w:t>”), debt securities of the Partnership (the “</w:t>
      </w: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warrants to purchase Common Units, 8.625% Series A Cumulative Redeemable Perpetual Fixed to Floating Rate Preference Units representing limited partner interests in the Partnership (the “</w:t>
      </w:r>
      <w:r>
        <w:rPr>
          <w:rFonts w:ascii="Times New Roman" w:cs="Times New Roman" w:eastAsia="Times New Roman" w:hAnsi="Times New Roman"/>
          <w:sz w:val="18"/>
          <w:szCs w:val="18"/>
          <w:u w:val="single" w:color="auto"/>
          <w:color w:val="auto"/>
        </w:rPr>
        <w:t>Series A Preference Units</w:t>
      </w:r>
      <w:r>
        <w:rPr>
          <w:rFonts w:ascii="Times New Roman" w:cs="Times New Roman" w:eastAsia="Times New Roman" w:hAnsi="Times New Roman"/>
          <w:sz w:val="18"/>
          <w:szCs w:val="18"/>
          <w:color w:val="auto"/>
        </w:rPr>
        <w:t>”), Other Units or other rights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rights to purchase Common Units and Other Units (the “</w:t>
      </w:r>
      <w:r>
        <w:rPr>
          <w:rFonts w:ascii="Times New Roman" w:cs="Times New Roman" w:eastAsia="Times New Roman" w:hAnsi="Times New Roman"/>
          <w:sz w:val="17"/>
          <w:szCs w:val="17"/>
          <w:u w:val="single" w:color="auto"/>
          <w:color w:val="auto"/>
        </w:rPr>
        <w:t>Rights</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and any combination of Common Units, Other Units, Debt Securities, Series A Preference Units, Warrants and Rights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Partnership proposes, subject to the terms and conditions stated herein, to issue and sell an aggregate of 4,000,000 of the Partnership’s 8.200% Series B Cumulative Redeemable Perpetual Fixed to Floating Rate Preference Units (the “</w:t>
      </w:r>
      <w:r>
        <w:rPr>
          <w:rFonts w:ascii="Times New Roman" w:cs="Times New Roman" w:eastAsia="Times New Roman" w:hAnsi="Times New Roman"/>
          <w:sz w:val="18"/>
          <w:szCs w:val="18"/>
          <w:u w:val="single" w:color="auto"/>
          <w:color w:val="auto"/>
        </w:rPr>
        <w:t>Offered Securities</w:t>
      </w:r>
      <w:r>
        <w:rPr>
          <w:rFonts w:ascii="Times New Roman" w:cs="Times New Roman" w:eastAsia="Times New Roman" w:hAnsi="Times New Roman"/>
          <w:sz w:val="18"/>
          <w:szCs w:val="18"/>
          <w:color w:val="auto"/>
        </w:rPr>
        <w:t>”), each representing limited partnership interests in the Partnership (the “</w:t>
      </w:r>
      <w:r>
        <w:rPr>
          <w:rFonts w:ascii="Times New Roman" w:cs="Times New Roman" w:eastAsia="Times New Roman" w:hAnsi="Times New Roman"/>
          <w:sz w:val="18"/>
          <w:szCs w:val="18"/>
          <w:u w:val="single" w:color="auto"/>
          <w:color w:val="auto"/>
        </w:rPr>
        <w:t>Series B Preference Units</w:t>
      </w:r>
      <w:r>
        <w:rPr>
          <w:rFonts w:ascii="Times New Roman" w:cs="Times New Roman" w:eastAsia="Times New Roman" w:hAnsi="Times New Roman"/>
          <w:sz w:val="18"/>
          <w:szCs w:val="18"/>
          <w:color w:val="auto"/>
        </w:rPr>
        <w:t xml:space="preserve">”), to the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for whom you are acting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At the election of the Underwriters, the Underwriters may purchase up to an additional 600,000 Series B Preference Units in the Partnership (the “</w:t>
      </w:r>
      <w:r>
        <w:rPr>
          <w:rFonts w:ascii="Times New Roman" w:cs="Times New Roman" w:eastAsia="Times New Roman" w:hAnsi="Times New Roman"/>
          <w:sz w:val="18"/>
          <w:szCs w:val="18"/>
          <w:u w:val="single" w:color="auto"/>
          <w:color w:val="auto"/>
        </w:rPr>
        <w:t>Option Securities</w:t>
      </w:r>
      <w:r>
        <w:rPr>
          <w:rFonts w:ascii="Times New Roman" w:cs="Times New Roman" w:eastAsia="Times New Roman" w:hAnsi="Times New Roman"/>
          <w:sz w:val="18"/>
          <w:szCs w:val="18"/>
          <w:color w:val="auto"/>
        </w:rPr>
        <w:t>”, and together with the Offered Securities,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GasLog Partners GP LLC, a limited liability company organized under the laws of the Republic of The Marshall Islands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serves as the sole general partner of the Partnership. GasLog Partners Holdings LLC, a limited liability company organized under the laws of the Republic of The Marshall Islands (the “</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xml:space="preserve">”), is a wholly owned direct subsidiary of the Partnership. The entities set forth under the caption “Owning Entity”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are direct subsidiaries of the Operating Company and are referred to herein collectively as the “</w:t>
      </w:r>
      <w:r>
        <w:rPr>
          <w:rFonts w:ascii="Times New Roman" w:cs="Times New Roman" w:eastAsia="Times New Roman" w:hAnsi="Times New Roman"/>
          <w:sz w:val="18"/>
          <w:szCs w:val="18"/>
          <w:u w:val="single" w:color="auto"/>
          <w:color w:val="auto"/>
        </w:rPr>
        <w:t>Operating Subsidiaries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agreements listed in </w:t>
      </w:r>
      <w:r>
        <w:rPr>
          <w:rFonts w:ascii="Times New Roman" w:cs="Times New Roman" w:eastAsia="Times New Roman" w:hAnsi="Times New Roman"/>
          <w:sz w:val="18"/>
          <w:szCs w:val="18"/>
          <w:u w:val="single" w:color="auto"/>
          <w:color w:val="auto"/>
        </w:rPr>
        <w:t>Schedule VIII</w:t>
      </w:r>
      <w:r>
        <w:rPr>
          <w:rFonts w:ascii="Times New Roman" w:cs="Times New Roman" w:eastAsia="Times New Roman" w:hAnsi="Times New Roman"/>
          <w:sz w:val="18"/>
          <w:szCs w:val="18"/>
          <w:color w:val="auto"/>
        </w:rPr>
        <w:t xml:space="preserve"> hereto are collectively referred to as the “</w:t>
      </w:r>
      <w:r>
        <w:rPr>
          <w:rFonts w:ascii="Times New Roman" w:cs="Times New Roman" w:eastAsia="Times New Roman" w:hAnsi="Times New Roman"/>
          <w:sz w:val="18"/>
          <w:szCs w:val="18"/>
          <w:u w:val="single" w:color="auto"/>
          <w:color w:val="auto"/>
        </w:rPr>
        <w:t>Operative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General Partner, the Partnership and the Operating Company are hereinafter referred to collectively as the “</w:t>
      </w:r>
      <w:r>
        <w:rPr>
          <w:rFonts w:ascii="Times New Roman" w:cs="Times New Roman" w:eastAsia="Times New Roman" w:hAnsi="Times New Roman"/>
          <w:sz w:val="18"/>
          <w:szCs w:val="18"/>
          <w:u w:val="single" w:color="auto"/>
          <w:color w:val="auto"/>
        </w:rPr>
        <w:t>Partnership Parties</w:t>
      </w:r>
      <w:r>
        <w:rPr>
          <w:rFonts w:ascii="Times New Roman" w:cs="Times New Roman" w:eastAsia="Times New Roman" w:hAnsi="Times New Roman"/>
          <w:sz w:val="18"/>
          <w:szCs w:val="18"/>
          <w:color w:val="auto"/>
        </w:rPr>
        <w:t>” and, together with the Operating Subsidiaries, the “</w:t>
      </w:r>
      <w:r>
        <w:rPr>
          <w:rFonts w:ascii="Times New Roman" w:cs="Times New Roman" w:eastAsia="Times New Roman" w:hAnsi="Times New Roman"/>
          <w:sz w:val="18"/>
          <w:szCs w:val="18"/>
          <w:u w:val="single" w:color="auto"/>
          <w:color w:val="auto"/>
        </w:rPr>
        <w:t>Partnership Entities</w:t>
      </w:r>
      <w:r>
        <w:rPr>
          <w:rFonts w:ascii="Times New Roman" w:cs="Times New Roman" w:eastAsia="Times New Roman" w:hAnsi="Times New Roman"/>
          <w:sz w:val="18"/>
          <w:szCs w:val="18"/>
          <w:color w:val="auto"/>
        </w:rPr>
        <w:t>”. GasLog Ltd. is hereinafter referred to as “</w:t>
      </w:r>
      <w:r>
        <w:rPr>
          <w:rFonts w:ascii="Times New Roman" w:cs="Times New Roman" w:eastAsia="Times New Roman" w:hAnsi="Times New Roman"/>
          <w:sz w:val="18"/>
          <w:szCs w:val="18"/>
          <w:u w:val="single" w:color="auto"/>
          <w:color w:val="auto"/>
        </w:rPr>
        <w:t>GasLog</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is to confirm the agreement between the Partnership Parties and each of the Underwriters concerning the purchase of the Securities from the Partnership by the Underwriters.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The Partnership Parties represent and warrant to, and agree with each of the Underwriters that:</w:t>
      </w:r>
    </w:p>
    <w:p>
      <w:pPr>
        <w:spacing w:after="0" w:line="225" w:lineRule="exact"/>
        <w:rPr>
          <w:sz w:val="20"/>
          <w:szCs w:val="20"/>
          <w:color w:val="auto"/>
        </w:rPr>
      </w:pPr>
    </w:p>
    <w:p>
      <w:pPr>
        <w:ind w:right="100" w:firstLine="656"/>
        <w:spacing w:after="0" w:line="254" w:lineRule="auto"/>
        <w:tabs>
          <w:tab w:leader="none" w:pos="88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statement on Form F-3 (File No. 333-220736), including a prospectus (hereinafter referred to as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in respect of the Securities has been filed with the Commission not earlier than three years prior to the date hereof; the Base Prospectus and any post-effective amendment thereto, each in the form heretofore delivered to the Representatives, have been declared effective by the Commission in such form. Such registration statement, as amended, entered into in connection with a specific offering of the Securities and including any documents incorporated by reference therein, including exhibits (other than any Form T-1) and financial statements and any prospectus supplement relating to the Securities that is filed with the Commission pursuant to Rule 424(b)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under the Act and deemed part of such registration statement pursuant to Rule 430B under the Act, is hereinafter referred to as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Partnership meets the requirements of the U.S.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for the use of the Form F-3. No stop order suspending the effectiveness of the Registration Statement, any part thereof or any post-effective amendment thereto, if any, has been issued and no proceeding for that purpose has been initiated or threatened by the Commission. The preliminary</w:t>
      </w:r>
    </w:p>
    <w:p>
      <w:pPr>
        <w:sectPr>
          <w:pgSz w:w="11900" w:h="16838" w:orient="portrait"/>
          <w:cols w:equalWidth="0" w:num="1">
            <w:col w:w="11420"/>
          </w:cols>
          <w:pgMar w:left="240" w:top="117" w:right="239" w:bottom="0" w:gutter="0" w:footer="0" w:header="0"/>
        </w:sectPr>
      </w:pPr>
    </w:p>
    <w:bookmarkStart w:id="2" w:name="page3"/>
    <w:bookmarkEnd w:id="2"/>
    <w:p>
      <w:pPr>
        <w:ind w:right="80"/>
        <w:spacing w:after="0" w:line="258" w:lineRule="auto"/>
        <w:rPr>
          <w:sz w:val="20"/>
          <w:szCs w:val="20"/>
          <w:color w:val="auto"/>
        </w:rPr>
      </w:pPr>
      <w:r>
        <w:rPr>
          <w:rFonts w:ascii="Times New Roman" w:cs="Times New Roman" w:eastAsia="Times New Roman" w:hAnsi="Times New Roman"/>
          <w:sz w:val="18"/>
          <w:szCs w:val="18"/>
          <w:color w:val="auto"/>
        </w:rPr>
        <w:t>prospectus supplement which describes the Securities and the offering thereof and is used prior to filing the Final Prospectus (defined below) is hereinafter called a “</w:t>
      </w:r>
      <w:r>
        <w:rPr>
          <w:rFonts w:ascii="Times New Roman" w:cs="Times New Roman" w:eastAsia="Times New Roman" w:hAnsi="Times New Roman"/>
          <w:sz w:val="18"/>
          <w:szCs w:val="18"/>
          <w:u w:val="single" w:color="auto"/>
          <w:color w:val="auto"/>
        </w:rPr>
        <w:t>Preliminary Prospectus</w:t>
      </w:r>
      <w:r>
        <w:rPr>
          <w:rFonts w:ascii="Times New Roman" w:cs="Times New Roman" w:eastAsia="Times New Roman" w:hAnsi="Times New Roman"/>
          <w:sz w:val="18"/>
          <w:szCs w:val="18"/>
          <w:color w:val="auto"/>
        </w:rPr>
        <w:t xml:space="preserve">”. The Preliminary Prospectus that was included in the Registration Statement immediately prior to the Applicable Time (as defined in Section 1(c) hereof), together with the information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is hereinafter called the “</w:t>
      </w:r>
      <w:r>
        <w:rPr>
          <w:rFonts w:ascii="Times New Roman" w:cs="Times New Roman" w:eastAsia="Times New Roman" w:hAnsi="Times New Roman"/>
          <w:sz w:val="18"/>
          <w:szCs w:val="18"/>
          <w:u w:val="single" w:color="auto"/>
          <w:color w:val="auto"/>
        </w:rPr>
        <w:t>Pricing Prospectus</w:t>
      </w:r>
      <w:r>
        <w:rPr>
          <w:rFonts w:ascii="Times New Roman" w:cs="Times New Roman" w:eastAsia="Times New Roman" w:hAnsi="Times New Roman"/>
          <w:sz w:val="18"/>
          <w:szCs w:val="18"/>
          <w:color w:val="auto"/>
        </w:rPr>
        <w:t>”. Such final prospectus, in the form first filed pursuant to Rule 424(b) under the Act in accordance with Section 5(a) hereof is hereinafter called the “</w:t>
      </w:r>
      <w:r>
        <w:rPr>
          <w:rFonts w:ascii="Times New Roman" w:cs="Times New Roman" w:eastAsia="Times New Roman" w:hAnsi="Times New Roman"/>
          <w:sz w:val="18"/>
          <w:szCs w:val="18"/>
          <w:u w:val="single" w:color="auto"/>
          <w:color w:val="auto"/>
        </w:rPr>
        <w:t>Final Prospectus</w:t>
      </w:r>
      <w:r>
        <w:rPr>
          <w:rFonts w:ascii="Times New Roman" w:cs="Times New Roman" w:eastAsia="Times New Roman" w:hAnsi="Times New Roman"/>
          <w:sz w:val="18"/>
          <w:szCs w:val="18"/>
          <w:color w:val="auto"/>
        </w:rPr>
        <w:t>”. Any reference herein to the Base Prospectus, the Pricing Prospectus, any Preliminary Prospectus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or the Final Prospectus shall be deemed to refer to and include the documents incorporated by reference therein pursuant to Item 6 of Form F-3 under the Act, as of the date of such prospectus; any reference to any amendment or supplement to the Base Prospectus, any Preliminary Prospectus or the Final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incorporated therein, in each case after the date of the Base Prospectus, such Preliminary Prospectus, or the Final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“issuer free writing prospectus” as defined in Rule 433 under the Act relating to the Securities is hereinafter called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56"/>
        <w:spacing w:after="0" w:line="256" w:lineRule="auto"/>
        <w:tabs>
          <w:tab w:leader="none" w:pos="90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87" w:lineRule="exact"/>
        <w:rPr>
          <w:rFonts w:ascii="Times New Roman" w:cs="Times New Roman" w:eastAsia="Times New Roman" w:hAnsi="Times New Roman"/>
          <w:sz w:val="18"/>
          <w:szCs w:val="18"/>
          <w:color w:val="auto"/>
        </w:rPr>
      </w:pPr>
    </w:p>
    <w:p>
      <w:pPr>
        <w:ind w:right="20" w:firstLine="656"/>
        <w:spacing w:after="0" w:line="254" w:lineRule="auto"/>
        <w:tabs>
          <w:tab w:leader="none" w:pos="8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Agreement, the “</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xml:space="preserve">” is 2:30 p.m. New York City time on the date of this Agreement. The Pricing Prospectus,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 does not conflict with the information contained in the Registration Statement, the Pricing Prospectus or the Final Prospectus, and each such Issuer Free Writing Prospectus, as supplemented by and taken together with the Pricing Prospectus as of the Applicable Time and as of any Time of Delivery, did not include any untrue statement of a material fact or omit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representation and warranty shall not apply to statements or omissions made in an Issuer Free Writing Prospectus in reliance upon and in conformity with information furnished in writing to the Partnership by an Underwriter through the Representatives expressly for use therein;</w:t>
      </w:r>
    </w:p>
    <w:p>
      <w:pPr>
        <w:spacing w:after="0" w:line="189" w:lineRule="exact"/>
        <w:rPr>
          <w:rFonts w:ascii="Times New Roman" w:cs="Times New Roman" w:eastAsia="Times New Roman" w:hAnsi="Times New Roman"/>
          <w:sz w:val="18"/>
          <w:szCs w:val="18"/>
          <w:color w:val="auto"/>
        </w:rPr>
      </w:pPr>
    </w:p>
    <w:p>
      <w:pPr>
        <w:ind w:firstLine="656"/>
        <w:spacing w:after="0" w:line="261"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conforms, and the Final Prospectus and any further amendments or supplements to the Registration Statement and the Final Prospectus will conform, in all material respects to the requirements of the Act and the rules and regulations of the Commission thereunder and do not and will not, as of the applicable effective date as to each part of the Registration Statement, as of the applicable filing date as to the Final Prospectus and any amendment or supplement thereto and as of any Time of Delivery, contain an untrue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Partnership by an Underwriter through the Representatives expressly for use therein;</w:t>
      </w:r>
    </w:p>
    <w:p>
      <w:pPr>
        <w:spacing w:after="0" w:line="176" w:lineRule="exact"/>
        <w:rPr>
          <w:sz w:val="20"/>
          <w:szCs w:val="20"/>
          <w:color w:val="auto"/>
        </w:rPr>
      </w:pPr>
    </w:p>
    <w:p>
      <w:pPr>
        <w:ind w:right="120" w:firstLine="656"/>
        <w:spacing w:after="0" w:line="282" w:lineRule="auto"/>
        <w:tabs>
          <w:tab w:leader="none" w:pos="8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the initial filing of the Registration Statement with the Commission through the Applicable Time, the Partnership has been and is an “emerging growth company” as defined in Section 2(a) of the Act (an “</w:t>
      </w:r>
      <w:r>
        <w:rPr>
          <w:rFonts w:ascii="Times New Roman" w:cs="Times New Roman" w:eastAsia="Times New Roman" w:hAnsi="Times New Roman"/>
          <w:sz w:val="18"/>
          <w:szCs w:val="18"/>
          <w:u w:val="single" w:color="auto"/>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00" w:firstLine="656"/>
        <w:spacing w:after="0" w:line="258" w:lineRule="auto"/>
        <w:tabs>
          <w:tab w:leader="none" w:pos="8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Partnership Parties (i) has not alone engaged in any Testing the Waters Communication and (ii) has not authorized anyone to engage in Testing the Waters Communications. None of the Partnership Parties have distributed or approved for distribution any Written Testing the Waters Communications. “</w:t>
      </w:r>
      <w:r>
        <w:rPr>
          <w:rFonts w:ascii="Times New Roman" w:cs="Times New Roman" w:eastAsia="Times New Roman" w:hAnsi="Times New Roman"/>
          <w:sz w:val="18"/>
          <w:szCs w:val="18"/>
          <w:u w:val="single" w:color="auto"/>
          <w:color w:val="auto"/>
        </w:rPr>
        <w:t>Testing the Waters Communication</w:t>
      </w:r>
      <w:r>
        <w:rPr>
          <w:rFonts w:ascii="Times New Roman" w:cs="Times New Roman" w:eastAsia="Times New Roman" w:hAnsi="Times New Roman"/>
          <w:sz w:val="18"/>
          <w:szCs w:val="18"/>
          <w:color w:val="auto"/>
        </w:rPr>
        <w:t>” shall mean any oral or written communication with potential investors undertaken in reliance on Section 5(d) of the Act. “</w:t>
      </w:r>
      <w:r>
        <w:rPr>
          <w:rFonts w:ascii="Times New Roman" w:cs="Times New Roman" w:eastAsia="Times New Roman" w:hAnsi="Times New Roman"/>
          <w:sz w:val="18"/>
          <w:szCs w:val="18"/>
          <w:u w:val="single" w:color="auto"/>
          <w:color w:val="auto"/>
        </w:rPr>
        <w:t>Written Testing the Waters Communication</w:t>
      </w:r>
      <w:r>
        <w:rPr>
          <w:rFonts w:ascii="Times New Roman" w:cs="Times New Roman" w:eastAsia="Times New Roman" w:hAnsi="Times New Roman"/>
          <w:sz w:val="18"/>
          <w:szCs w:val="18"/>
          <w:color w:val="auto"/>
        </w:rPr>
        <w:t>” means any Testing the Waters Communication that is a written communication within the meaning of rule 405 under the Act;</w:t>
      </w:r>
    </w:p>
    <w:p>
      <w:pPr>
        <w:spacing w:after="0" w:line="183" w:lineRule="exact"/>
        <w:rPr>
          <w:rFonts w:ascii="Times New Roman" w:cs="Times New Roman" w:eastAsia="Times New Roman" w:hAnsi="Times New Roman"/>
          <w:sz w:val="18"/>
          <w:szCs w:val="18"/>
          <w:color w:val="auto"/>
        </w:rPr>
      </w:pPr>
    </w:p>
    <w:p>
      <w:pPr>
        <w:ind w:right="20" w:firstLine="656"/>
        <w:spacing w:after="0" w:line="273" w:lineRule="auto"/>
        <w:tabs>
          <w:tab w:leader="none" w:pos="90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Partnership Entities has sustained, since the date of the latest audited financial statements included or incorporated by reference in the Pricing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material adverse change, or any development that would reasonably be expected to involve a prospective material adverse change, in or affecting the general affairs, management, financial position, shareholders’ equity or results of operations of the Partnership Entities, taken as a whole (a “</w:t>
      </w:r>
      <w:r>
        <w:rPr>
          <w:rFonts w:ascii="Times New Roman" w:cs="Times New Roman" w:eastAsia="Times New Roman" w:hAnsi="Times New Roman"/>
          <w:sz w:val="17"/>
          <w:szCs w:val="17"/>
          <w:u w:val="single" w:color="auto"/>
          <w:color w:val="auto"/>
        </w:rPr>
        <w:t>Material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Effect</w:t>
      </w:r>
      <w:r>
        <w:rPr>
          <w:rFonts w:ascii="Times New Roman" w:cs="Times New Roman" w:eastAsia="Times New Roman" w:hAnsi="Times New Roman"/>
          <w:sz w:val="17"/>
          <w:szCs w:val="17"/>
          <w:color w:val="auto"/>
        </w:rPr>
        <w:t>”), or any change in the share capital or long-term debt of the Partnership Entities, otherwise than as set forth or contemplated in the Pricing Prospectus;</w:t>
      </w:r>
    </w:p>
    <w:p>
      <w:pPr>
        <w:spacing w:after="0" w:line="172" w:lineRule="exact"/>
        <w:rPr>
          <w:rFonts w:ascii="Times New Roman" w:cs="Times New Roman" w:eastAsia="Times New Roman" w:hAnsi="Times New Roman"/>
          <w:sz w:val="17"/>
          <w:szCs w:val="17"/>
          <w:color w:val="auto"/>
        </w:rPr>
      </w:pPr>
    </w:p>
    <w:p>
      <w:pPr>
        <w:ind w:right="120" w:firstLine="656"/>
        <w:spacing w:after="0" w:line="255"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Partnership Entities owns an interest in any material real property. Each of them has good and marketable title to all personal property owned by them which is material to the business of the Partnership Entities, including the vessels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u w:val="single" w:color="auto"/>
          <w:color w:val="auto"/>
        </w:rPr>
        <w:t>Vessels</w:t>
      </w:r>
      <w:r>
        <w:rPr>
          <w:rFonts w:ascii="Times New Roman" w:cs="Times New Roman" w:eastAsia="Times New Roman" w:hAnsi="Times New Roman"/>
          <w:sz w:val="18"/>
          <w:szCs w:val="18"/>
          <w:color w:val="auto"/>
        </w:rPr>
        <w:t>”), in each case free and clear of all liens, encumbrances and defects except such as are described in the Pricing Prospectus, including those arising under credit facilities, or such as do not materially affect the value of such property and do not materially interfere with the use made and proposed to be made of such property taken as a whole by the Partnership Entities; and any real property and buildings occupied by the Partnership Entities are occupied by them under valid, subsisting and enforceable contractual arrangements with such exceptions as are not material and do not interfere with the use made and proposed to be made of such property and buildings by the Partnership Entities, otherwise than as set forth or contemplated in the Pricing Prospectus;</w:t>
      </w:r>
    </w:p>
    <w:p>
      <w:pPr>
        <w:sectPr>
          <w:pgSz w:w="11900" w:h="16838" w:orient="portrait"/>
          <w:cols w:equalWidth="0" w:num="1">
            <w:col w:w="11400"/>
          </w:cols>
          <w:pgMar w:left="240" w:top="121" w:right="259" w:bottom="0" w:gutter="0" w:footer="0" w:header="0"/>
        </w:sectPr>
      </w:pPr>
    </w:p>
    <w:bookmarkStart w:id="3" w:name="page4"/>
    <w:bookmarkEnd w:id="3"/>
    <w:p>
      <w:pPr>
        <w:spacing w:after="0" w:line="81" w:lineRule="exact"/>
        <w:rPr>
          <w:sz w:val="20"/>
          <w:szCs w:val="20"/>
          <w:color w:val="auto"/>
        </w:rPr>
      </w:pPr>
    </w:p>
    <w:p>
      <w:pPr>
        <w:ind w:right="220" w:firstLine="656"/>
        <w:spacing w:after="0" w:line="282" w:lineRule="auto"/>
        <w:tabs>
          <w:tab w:leader="none" w:pos="86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Partnership Entities has been duly formed or incorporated and is validly existing as a limited partnership, limited liability company, corporation or other entity,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applicable, in good standing under the laws of its respective jurisdiction of formation or incorporation, with all limited partnership, limited liability company, corporate or other entity power and authority, as applicable, to enter into and perform its obligations under the Operative Agreements to which it is a party, to own or lease and to operate its properties currently owned or leased or to be owned or leased at the First Time of Delivery and any other Time of Delivery (as such terms are defined herein) and to conduct its business as currently conducted or as to be conducted at the First Time of Delivery and any other Time of Delivery, in each case as described in the Pricing Prospectus, except where the failure to be so qualified or in good standing and to have such power or authority would not, individually or in the aggregate, result in a Material Adverse Effect. Each of the Partnership Entities is, and at the First Time of Delivery and any other Time of Delivery will be (i) duly qualified to do business as a foreign limited partnership, limited liability company, corporation or other entity, as applicable, and (ii) is in good standing under the laws of each jurisdictions that requires, and at the First Time of Delivery and any other Time of Delivery will require, such qualification or registration except to the extent that a lack of such qualification would not, individually or in the aggregate, have a Material Adverse Effect or would subject the limited partners of the Partnership to any material liability or disability;</w:t>
      </w:r>
    </w:p>
    <w:p>
      <w:pPr>
        <w:spacing w:after="0" w:line="186" w:lineRule="exact"/>
        <w:rPr>
          <w:sz w:val="20"/>
          <w:szCs w:val="20"/>
          <w:color w:val="auto"/>
        </w:rPr>
      </w:pPr>
    </w:p>
    <w:p>
      <w:pPr>
        <w:ind w:right="400" w:firstLine="656"/>
        <w:spacing w:after="0" w:line="282" w:lineRule="auto"/>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has, and at the First Time of Delivery and any other Time of Delivery thereafter will have, full limited liability company power and authority to act as the general partner of the Partnership in all material respects as described in the Pricing Prospectus;</w:t>
      </w:r>
    </w:p>
    <w:p>
      <w:pPr>
        <w:spacing w:after="0" w:line="161" w:lineRule="exact"/>
        <w:rPr>
          <w:rFonts w:ascii="Times New Roman" w:cs="Times New Roman" w:eastAsia="Times New Roman" w:hAnsi="Times New Roman"/>
          <w:sz w:val="18"/>
          <w:szCs w:val="18"/>
          <w:color w:val="auto"/>
        </w:rPr>
      </w:pPr>
    </w:p>
    <w:p>
      <w:pPr>
        <w:ind w:right="200" w:firstLine="656"/>
        <w:spacing w:after="0" w:line="255" w:lineRule="auto"/>
        <w:tabs>
          <w:tab w:leader="none" w:pos="8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GasLog owns, and at the First Time of Delivery will own, the number of Common Units as set forth in the Pricing Prospectus (the “</w:t>
      </w:r>
      <w:r>
        <w:rPr>
          <w:rFonts w:ascii="Times New Roman" w:cs="Times New Roman" w:eastAsia="Times New Roman" w:hAnsi="Times New Roman"/>
          <w:sz w:val="18"/>
          <w:szCs w:val="18"/>
          <w:u w:val="single" w:color="auto"/>
          <w:color w:val="auto"/>
        </w:rPr>
        <w:t>Sponsor Units</w:t>
      </w:r>
      <w:r>
        <w:rPr>
          <w:rFonts w:ascii="Times New Roman" w:cs="Times New Roman" w:eastAsia="Times New Roman" w:hAnsi="Times New Roman"/>
          <w:sz w:val="18"/>
          <w:szCs w:val="18"/>
          <w:color w:val="auto"/>
        </w:rPr>
        <w:t>”). The Sponsor Units, and the limited partner interests represented thereby, have been duly authorized for issuance and sale and are validly issued in accordance with the limited partnership agreement of the Partnership (as the same may be amended and restated at or prior to the First Time of Delivery, the “</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and are fully paid (to the extent required under the Partnership Agreement) and nonassessable (except as such nonassessability may be affected by Sections 30, 41, 51 and 60 of The Republic of The Marshall Islands Limited Partnership Act (the “</w:t>
      </w:r>
      <w:r>
        <w:rPr>
          <w:rFonts w:ascii="Times New Roman" w:cs="Times New Roman" w:eastAsia="Times New Roman" w:hAnsi="Times New Roman"/>
          <w:sz w:val="18"/>
          <w:szCs w:val="18"/>
          <w:u w:val="single" w:color="auto"/>
          <w:color w:val="auto"/>
        </w:rPr>
        <w:t>Marshall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Islands LP Act</w:t>
      </w:r>
      <w:r>
        <w:rPr>
          <w:rFonts w:ascii="Times New Roman" w:cs="Times New Roman" w:eastAsia="Times New Roman" w:hAnsi="Times New Roman"/>
          <w:sz w:val="18"/>
          <w:szCs w:val="18"/>
          <w:color w:val="auto"/>
        </w:rPr>
        <w:t>”)); and GasLog owns the Sponsor Units free and clear of all liens, encumbrances, security interests, charges, equities or other claims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20" w:firstLine="656"/>
        <w:spacing w:after="0" w:line="261" w:lineRule="auto"/>
        <w:tabs>
          <w:tab w:leader="none" w:pos="85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GasLog owns, and at the First Time of Delivery will own, 100% of the incentive distribution rights of the Partnership (the “</w:t>
      </w:r>
      <w:r>
        <w:rPr>
          <w:rFonts w:ascii="Times New Roman" w:cs="Times New Roman" w:eastAsia="Times New Roman" w:hAnsi="Times New Roman"/>
          <w:sz w:val="18"/>
          <w:szCs w:val="18"/>
          <w:u w:val="single" w:color="auto"/>
          <w:color w:val="auto"/>
        </w:rPr>
        <w:t>Incentive Distribution Rights”)</w:t>
      </w:r>
      <w:r>
        <w:rPr>
          <w:rFonts w:ascii="Times New Roman" w:cs="Times New Roman" w:eastAsia="Times New Roman" w:hAnsi="Times New Roman"/>
          <w:sz w:val="18"/>
          <w:szCs w:val="18"/>
          <w:color w:val="auto"/>
        </w:rPr>
        <w:t>; the Incentive Distribution Rights have been duly authorized for issuance and sale, are validly issued in accordance with the Partnership Agreement and are fully paid (to the extent required under the Partnership Agreement) and nonassessable (except as such nonassessability may be affected by Sections 30, 41, 51 and 60 of the Marshall Islands LP Act); and GasLog owns the Incentive Distribution Rights free and clear of all Liens;</w:t>
      </w:r>
    </w:p>
    <w:p>
      <w:pPr>
        <w:spacing w:after="0" w:line="180" w:lineRule="exact"/>
        <w:rPr>
          <w:rFonts w:ascii="Times New Roman" w:cs="Times New Roman" w:eastAsia="Times New Roman" w:hAnsi="Times New Roman"/>
          <w:sz w:val="18"/>
          <w:szCs w:val="18"/>
          <w:color w:val="auto"/>
        </w:rPr>
      </w:pPr>
    </w:p>
    <w:p>
      <w:pPr>
        <w:ind w:right="120" w:firstLine="656"/>
        <w:spacing w:after="0" w:line="261" w:lineRule="auto"/>
        <w:tabs>
          <w:tab w:leader="none" w:pos="94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General Partner owns, and at the First Time of Delivery will own, the general partner units, representing a 2% general partner interest in the Partnership (the “</w:t>
      </w:r>
      <w:r>
        <w:rPr>
          <w:rFonts w:ascii="Times New Roman" w:cs="Times New Roman" w:eastAsia="Times New Roman" w:hAnsi="Times New Roman"/>
          <w:sz w:val="18"/>
          <w:szCs w:val="18"/>
          <w:u w:val="single" w:color="auto"/>
          <w:color w:val="auto"/>
        </w:rPr>
        <w:t>General Partner Interest</w:t>
      </w:r>
      <w:r>
        <w:rPr>
          <w:rFonts w:ascii="Times New Roman" w:cs="Times New Roman" w:eastAsia="Times New Roman" w:hAnsi="Times New Roman"/>
          <w:sz w:val="18"/>
          <w:szCs w:val="18"/>
          <w:color w:val="auto"/>
        </w:rPr>
        <w:t>”). The General Partner Interest has been duly authorized for issuance and sale, is validly issued in accordance with the Partnership Agreement and is fully paid (to the extent required under the Partnership Agreement) and nonassessable (except as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nonassessability may be affected by Sections 30, 41, 51 and 60 of the Marshall Islands LP Act); and the General Partner owns the General Partner Interest free and clear of all Liens;</w:t>
      </w:r>
    </w:p>
    <w:p>
      <w:pPr>
        <w:spacing w:after="0" w:line="162" w:lineRule="exact"/>
        <w:rPr>
          <w:sz w:val="20"/>
          <w:szCs w:val="20"/>
          <w:color w:val="auto"/>
        </w:rPr>
      </w:pPr>
    </w:p>
    <w:p>
      <w:pPr>
        <w:ind w:right="100" w:firstLine="656"/>
        <w:spacing w:after="0" w:line="25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GasLog directly owns, and at the First Time of Delivery will own, 100% of the limited liability company interest in the General Partner, such limited liability company interest has been duly authorized and validly issued in accordance with the limited liability company agreement of the General Partner (as the same may be amended and restated at or prior to the First Time of Delivery, the “</w:t>
      </w:r>
      <w:r>
        <w:rPr>
          <w:rFonts w:ascii="Times New Roman" w:cs="Times New Roman" w:eastAsia="Times New Roman" w:hAnsi="Times New Roman"/>
          <w:sz w:val="18"/>
          <w:szCs w:val="18"/>
          <w:u w:val="single" w:color="auto"/>
          <w:color w:val="auto"/>
        </w:rPr>
        <w:t>General Partner LLC Agreement</w:t>
      </w:r>
      <w:r>
        <w:rPr>
          <w:rFonts w:ascii="Times New Roman" w:cs="Times New Roman" w:eastAsia="Times New Roman" w:hAnsi="Times New Roman"/>
          <w:sz w:val="18"/>
          <w:szCs w:val="18"/>
          <w:color w:val="auto"/>
        </w:rPr>
        <w:t>”) and is fully paid (to the extent required by the General Partner LLC Agreement) and nonassessable (except as such nonassessability may be affected by Sections 20, 31, 40 and 49 of The Republic of The Marshall Islands Limited Liability Company Act of 1996 (the “</w:t>
      </w:r>
      <w:r>
        <w:rPr>
          <w:rFonts w:ascii="Times New Roman" w:cs="Times New Roman" w:eastAsia="Times New Roman" w:hAnsi="Times New Roman"/>
          <w:sz w:val="18"/>
          <w:szCs w:val="18"/>
          <w:u w:val="single" w:color="auto"/>
          <w:color w:val="auto"/>
        </w:rPr>
        <w:t>Marshall Islands LLC Act</w:t>
      </w:r>
      <w:r>
        <w:rPr>
          <w:rFonts w:ascii="Times New Roman" w:cs="Times New Roman" w:eastAsia="Times New Roman" w:hAnsi="Times New Roman"/>
          <w:sz w:val="18"/>
          <w:szCs w:val="18"/>
          <w:color w:val="auto"/>
        </w:rPr>
        <w:t>”)); and GasLog owns such limited liability company interest free and clear of all Liens;</w:t>
      </w:r>
    </w:p>
    <w:p>
      <w:pPr>
        <w:spacing w:after="0" w:line="187" w:lineRule="exact"/>
        <w:rPr>
          <w:rFonts w:ascii="Times New Roman" w:cs="Times New Roman" w:eastAsia="Times New Roman" w:hAnsi="Times New Roman"/>
          <w:sz w:val="18"/>
          <w:szCs w:val="18"/>
          <w:color w:val="auto"/>
        </w:rPr>
      </w:pPr>
    </w:p>
    <w:p>
      <w:pPr>
        <w:ind w:firstLine="656"/>
        <w:spacing w:after="0" w:line="256"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Partnership directly owns, and at the First Time of Delivery will directly own, 100% of the limited liability company interest in the Operating Company; such limited liability company interest has been duly authorized and validly issued in accordance with the limited liability company agreement of the Operating Company (as the same may be amended and restated at or prior to the First Time of Delivery, the “</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and is fully paid (to the extent required under the Operating Company LLC Agreement) and nonassessable (except as such nonassessability may be affected by Sections 20, 31, 40 and 49 of the Marshall Islands LLC Act); and the Partnership owns such limited liability company interest free and clear of all Liens;</w:t>
      </w:r>
    </w:p>
    <w:p>
      <w:pPr>
        <w:spacing w:after="0" w:line="187" w:lineRule="exact"/>
        <w:rPr>
          <w:rFonts w:ascii="Times New Roman" w:cs="Times New Roman" w:eastAsia="Times New Roman" w:hAnsi="Times New Roman"/>
          <w:sz w:val="18"/>
          <w:szCs w:val="18"/>
          <w:color w:val="auto"/>
        </w:rPr>
      </w:pPr>
    </w:p>
    <w:p>
      <w:pPr>
        <w:ind w:right="40" w:firstLine="656"/>
        <w:spacing w:after="0" w:line="255" w:lineRule="auto"/>
        <w:tabs>
          <w:tab w:leader="none" w:pos="89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the Operating Company owns, and at the First Time of Delivery will directly own, 100% of the equity interests in each of the Operating Subsidiaries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such equity interests have been duly authorized and validly issued in accordance with the respective bye-laws of each Operating Subsidiary (as the same may be amended or restated at or prior to the First Time of Delivery, the “</w:t>
      </w:r>
      <w:r>
        <w:rPr>
          <w:rFonts w:ascii="Times New Roman" w:cs="Times New Roman" w:eastAsia="Times New Roman" w:hAnsi="Times New Roman"/>
          <w:sz w:val="18"/>
          <w:szCs w:val="18"/>
          <w:u w:val="single" w:color="auto"/>
          <w:color w:val="auto"/>
        </w:rPr>
        <w:t>Operating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and together with the Partnership Agreement, the General Partner LLC Agreement and the Operating Company LLC Agreement, the “</w:t>
      </w:r>
      <w:r>
        <w:rPr>
          <w:rFonts w:ascii="Times New Roman" w:cs="Times New Roman" w:eastAsia="Times New Roman" w:hAnsi="Times New Roman"/>
          <w:sz w:val="18"/>
          <w:szCs w:val="18"/>
          <w:u w:val="single" w:color="auto"/>
          <w:color w:val="auto"/>
        </w:rPr>
        <w:t>Partnership Entities Organizational Agreements</w:t>
      </w:r>
      <w:r>
        <w:rPr>
          <w:rFonts w:ascii="Times New Roman" w:cs="Times New Roman" w:eastAsia="Times New Roman" w:hAnsi="Times New Roman"/>
          <w:sz w:val="18"/>
          <w:szCs w:val="18"/>
          <w:color w:val="auto"/>
        </w:rPr>
        <w:t>”) and are fully paid (to the extent required under the Operating Subsidiaries Organizational Documents) and non-assessable (except as such nonassessability may be affected by the applicable statutes of the jurisdiction of formation of the applicable Operating Subsidiary and the Operating Subsidiaries Organizational Documents); and the Operating Company owns each of such equity interests free and clear of all Liens;</w:t>
      </w:r>
    </w:p>
    <w:p>
      <w:pPr>
        <w:spacing w:after="0" w:line="185" w:lineRule="exact"/>
        <w:rPr>
          <w:rFonts w:ascii="Times New Roman" w:cs="Times New Roman" w:eastAsia="Times New Roman" w:hAnsi="Times New Roman"/>
          <w:sz w:val="18"/>
          <w:szCs w:val="18"/>
          <w:color w:val="auto"/>
        </w:rPr>
      </w:pPr>
    </w:p>
    <w:p>
      <w:pPr>
        <w:ind w:right="240" w:firstLine="656"/>
        <w:spacing w:after="0" w:line="266"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in </w:t>
      </w:r>
      <w:r>
        <w:rPr>
          <w:rFonts w:ascii="Times New Roman" w:cs="Times New Roman" w:eastAsia="Times New Roman" w:hAnsi="Times New Roman"/>
          <w:sz w:val="18"/>
          <w:szCs w:val="18"/>
          <w:u w:val="single" w:color="auto"/>
          <w:color w:val="auto"/>
        </w:rPr>
        <w:t>Sections 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1(p)</w:t>
      </w:r>
      <w:r>
        <w:rPr>
          <w:rFonts w:ascii="Times New Roman" w:cs="Times New Roman" w:eastAsia="Times New Roman" w:hAnsi="Times New Roman"/>
          <w:sz w:val="18"/>
          <w:szCs w:val="18"/>
          <w:color w:val="auto"/>
        </w:rPr>
        <w:t xml:space="preserve"> herein, none of the Partnership Entities owns, or, at the First Time of Delivery or any other Time of Delivery, will own, directly or indirectly, any equity or long-term debt securities of any corporation, partnership, limited liability company, joint venture, association or other entity;</w:t>
      </w:r>
    </w:p>
    <w:p>
      <w:pPr>
        <w:spacing w:after="0" w:line="176"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First Time of Delivery, assuming no exercise of the option provided in Section 2, the issued and outstanding limited partner interests of the Partnership will consist of the number of Common Units, Series A Preference Units, and the Incentive Distribution Rights as set forth under the caption “Cash and Capitalization” in the Pricing Prospectus;</w:t>
      </w:r>
    </w:p>
    <w:p>
      <w:pPr>
        <w:sectPr>
          <w:pgSz w:w="11900" w:h="16919" w:orient="portrait"/>
          <w:cols w:equalWidth="0" w:num="1">
            <w:col w:w="11420"/>
          </w:cols>
          <w:pgMar w:left="240" w:top="121" w:right="239" w:bottom="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55"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sold by the Partnership pursuant to this Agreement, and the limited partner interests represented thereby, have been duly authorized for issuance and sale to the Underwriters in accordance with this Agreement and the Partnership Agreement, and when issued and delivered by the Partnership pursuant to this Agreement against payment of the consideration set forth herein, will be validly issued, fully paid (to the extent required under the Partnership Agreement) and nonassessable (except as such nonassessability may be affected by matters described in Sections 30, 41, 51 and 60 of the Marshall Islands LP Act), will conform in all material respects to the information in the Pricing Prospectus and to the description of such Securities contained in the Final Prospectus; the unitholders of the Partnership do not and will not have preemptive rights with respect to the Series B Preference Units; and none of the outstanding Series B Preference Units of the Partnership have been issued in violation of any preemptive or similar rights of any security holder;</w:t>
      </w:r>
    </w:p>
    <w:p>
      <w:pPr>
        <w:spacing w:after="0" w:line="189" w:lineRule="exact"/>
        <w:rPr>
          <w:rFonts w:ascii="Times New Roman" w:cs="Times New Roman" w:eastAsia="Times New Roman" w:hAnsi="Times New Roman"/>
          <w:sz w:val="18"/>
          <w:szCs w:val="18"/>
          <w:color w:val="auto"/>
        </w:rPr>
      </w:pPr>
    </w:p>
    <w:p>
      <w:pPr>
        <w:ind w:firstLine="656"/>
        <w:spacing w:after="0" w:line="252" w:lineRule="auto"/>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 and sale of the Securities and the execution, delivery and performance of the terms of the Operative Agreements by the Partnership Entities party thereto, and the consummation of the transactions by the Partnership Entities, as applicable, set forth herein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Partnership Entities, under any indenture, mortgage, deed of trust, loan agreement or other agreement or instrument, including the instruments listed on </w:t>
      </w:r>
      <w:r>
        <w:rPr>
          <w:rFonts w:ascii="Times New Roman" w:cs="Times New Roman" w:eastAsia="Times New Roman" w:hAnsi="Times New Roman"/>
          <w:sz w:val="18"/>
          <w:szCs w:val="18"/>
          <w:u w:val="single" w:color="auto"/>
          <w:color w:val="auto"/>
        </w:rPr>
        <w:t>Schedule IX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Specified Agreements</w:t>
      </w:r>
      <w:r>
        <w:rPr>
          <w:rFonts w:ascii="Times New Roman" w:cs="Times New Roman" w:eastAsia="Times New Roman" w:hAnsi="Times New Roman"/>
          <w:sz w:val="18"/>
          <w:szCs w:val="18"/>
          <w:color w:val="auto"/>
        </w:rPr>
        <w:t>”), or give any person the right to terminate any agreement or contract to which any Partnership Entity is a party or by which any Partnership Entity is bound or to which any of the property or assets of the Partnership Entities is subject; and (ii) will not result in any violation of (A) any of the Partnership Entities Organizational Agreements or (B) any statute or any order, rule or regulation of any court or governmental agency or body having jurisdiction over the Partnership Entities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or the consummation by the Partnership Entities of the transactions contemplated by this Agreement,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w:t>
      </w:r>
      <w:r>
        <w:rPr>
          <w:rFonts w:ascii="Times New Roman" w:cs="Times New Roman" w:eastAsia="Times New Roman" w:hAnsi="Times New Roman"/>
          <w:sz w:val="18"/>
          <w:szCs w:val="18"/>
          <w:u w:val="single" w:color="auto"/>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Partnership Entities (for the avoidance of doubt, Debt Repayment Triggering Event excludes any put right that is not triggered by the occurrence of an extraordinary event);</w:t>
      </w:r>
    </w:p>
    <w:p>
      <w:pPr>
        <w:spacing w:after="0" w:line="193" w:lineRule="exact"/>
        <w:rPr>
          <w:rFonts w:ascii="Times New Roman" w:cs="Times New Roman" w:eastAsia="Times New Roman" w:hAnsi="Times New Roman"/>
          <w:sz w:val="18"/>
          <w:szCs w:val="18"/>
          <w:color w:val="auto"/>
        </w:rPr>
      </w:pPr>
    </w:p>
    <w:p>
      <w:pPr>
        <w:ind w:right="200" w:firstLine="656"/>
        <w:spacing w:after="0" w:line="282" w:lineRule="auto"/>
        <w:tabs>
          <w:tab w:leader="none" w:pos="8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First Time of Delivery, each of the Operative Agreements, the Partnership Entities Organizational Agreements and the other instruments listed on </w:t>
      </w:r>
      <w:r>
        <w:rPr>
          <w:rFonts w:ascii="Times New Roman" w:cs="Times New Roman" w:eastAsia="Times New Roman" w:hAnsi="Times New Roman"/>
          <w:sz w:val="18"/>
          <w:szCs w:val="18"/>
          <w:u w:val="single" w:color="auto"/>
          <w:color w:val="auto"/>
        </w:rPr>
        <w:t>Schedule VII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Covered Agreements</w:t>
      </w:r>
      <w:r>
        <w:rPr>
          <w:rFonts w:ascii="Times New Roman" w:cs="Times New Roman" w:eastAsia="Times New Roman" w:hAnsi="Times New Roman"/>
          <w:sz w:val="18"/>
          <w:szCs w:val="18"/>
          <w:color w:val="auto"/>
        </w:rPr>
        <w:t>”) hereto, as applicable, has been duly authorized, executed and delivered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7"/>
          <w:szCs w:val="17"/>
          <w:color w:val="auto"/>
        </w:rPr>
        <w:t xml:space="preserve">by the Partnership Entities party thereto, and each such agreement is a valid and legally binding agreement of each such Partnership Entity, enforceable against such party in accordance with its terms;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with respect to each such agreement, the enforceability thereof may be limited by</w:t>
      </w:r>
    </w:p>
    <w:p>
      <w:pPr>
        <w:spacing w:after="0" w:line="1" w:lineRule="exact"/>
        <w:rPr>
          <w:sz w:val="20"/>
          <w:szCs w:val="20"/>
          <w:color w:val="auto"/>
        </w:rPr>
      </w:pPr>
    </w:p>
    <w:p>
      <w:pPr>
        <w:ind w:right="40" w:firstLine="8"/>
        <w:spacing w:after="0" w:line="253" w:lineRule="auto"/>
        <w:tabs>
          <w:tab w:leader="none" w:pos="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bankruptcy, insolvency, fraudulent transfer, reorganization, moratorium and similar laws relating to or affecting creditors’ rights and remedies generally and by general principles of equity (regardless of whether such enforceability is considered in a proceeding in equity or at law) and (B) public policy, applicable law relating to fiduciary duties and indemnification and an implied covenant of good faith and fair dealing. The Operative Agreements, the Partnership Entities Organizational Agreements and the Covered Agreements referenced above are herein collectively referred to as the “</w:t>
      </w:r>
      <w:r>
        <w:rPr>
          <w:rFonts w:ascii="Times New Roman" w:cs="Times New Roman" w:eastAsia="Times New Roman" w:hAnsi="Times New Roman"/>
          <w:sz w:val="18"/>
          <w:szCs w:val="18"/>
          <w:u w:val="single" w:color="auto"/>
          <w:color w:val="auto"/>
        </w:rPr>
        <w:t>Operative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56"/>
        <w:spacing w:after="0" w:line="256" w:lineRule="auto"/>
        <w:tabs>
          <w:tab w:leader="none" w:pos="94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is (i) in violation of its respective organizational or governing documents, (ii) in violation of any applicable statute, law, rule, regulation, judgment, order or decree of any competent court, regulatory body, administrative agency, governmental body, arbitrator or other authority or (iii) 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187" w:lineRule="exact"/>
        <w:rPr>
          <w:rFonts w:ascii="Times New Roman" w:cs="Times New Roman" w:eastAsia="Times New Roman" w:hAnsi="Times New Roman"/>
          <w:sz w:val="18"/>
          <w:szCs w:val="18"/>
          <w:color w:val="auto"/>
        </w:rPr>
      </w:pPr>
    </w:p>
    <w:p>
      <w:pPr>
        <w:ind w:right="120" w:firstLine="656"/>
        <w:spacing w:after="0" w:line="266" w:lineRule="auto"/>
        <w:tabs>
          <w:tab w:leader="none" w:pos="90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is currently prohibited, directly or indirectly, from paying any cash distributions to any other Partnership Entity, from making any other distribution on such entity’s equity securities, or from transferring any of such entity’s property or assets to any other Partnership Entity, except as described in the Pricing Prospectus;</w:t>
      </w:r>
    </w:p>
    <w:p>
      <w:pPr>
        <w:spacing w:after="0" w:line="176" w:lineRule="exact"/>
        <w:rPr>
          <w:rFonts w:ascii="Times New Roman" w:cs="Times New Roman" w:eastAsia="Times New Roman" w:hAnsi="Times New Roman"/>
          <w:sz w:val="18"/>
          <w:szCs w:val="18"/>
          <w:color w:val="auto"/>
        </w:rPr>
      </w:pPr>
    </w:p>
    <w:p>
      <w:pPr>
        <w:ind w:right="40" w:firstLine="656"/>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Partnership Parties and any person that would give rise to a valid claim against the Partnership or any Underwriter for a brokerage commission, finder’s fee or other like payment in connection with the issuance and sale of the Securities;</w:t>
      </w:r>
    </w:p>
    <w:p>
      <w:pPr>
        <w:spacing w:after="0" w:line="161" w:lineRule="exact"/>
        <w:rPr>
          <w:rFonts w:ascii="Times New Roman" w:cs="Times New Roman" w:eastAsia="Times New Roman" w:hAnsi="Times New Roman"/>
          <w:sz w:val="18"/>
          <w:szCs w:val="18"/>
          <w:color w:val="auto"/>
        </w:rPr>
      </w:pPr>
    </w:p>
    <w:p>
      <w:pPr>
        <w:ind w:firstLine="656"/>
        <w:spacing w:after="0" w:line="261" w:lineRule="auto"/>
        <w:tabs>
          <w:tab w:leader="none" w:pos="8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set forth or incorporated by reference in the Pricing Prospectus and Final Prospectus under the captions “Description of the Series B Preference Units”, “Summary of Our Partnership Agreement”, “Material U.S. Federal Income Tax Considerations”, and “Non-United States Tax Considerations”, insofar as such statements purport to summarize legal matters, agreements, documents or proceedings discussed therein, are accurate and fair summaries of such legal matters, agreements, documents or proceedings and present the information required to be shown;</w:t>
      </w:r>
    </w:p>
    <w:p>
      <w:pPr>
        <w:spacing w:after="0" w:line="180" w:lineRule="exact"/>
        <w:rPr>
          <w:sz w:val="20"/>
          <w:szCs w:val="20"/>
          <w:color w:val="auto"/>
        </w:rPr>
      </w:pPr>
    </w:p>
    <w:p>
      <w:pPr>
        <w:ind w:right="160" w:firstLine="656"/>
        <w:spacing w:after="0" w:line="266" w:lineRule="auto"/>
        <w:tabs>
          <w:tab w:leader="none" w:pos="97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business relationships or related-party transactions involving the Partnership Entities or any other person required to be described in the Registration Statement, Pricing Prospectus and Final Prospectus which have not been described as required or through incorporation by reference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252" w:gutter="0" w:footer="0" w:header="0"/>
        </w:sectPr>
      </w:pPr>
    </w:p>
    <w:bookmarkStart w:id="5" w:name="page6"/>
    <w:bookmarkEnd w:id="5"/>
    <w:p>
      <w:pPr>
        <w:spacing w:after="0" w:line="118" w:lineRule="exact"/>
        <w:rPr>
          <w:sz w:val="20"/>
          <w:szCs w:val="20"/>
          <w:color w:val="auto"/>
        </w:rPr>
      </w:pPr>
    </w:p>
    <w:p>
      <w:pPr>
        <w:ind w:right="120" w:firstLine="656"/>
        <w:spacing w:after="0" w:line="266"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statistical and market-related data included in the Pricing Prospectus and Final Prospectus are based on or derived from sources that the Partnership Parties reasonably believe to be reliable and accurate, and the Partnership Parties have obtained the written consent for the use of such data from such sources to the extent required;</w:t>
      </w:r>
    </w:p>
    <w:p>
      <w:pPr>
        <w:spacing w:after="0" w:line="176" w:lineRule="exact"/>
        <w:rPr>
          <w:rFonts w:ascii="Times New Roman" w:cs="Times New Roman" w:eastAsia="Times New Roman" w:hAnsi="Times New Roman"/>
          <w:sz w:val="18"/>
          <w:szCs w:val="18"/>
          <w:color w:val="auto"/>
        </w:rPr>
      </w:pPr>
    </w:p>
    <w:p>
      <w:pPr>
        <w:ind w:right="280" w:firstLine="656"/>
        <w:spacing w:after="0" w:line="282" w:lineRule="auto"/>
        <w:tabs>
          <w:tab w:leader="none" w:pos="9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Act and Section 21E of the Exchange Act) contained in the Pricing Prospectus has been made or reaffirmed without a reasonable basis or has been disclosed other than in good faith;</w:t>
      </w:r>
    </w:p>
    <w:p>
      <w:pPr>
        <w:spacing w:after="0" w:line="161" w:lineRule="exact"/>
        <w:rPr>
          <w:rFonts w:ascii="Times New Roman" w:cs="Times New Roman" w:eastAsia="Times New Roman" w:hAnsi="Times New Roman"/>
          <w:sz w:val="18"/>
          <w:szCs w:val="18"/>
          <w:color w:val="auto"/>
        </w:rPr>
      </w:pPr>
    </w:p>
    <w:p>
      <w:pPr>
        <w:ind w:right="140" w:firstLine="656"/>
        <w:spacing w:after="0" w:line="261" w:lineRule="auto"/>
        <w:tabs>
          <w:tab w:leader="none" w:pos="99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to which any of the Partnership Entities is a party or of which any property of the Partnership Entities is the subject or, to the Partnership Parties’ knowledge, after due inquiry, to which any of the Partnership Entities’ directors or executive officers is a party, which, if determined adversely to any such entity, would individually or in the aggregate have a Material Adverse Effect; and, to the Partnership Parties’ knowledge, no such proceedings are threatened or contemplated by governmental authorities or threatened by others;</w:t>
      </w:r>
    </w:p>
    <w:p>
      <w:pPr>
        <w:spacing w:after="0" w:line="180" w:lineRule="exact"/>
        <w:rPr>
          <w:rFonts w:ascii="Times New Roman" w:cs="Times New Roman" w:eastAsia="Times New Roman" w:hAnsi="Times New Roman"/>
          <w:sz w:val="18"/>
          <w:szCs w:val="18"/>
          <w:color w:val="auto"/>
        </w:rPr>
      </w:pPr>
    </w:p>
    <w:p>
      <w:pPr>
        <w:ind w:firstLine="656"/>
        <w:spacing w:after="0" w:line="252" w:lineRule="auto"/>
        <w:tabs>
          <w:tab w:leader="none" w:pos="97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(A)(i) to the Partnership Parties’ knowledge, after due inquiry, none of the Partnership Entities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(as defined below), to the protection or restoration of the environment or natural resources (including biota), to health and safety as such relates to exposure to Hazardous Substances, and to natural resource damages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none of the Partnership Entities owns, operates or leases any real property contaminated with Hazardous Substances, (iii) none of the Partnership Entities is conducting or funding any investigation, remediation, remedial action or monitoring of actual or suspected Hazardous Substances in the environment, (iv) none of the Partnership Entities is liable or allegedly liable for any release or threatened release of Hazardous Substances, including at any off-site treatment, storage or disposal site, (v) none of the Partnership Entities is a party to any claim by any governmental agency or governmental body or person relating to Environmental Laws or Hazardous Substances, and (vi) the Partnership Entities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Partnership Parties’ knowledge, there are no facts or circumstances that would reasonably be expected to result in a violation of, liability under, or claim against the Partnership Entities pursuant to any Environmental Law that would have a Material Adverse Effect; and (C) to the Partnership Parties’ knowledge, there are no requirements proposed for adoption or implementation under any Environmental Law that would reasonably be expected to have a Material Adverse Effect. For purposes of this subsection, “</w:t>
      </w:r>
      <w:r>
        <w:rPr>
          <w:rFonts w:ascii="Times New Roman" w:cs="Times New Roman" w:eastAsia="Times New Roman" w:hAnsi="Times New Roman"/>
          <w:sz w:val="18"/>
          <w:szCs w:val="18"/>
          <w:u w:val="single" w:color="auto"/>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Substances</w:t>
      </w:r>
      <w:r>
        <w:rPr>
          <w:rFonts w:ascii="Times New Roman" w:cs="Times New Roman" w:eastAsia="Times New Roman" w:hAnsi="Times New Roman"/>
          <w:sz w:val="18"/>
          <w:szCs w:val="18"/>
          <w:color w:val="auto"/>
        </w:rPr>
        <w:t>” means (x) petroleum and petroleum products, by-products or breakdown products, radioactive materials, asbestos-containing materials, polychlorinated biphenyls and mold and (y) any other chemical, material or substance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or regulated as toxic or hazardous or as a pollutant, contaminant or waste under Environmental Laws;</w:t>
      </w:r>
    </w:p>
    <w:p>
      <w:pPr>
        <w:spacing w:after="0" w:line="225" w:lineRule="exact"/>
        <w:rPr>
          <w:sz w:val="20"/>
          <w:szCs w:val="20"/>
          <w:color w:val="auto"/>
        </w:rPr>
      </w:pPr>
    </w:p>
    <w:p>
      <w:pPr>
        <w:ind w:right="160" w:firstLine="656"/>
        <w:spacing w:after="0" w:line="261" w:lineRule="auto"/>
        <w:tabs>
          <w:tab w:leader="none" w:pos="9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 Partnership Parties have reasonably concluded that none of the Partnership Entities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180" w:lineRule="exact"/>
        <w:rPr>
          <w:rFonts w:ascii="Times New Roman" w:cs="Times New Roman" w:eastAsia="Times New Roman" w:hAnsi="Times New Roman"/>
          <w:sz w:val="18"/>
          <w:szCs w:val="18"/>
          <w:color w:val="auto"/>
        </w:rPr>
      </w:pPr>
    </w:p>
    <w:p>
      <w:pPr>
        <w:ind w:right="80" w:firstLine="656"/>
        <w:spacing w:after="0" w:line="258"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Pricing Prospectus, the Partnership Entities possess all certificates, authorizations and permits issued by the appropriate federal, state or foreign regulatory authorities as necessary for the Partnership Entities to conduct their respective businesses as currently conducted, except as would not individually or in the aggregate have a Material Adverse Effect; and none of the Partnership Entities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83" w:lineRule="exact"/>
        <w:rPr>
          <w:rFonts w:ascii="Times New Roman" w:cs="Times New Roman" w:eastAsia="Times New Roman" w:hAnsi="Times New Roman"/>
          <w:sz w:val="18"/>
          <w:szCs w:val="18"/>
          <w:color w:val="auto"/>
        </w:rPr>
      </w:pPr>
    </w:p>
    <w:p>
      <w:pPr>
        <w:ind w:right="20" w:firstLine="656"/>
        <w:spacing w:after="0" w:line="258"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Entities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none of the Partnership Entities has received any notice of infringement of or conflict with asserted rights of others with respect to any of the foregoing, which if the subject of an unfavorable decision, ruling or finding, would have a Material Adverse Effect;</w:t>
      </w:r>
    </w:p>
    <w:p>
      <w:pPr>
        <w:spacing w:after="0" w:line="183" w:lineRule="exact"/>
        <w:rPr>
          <w:rFonts w:ascii="Times New Roman" w:cs="Times New Roman" w:eastAsia="Times New Roman" w:hAnsi="Times New Roman"/>
          <w:sz w:val="18"/>
          <w:szCs w:val="18"/>
          <w:color w:val="auto"/>
        </w:rPr>
      </w:pPr>
    </w:p>
    <w:p>
      <w:pPr>
        <w:ind w:right="120" w:firstLine="656"/>
        <w:spacing w:after="0" w:line="282"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work stoppage, slow down or other conflict with the employees of the Partnership Parties exists or, to the Partnership Parties’ knowledge, is threatened or contemplated;</w:t>
      </w:r>
    </w:p>
    <w:p>
      <w:pPr>
        <w:spacing w:after="0" w:line="161" w:lineRule="exact"/>
        <w:rPr>
          <w:rFonts w:ascii="Times New Roman" w:cs="Times New Roman" w:eastAsia="Times New Roman" w:hAnsi="Times New Roman"/>
          <w:sz w:val="18"/>
          <w:szCs w:val="18"/>
          <w:color w:val="auto"/>
        </w:rPr>
      </w:pPr>
    </w:p>
    <w:p>
      <w:pPr>
        <w:ind w:right="100" w:firstLine="656"/>
        <w:spacing w:after="0" w:line="258"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Entities and the Vessels are insured by insurers of recognized financial responsibility against such losses and risks and in such amounts as are prudent and customary in the businesses in which they are engaged; none of the Partnership Entities has been refused any insurance coverage sought or applied for; and none of the Partnership Entities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83" w:lineRule="exact"/>
        <w:rPr>
          <w:rFonts w:ascii="Times New Roman" w:cs="Times New Roman" w:eastAsia="Times New Roman" w:hAnsi="Times New Roman"/>
          <w:sz w:val="18"/>
          <w:szCs w:val="18"/>
          <w:color w:val="auto"/>
        </w:rPr>
      </w:pPr>
    </w:p>
    <w:p>
      <w:pPr>
        <w:ind w:right="700" w:firstLine="656"/>
        <w:spacing w:after="0" w:line="282" w:lineRule="auto"/>
        <w:tabs>
          <w:tab w:leader="none" w:pos="99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has any off-balance sheet arrangements, except as described in the Registration Statement, the Pricing Prospectus and the Final Prospectus;</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None of the Partnership Entities or, to the Partnership Parties’ knowledge, any of their respective directors, executive officers, affiliates, employees or agents or other persons associated with or acting on behalf of the Partnership Entities: (i) knowingly does any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313" w:lineRule="auto"/>
        <w:rPr>
          <w:sz w:val="20"/>
          <w:szCs w:val="20"/>
          <w:color w:val="auto"/>
        </w:rPr>
      </w:pPr>
      <w:r>
        <w:rPr>
          <w:rFonts w:ascii="Times New Roman" w:cs="Times New Roman" w:eastAsia="Times New Roman" w:hAnsi="Times New Roman"/>
          <w:sz w:val="17"/>
          <w:szCs w:val="17"/>
          <w:color w:val="auto"/>
        </w:rPr>
        <w:t>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w:t>
      </w:r>
    </w:p>
    <w:p>
      <w:pPr>
        <w:sectPr>
          <w:pgSz w:w="11900" w:h="16957" w:orient="portrait"/>
          <w:cols w:equalWidth="0" w:num="1">
            <w:col w:w="11400"/>
          </w:cols>
          <w:pgMar w:left="240" w:top="337" w:right="259" w:bottom="0" w:gutter="0" w:footer="0" w:header="0"/>
        </w:sectPr>
      </w:pPr>
    </w:p>
    <w:bookmarkStart w:id="6" w:name="page7"/>
    <w:bookmarkEnd w:id="6"/>
    <w:p>
      <w:pPr>
        <w:spacing w:after="0" w:line="3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knowingly supports or facilitates any such business or project, in each case other than as permitted under such economic sanctions; (B) none of the Partnership Parties is controlled (within the meaning of the Executive Orders or regulations promulgating such economic sanctions or the laws authorizing such promulgation) by any such government or person; (C) 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Partnership Parties maintain and have implemented adequate internal controls and procedures to monitor and audit transactions that are reasonably designed to detect and prevent any use of the proceeds from the offering of the Securities contemplated hereby that is inconsistent with any of the representations and obligations under clause (C) of this paragraph or in the Registration Statement, Pricing Prospectus or Final Prospectus;</w:t>
      </w:r>
    </w:p>
    <w:p>
      <w:pPr>
        <w:spacing w:after="0" w:line="185" w:lineRule="exact"/>
        <w:rPr>
          <w:sz w:val="20"/>
          <w:szCs w:val="20"/>
          <w:color w:val="auto"/>
        </w:rPr>
      </w:pPr>
    </w:p>
    <w:p>
      <w:pPr>
        <w:ind w:right="20" w:firstLine="656"/>
        <w:spacing w:after="0" w:line="254" w:lineRule="auto"/>
        <w:tabs>
          <w:tab w:leader="none" w:pos="10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or, to the Partnership Parties’ knowledge, any of their respective directors, executive officers, affiliates, employees or agents or other persons associated with or acting on behalf of the Partnership Entities,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Partnership Entities and, to the knowledge of the Partnership Parties, their respective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89" w:lineRule="exact"/>
        <w:rPr>
          <w:rFonts w:ascii="Times New Roman" w:cs="Times New Roman" w:eastAsia="Times New Roman" w:hAnsi="Times New Roman"/>
          <w:sz w:val="18"/>
          <w:szCs w:val="18"/>
          <w:color w:val="auto"/>
        </w:rPr>
      </w:pPr>
    </w:p>
    <w:p>
      <w:pPr>
        <w:ind w:right="40" w:firstLine="656"/>
        <w:spacing w:after="0" w:line="255" w:lineRule="auto"/>
        <w:tabs>
          <w:tab w:leader="none" w:pos="9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Partnership Entities,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Partnership Entities with respect to the Money Laundering Laws is pending or, to the Partnership Parties’ knowledge, threatened;</w:t>
      </w:r>
    </w:p>
    <w:p>
      <w:pPr>
        <w:spacing w:after="0" w:line="189" w:lineRule="exact"/>
        <w:rPr>
          <w:rFonts w:ascii="Times New Roman" w:cs="Times New Roman" w:eastAsia="Times New Roman" w:hAnsi="Times New Roman"/>
          <w:sz w:val="18"/>
          <w:szCs w:val="18"/>
          <w:color w:val="auto"/>
        </w:rPr>
      </w:pPr>
    </w:p>
    <w:p>
      <w:pPr>
        <w:ind w:right="20" w:firstLine="656"/>
        <w:spacing w:after="0" w:line="282" w:lineRule="auto"/>
        <w:tabs>
          <w:tab w:leader="none" w:pos="9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of the Registration Statement, the Partnership and, to the knowledge of the Partnership Parties, the officers and directors of the Partnership, in their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capacities as such, were, and at the First Time of Delivery will be, in compliance in all material respects with all applicable provisions of the Sarbanes-Oxley Act of 2002 and the rules and regulations promulgated in connection therewith that are then in effect and with which any of them is required to comply, including Section 402 related to loans;</w:t>
      </w:r>
    </w:p>
    <w:p>
      <w:pPr>
        <w:spacing w:after="0" w:line="176" w:lineRule="exact"/>
        <w:rPr>
          <w:sz w:val="20"/>
          <w:szCs w:val="20"/>
          <w:color w:val="auto"/>
        </w:rPr>
      </w:pPr>
    </w:p>
    <w:p>
      <w:pPr>
        <w:ind w:left="1000" w:hanging="34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restrictions on subsequent transfers of the Securities under the laws of the Republic of The Marshall Islands;</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9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Pricing Prospectus, there are no contracts, agreements or understandings between the Partnership Parties and any person granting such person the right to require any of the Partnership Parties to file a registration statement under the Act with respect to any securities of the Partnership Entities or to require the Partnership Parties to include such securities with the securities registered pursuant to the Registration Statement;</w:t>
      </w:r>
    </w:p>
    <w:p>
      <w:pPr>
        <w:spacing w:after="0" w:line="176" w:lineRule="exact"/>
        <w:rPr>
          <w:rFonts w:ascii="Times New Roman" w:cs="Times New Roman" w:eastAsia="Times New Roman" w:hAnsi="Times New Roman"/>
          <w:sz w:val="18"/>
          <w:szCs w:val="18"/>
          <w:color w:val="auto"/>
        </w:rPr>
      </w:pPr>
    </w:p>
    <w:p>
      <w:pPr>
        <w:ind w:right="360" w:firstLine="656"/>
        <w:spacing w:after="0" w:line="282" w:lineRule="auto"/>
        <w:tabs>
          <w:tab w:leader="none" w:pos="9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use commercially reasonable efforts to effect the admission, listing and trading of the Series B Preference Units on the New York Stock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within 30 days of the of the First Time of Delivery;</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9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Parties have taken all necessary actions to comply with all applicable corporate governance requirements of the Exchange that are, or will be, applicable to the Partnership, except for such requirements that have been waived and disclosed in the Pricing Prospectus;</w:t>
      </w:r>
    </w:p>
    <w:p>
      <w:pPr>
        <w:spacing w:after="0" w:line="161" w:lineRule="exact"/>
        <w:rPr>
          <w:rFonts w:ascii="Times New Roman" w:cs="Times New Roman" w:eastAsia="Times New Roman" w:hAnsi="Times New Roman"/>
          <w:sz w:val="18"/>
          <w:szCs w:val="18"/>
          <w:color w:val="auto"/>
        </w:rPr>
      </w:pPr>
    </w:p>
    <w:p>
      <w:pPr>
        <w:ind w:right="460" w:firstLine="656"/>
        <w:spacing w:after="0" w:line="266" w:lineRule="auto"/>
        <w:tabs>
          <w:tab w:leader="none" w:pos="9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Prospectus, the Partnership has not sold, issued or distributed any Securities during the six-month period preceding the date hereof, including any sales pursuant to Rule 144A or Regulation D or S under the Act, other than Common Units issued pursuant to employee benefit plans, qualified option plans or other employee compensation plans or pursuant to outstanding options, rights or warrants;</w:t>
      </w:r>
    </w:p>
    <w:p>
      <w:pPr>
        <w:spacing w:after="0" w:line="176" w:lineRule="exact"/>
        <w:rPr>
          <w:rFonts w:ascii="Times New Roman" w:cs="Times New Roman" w:eastAsia="Times New Roman" w:hAnsi="Times New Roman"/>
          <w:sz w:val="18"/>
          <w:szCs w:val="18"/>
          <w:color w:val="auto"/>
        </w:rPr>
      </w:pPr>
    </w:p>
    <w:p>
      <w:pPr>
        <w:ind w:right="280" w:firstLine="656"/>
        <w:spacing w:after="0" w:line="266" w:lineRule="auto"/>
        <w:tabs>
          <w:tab w:leader="none" w:pos="9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has taken, directly or indirectly, any action which was designed to or which has constituted or which might reasonably be expected to cause or result in stabilization or manipulation of the price of any security of the Partnership to facilitate the sale or resale of the Securities;</w:t>
      </w:r>
    </w:p>
    <w:p>
      <w:pPr>
        <w:spacing w:after="0" w:line="176" w:lineRule="exact"/>
        <w:rPr>
          <w:rFonts w:ascii="Times New Roman" w:cs="Times New Roman" w:eastAsia="Times New Roman" w:hAnsi="Times New Roman"/>
          <w:sz w:val="18"/>
          <w:szCs w:val="18"/>
          <w:color w:val="auto"/>
        </w:rPr>
      </w:pPr>
    </w:p>
    <w:p>
      <w:pPr>
        <w:ind w:right="120" w:firstLine="656"/>
        <w:spacing w:after="0" w:line="266" w:lineRule="auto"/>
        <w:tabs>
          <w:tab w:leader="none" w:pos="9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there shall not have occurred any downgrading in the rating of any debt securities of the Partnership Parties by any “nationally recognized statistical rating organization” (as defined in Section 3(a)(62) of the Exchange Act), or any public announcement that any such organization has under surveillance or review its rating of any debt securities of the Partnership Parties;</w:t>
      </w:r>
    </w:p>
    <w:p>
      <w:pPr>
        <w:spacing w:after="0" w:line="176" w:lineRule="exact"/>
        <w:rPr>
          <w:rFonts w:ascii="Times New Roman" w:cs="Times New Roman" w:eastAsia="Times New Roman" w:hAnsi="Times New Roman"/>
          <w:sz w:val="18"/>
          <w:szCs w:val="18"/>
          <w:color w:val="auto"/>
        </w:rPr>
      </w:pPr>
    </w:p>
    <w:p>
      <w:pPr>
        <w:ind w:right="160" w:firstLine="656"/>
        <w:spacing w:after="0" w:line="282" w:lineRule="auto"/>
        <w:tabs>
          <w:tab w:leader="none" w:pos="10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not and, after giving effect to the offering and sale of the Securities and the application of the proceeds thereof,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98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filing the Registration Statement and as of the Applicable Time, the Partnership was not and is not an “ineligible issuer”, as defined under Rule 405 under the Act;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82" w:lineRule="auto"/>
        <w:tabs>
          <w:tab w:leader="none" w:pos="9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Registration Statement and subject to the limitations and restrictions described therein, the Partnership Parties believe that the Partnership should not be a “passive foreign investment company” as defined in the Internal Revenue Code of 1986, as amended;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a “foreign private issuer” as defined in Rule 405 under the Act;</w:t>
      </w:r>
    </w:p>
    <w:p>
      <w:pPr>
        <w:sectPr>
          <w:pgSz w:w="11900" w:h="16870" w:orient="portrait"/>
          <w:cols w:equalWidth="0" w:num="1">
            <w:col w:w="11400"/>
          </w:cols>
          <w:pgMar w:left="240" w:top="121" w:right="259" w:bottom="0" w:gutter="0" w:footer="0" w:header="0"/>
        </w:sectPr>
      </w:pPr>
    </w:p>
    <w:bookmarkStart w:id="7" w:name="page8"/>
    <w:bookmarkEnd w:id="7"/>
    <w:p>
      <w:pPr>
        <w:spacing w:after="0" w:line="73" w:lineRule="exact"/>
        <w:rPr>
          <w:sz w:val="20"/>
          <w:szCs w:val="20"/>
          <w:color w:val="auto"/>
        </w:rPr>
      </w:pPr>
    </w:p>
    <w:p>
      <w:pPr>
        <w:ind w:right="340" w:firstLine="656"/>
        <w:spacing w:after="0" w:line="261" w:lineRule="auto"/>
        <w:tabs>
          <w:tab w:leader="none" w:pos="105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Pricing Prospectus, there are no affiliations or associations between any member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and the Partnership Entities and, to the Partnership Parties’ knowledge, there are no affiliations or associations between</w:t>
      </w:r>
    </w:p>
    <w:p>
      <w:pPr>
        <w:ind w:firstLine="8"/>
        <w:spacing w:after="0" w:line="255" w:lineRule="auto"/>
        <w:tabs>
          <w:tab w:leader="none" w:pos="2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FINRA and (b) any member of the Partnership’s officers, directors or 5% or greater security holders or any beneficial owner of the Partnership’s unregistered equity securities that were acquired at any time on or after the 180th day immediately preceding the date the Registration Statement was initially submitted to the Commission;</w:t>
      </w:r>
    </w:p>
    <w:p>
      <w:pPr>
        <w:spacing w:after="0" w:line="186" w:lineRule="exact"/>
        <w:rPr>
          <w:rFonts w:ascii="Times New Roman" w:cs="Times New Roman" w:eastAsia="Times New Roman" w:hAnsi="Times New Roman"/>
          <w:sz w:val="18"/>
          <w:szCs w:val="18"/>
          <w:color w:val="auto"/>
        </w:rPr>
      </w:pPr>
    </w:p>
    <w:p>
      <w:pPr>
        <w:ind w:right="440" w:firstLine="656"/>
        <w:spacing w:after="0" w:line="266" w:lineRule="auto"/>
        <w:tabs>
          <w:tab w:leader="none" w:pos="10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Deloitte LLP, who have certified certain financial statements included or incorporated by reference in the Registration Statement, Pricing Prospectus and Final Prospectus, are independent public accountants with respect to the Partnership Entities as required by the Act and the rules and regulations of the Commission thereunder;</w:t>
      </w:r>
    </w:p>
    <w:p>
      <w:pPr>
        <w:spacing w:after="0" w:line="176" w:lineRule="exact"/>
        <w:rPr>
          <w:rFonts w:ascii="Times New Roman" w:cs="Times New Roman" w:eastAsia="Times New Roman" w:hAnsi="Times New Roman"/>
          <w:sz w:val="18"/>
          <w:szCs w:val="18"/>
          <w:color w:val="auto"/>
        </w:rPr>
      </w:pPr>
    </w:p>
    <w:p>
      <w:pPr>
        <w:ind w:right="20" w:firstLine="656"/>
        <w:spacing w:after="0" w:line="256" w:lineRule="auto"/>
        <w:tabs>
          <w:tab w:leader="none" w:pos="10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maintains a system of internal control over financial reporting (as such term is defined in Rule 13a-15(f) under the Exchange Act) sufficient to provide reasonable assurance regarding the reliability of financial reporting and the preparation of financial statements for external purposes in accordance with international financial reporting standards as adopted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and such system will comply in all material respects with the requirements of the Exchange Act when so required. Except as set forth in the Pricing Prospectus, the Partnership’s internal control over financial reporting is effective, and the Partnership is not aware of any material weaknesses in its internal control over financial reporting;</w:t>
      </w:r>
    </w:p>
    <w:p>
      <w:pPr>
        <w:spacing w:after="0" w:line="187" w:lineRule="exact"/>
        <w:rPr>
          <w:rFonts w:ascii="Times New Roman" w:cs="Times New Roman" w:eastAsia="Times New Roman" w:hAnsi="Times New Roman"/>
          <w:sz w:val="18"/>
          <w:szCs w:val="18"/>
          <w:color w:val="auto"/>
        </w:rPr>
      </w:pPr>
    </w:p>
    <w:p>
      <w:pPr>
        <w:ind w:right="160" w:firstLine="656"/>
        <w:spacing w:after="0" w:line="266" w:lineRule="auto"/>
        <w:tabs>
          <w:tab w:leader="none" w:pos="108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latest audited financial statements included or incorporated by reference in the Pricing Prospectus, there has been no change in the Partnership’s internal control over financial reporting that has materially affected, or is reasonably likely to materially affect, the Partnership’s internal control over financial reporting (each an “</w:t>
      </w:r>
      <w:r>
        <w:rPr>
          <w:rFonts w:ascii="Times New Roman" w:cs="Times New Roman" w:eastAsia="Times New Roman" w:hAnsi="Times New Roman"/>
          <w:sz w:val="18"/>
          <w:szCs w:val="18"/>
          <w:u w:val="single" w:color="auto"/>
          <w:color w:val="auto"/>
        </w:rPr>
        <w:t>Internal Control Event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right="100" w:firstLine="656"/>
        <w:spacing w:after="0" w:line="261" w:lineRule="auto"/>
        <w:tabs>
          <w:tab w:leader="none" w:pos="1053"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maintains disclosure controls and procedures (as such term is defined in Rule 13a-15(e) under the Exchange Act) that comply with the requirements of the Exchange Act; such disclosure controls and procedures have been designed to ensure that material information relating to the Partnership and its subsidiaries is made known to the Partnership’s principal executive officer and principal financial officer by others within those entities; and such disclosure controls and procedures are effective;</w:t>
      </w:r>
    </w:p>
    <w:p>
      <w:pPr>
        <w:spacing w:after="0" w:line="180" w:lineRule="exact"/>
        <w:rPr>
          <w:rFonts w:ascii="Times New Roman" w:cs="Times New Roman" w:eastAsia="Times New Roman" w:hAnsi="Times New Roman"/>
          <w:sz w:val="18"/>
          <w:szCs w:val="18"/>
          <w:color w:val="auto"/>
        </w:rPr>
      </w:pPr>
    </w:p>
    <w:p>
      <w:pPr>
        <w:ind w:right="40" w:firstLine="656"/>
        <w:spacing w:after="0" w:line="266" w:lineRule="auto"/>
        <w:tabs>
          <w:tab w:leader="none" w:pos="98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the Partnership included or incorporated by reference in the Pricing Prospectus, together with the related notes thereto, present fairly in all material respects the combined financial position of the Partnership as of the date shown, and such financial statements have been prepared in conformity with IFRS, applied on a consistent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throughout the periods involved; and the schedules included in the Pricing Prospectus, if any, present fairly the information required to be stated therein. The selected financial data and the summary financial information included or incorporated by reference in the Pricing Prospectus present fairly the information shown therein and have been compiled on a basis consistent with that of the audited and unaudited financial statements included in the Pricing Prospectus. Any pro forma financial information included or incorporated by reference in the Pricing Prospectus comply as to form with the applicable accounting requirements of Regulation S-X under the Act and includes assumptions that provide a reasonable basis for presenting the significant effects directly attributable to the transactions and events described therein, the related pro forma adjustments give appropriate effect to those assumptions, and the pro forma adjustments reflect the proper application of those adjustments to the historical financial statement amounts in the pro forma balance sheet included in the Pricing Prospectus. All disclosures contained in the Preliminary Prospectus, Pricing Prospectus and Final Prospectus, or incorporated by reference therein, regarding “non-GAAP financial measures” (as such term is defined by the rules and regulations of the Commission) comply with Regulation G of the 1934 Act and Item 10 of Regulation S-K of the 1933 Act, to the extent applicable;</w:t>
      </w:r>
    </w:p>
    <w:p>
      <w:pPr>
        <w:spacing w:after="0" w:line="186" w:lineRule="exact"/>
        <w:rPr>
          <w:sz w:val="20"/>
          <w:szCs w:val="20"/>
          <w:color w:val="auto"/>
        </w:rPr>
      </w:pPr>
    </w:p>
    <w:p>
      <w:pPr>
        <w:ind w:right="240" w:firstLine="656"/>
        <w:spacing w:after="0" w:line="272" w:lineRule="auto"/>
        <w:tabs>
          <w:tab w:leader="none" w:pos="1083"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Partnership’s independent auditors nor any internal auditor has recommended that the Partnership’s board of directors review or investigate, (i) adding to, deleting, changing the application of, or changing the Partnership’s disclosure with respect to, any of the Partnership’s material accounting policies; (ii) any matter which could result in a restatement of the Partnership’s audited balance sheet included in the Registration Statement; or</w:t>
      </w:r>
    </w:p>
    <w:p>
      <w:pPr>
        <w:spacing w:after="0" w:line="1"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Internal Control Event;</w:t>
      </w:r>
    </w:p>
    <w:p>
      <w:pPr>
        <w:spacing w:after="0" w:line="206" w:lineRule="exact"/>
        <w:rPr>
          <w:rFonts w:ascii="Times New Roman" w:cs="Times New Roman" w:eastAsia="Times New Roman" w:hAnsi="Times New Roman"/>
          <w:sz w:val="18"/>
          <w:szCs w:val="18"/>
          <w:color w:val="auto"/>
        </w:rPr>
      </w:pPr>
    </w:p>
    <w:p>
      <w:pPr>
        <w:ind w:right="40" w:firstLine="656"/>
        <w:spacing w:after="0" w:line="254" w:lineRule="auto"/>
        <w:tabs>
          <w:tab w:leader="none" w:pos="108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Vessels are owned directly by the respective Operating Subsidiary listed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 each of the Vessels has been duly registered as a vessel under the laws and regulations and flag of the jurisdiction set forth opposite its name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in the sole ownership of the subsidiary set forth opposite its name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and no other action is necessary to establish and perfect such entity’s title to and interest in such Vessel as against any charterer or other third party; each such subsidiary has good title to the applicable Vessel, free and clear of all mortgages, pledges, liens, security interests and claims and all defects of the title of record except for those mortgages, pledges, liens, security interests and claims arising under credit facilities, each as disclosed in the Registration Statement, the Pricing Prospectus and the Final Prospectus, and any other encumbrances which would not, in the aggregate, result in a Material Adverse Effect; and each such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w:t>
      </w:r>
    </w:p>
    <w:p>
      <w:pPr>
        <w:spacing w:after="0" w:line="189" w:lineRule="exact"/>
        <w:rPr>
          <w:rFonts w:ascii="Times New Roman" w:cs="Times New Roman" w:eastAsia="Times New Roman" w:hAnsi="Times New Roman"/>
          <w:sz w:val="18"/>
          <w:szCs w:val="18"/>
          <w:color w:val="auto"/>
        </w:rPr>
      </w:pPr>
    </w:p>
    <w:p>
      <w:pPr>
        <w:ind w:right="220" w:firstLine="656"/>
        <w:spacing w:after="0" w:line="258" w:lineRule="auto"/>
        <w:tabs>
          <w:tab w:leader="none" w:pos="96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Vessel is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Times New Roman" w:cs="Times New Roman" w:eastAsia="Times New Roman" w:hAnsi="Times New Roman"/>
          <w:sz w:val="18"/>
          <w:szCs w:val="18"/>
          <w:u w:val="single" w:color="auto"/>
          <w:color w:val="auto"/>
        </w:rPr>
        <w:t>Maritime Guidelines</w:t>
      </w:r>
      <w:r>
        <w:rPr>
          <w:rFonts w:ascii="Times New Roman" w:cs="Times New Roman" w:eastAsia="Times New Roman" w:hAnsi="Times New Roman"/>
          <w:sz w:val="18"/>
          <w:szCs w:val="18"/>
          <w:color w:val="auto"/>
        </w:rPr>
        <w:t>”) and all applicable international, national, state and local conventions, laws, regulations, orders, governmental licenses and other requirements (including, without limitation, all Environmental Laws) in the jurisdictions in which the Partnership and its subsidiaries operate or where such vessel is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operated, in each case as in effect on the date hereof, except where such failure to be in compliance would not have, individually or in the aggregate, a Material Adverse Effect. The Partnership Entities are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ectPr>
          <w:pgSz w:w="11900" w:h="16911" w:orient="portrait"/>
          <w:cols w:equalWidth="0" w:num="1">
            <w:col w:w="11400"/>
          </w:cols>
          <w:pgMar w:left="240" w:top="337" w:right="259" w:bottom="0" w:gutter="0" w:footer="0" w:header="0"/>
        </w:sectPr>
      </w:pPr>
    </w:p>
    <w:bookmarkStart w:id="8" w:name="page9"/>
    <w:bookmarkEnd w:id="8"/>
    <w:p>
      <w:pPr>
        <w:spacing w:after="0" w:line="73" w:lineRule="exact"/>
        <w:rPr>
          <w:sz w:val="20"/>
          <w:szCs w:val="20"/>
          <w:color w:val="auto"/>
        </w:rPr>
      </w:pPr>
    </w:p>
    <w:p>
      <w:pPr>
        <w:ind w:right="140" w:firstLine="656"/>
        <w:spacing w:after="0" w:line="282" w:lineRule="auto"/>
        <w:tabs>
          <w:tab w:leader="none" w:pos="96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Parties is entitled to any immunity, whether characterized as sovereign immunity or otherwise, from any legal proceedings in respect of themselves or their respective properties under the laws of the United States or their jurisdiction of formation or incorporation;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55" w:lineRule="auto"/>
        <w:tabs>
          <w:tab w:leader="none" w:pos="10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Entities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Pricing Prospectus, the Partnership Entities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in connection with the sale and delivery by the Partnership of the Securities to or for the accounts of the Underwriters or the sale and delivery by the Underwriters of the Securities to the initial purchasers thereof.</w:t>
      </w:r>
    </w:p>
    <w:p>
      <w:pPr>
        <w:spacing w:after="0" w:line="185" w:lineRule="exact"/>
        <w:rPr>
          <w:sz w:val="20"/>
          <w:szCs w:val="20"/>
          <w:color w:val="auto"/>
        </w:rPr>
      </w:pPr>
    </w:p>
    <w:p>
      <w:pPr>
        <w:ind w:right="120" w:firstLine="656"/>
        <w:spacing w:after="0" w:line="253" w:lineRule="auto"/>
        <w:tabs>
          <w:tab w:leader="none" w:pos="8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herein set forth, (a) the Partnership agrees to issue and sell to each of the Underwriters, and each of the Underwriters agree, severally and not jointly, to purchase from the Partnership, the number of Offered Securities set forth opposite the name of such Underwriters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at a purchase price of (i) $25.00 per Series B Preference Unit (the “</w:t>
      </w:r>
      <w:r>
        <w:rPr>
          <w:rFonts w:ascii="Times New Roman" w:cs="Times New Roman" w:eastAsia="Times New Roman" w:hAnsi="Times New Roman"/>
          <w:sz w:val="18"/>
          <w:szCs w:val="18"/>
          <w:u w:val="single" w:color="auto"/>
          <w:color w:val="auto"/>
        </w:rPr>
        <w:t>Other Offered Securities</w:t>
      </w:r>
      <w:r>
        <w:rPr>
          <w:rFonts w:ascii="Times New Roman" w:cs="Times New Roman" w:eastAsia="Times New Roman" w:hAnsi="Times New Roman"/>
          <w:sz w:val="18"/>
          <w:szCs w:val="18"/>
          <w:color w:val="auto"/>
        </w:rPr>
        <w:t xml:space="preserve">”) sold by the Underwriters to Blenheim Holdings Ltd. and certain other directors and officers of the Partnership, and (ii) $24.2125 per Series B Preference Unit for all other Offered Securities, and (b) in the event and to the extent that the Underwriters shall exercise the election to purchase Option Securities as provided below, the Partnership agrees, to issue and sell to each of the Underwriters, and each of the Underwriters agrees to purchase from the Partnership, at the purchase price per Series B Preference Unit set forth in clause (a)(ii)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that portion of the number of Option Securities as to which such election shall have been exercised (to be adjusted by the Representatives so as to eliminate fractional Series B Preference Units) determined by multiplying such number of Option Securities by a fraction, the numerator of which is the maximum number of Option Securities which such Underwriter is entitled to purchase as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denominator of which is the maximum number of Option Securities that all of the Underwriters are entitled to purchase hereunder. With respect to the Other Offered Securities, each Underwriter agrees, severally and not jointly, to purchase the number of Other Offered Securities (to be adjusted by the Representatives so as to eliminate fractional Series B Preference Units) determined by multiplying such number of Other Offered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Securities by a fraction, the numerator of which is the maximum number of Offered Securities set forth opposite the name of such Underwriter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the denominator of which is the total number of Offered Securities.</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Partnership, as and to the extent indicated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hereby grants severally and not jointly to the Underwriters the right to purchase at their election up to 600,000 Option Securities, at the purchase price per Series B Preference Unit set forth in the paragraph above;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purchase price per Option Security shall be reduced by an amount per Option Security equal to any dividends or distributions declared by the Partnership and payable on the Offered Securities but not payable on the Option Securities. Any such election to purchase Option Securities may be exercised only by written notice from the Representatives to the Partnership, given within a period of 30 calendar days after the date of this Agreement, setting forth the aggregate number of Option Securities to be purchased and the business day on which such Option Securities are to be delivered, as determined by the Representatives but in no event earlier than the First Time of Delivery or, unless the Representatives and the Partnership otherwise agree in writing, earlier than two or later than ten business days after the date of such notice.</w:t>
      </w:r>
    </w:p>
    <w:p>
      <w:pPr>
        <w:spacing w:after="0" w:line="185" w:lineRule="exact"/>
        <w:rPr>
          <w:sz w:val="20"/>
          <w:szCs w:val="20"/>
          <w:color w:val="auto"/>
        </w:rPr>
      </w:pPr>
    </w:p>
    <w:p>
      <w:pPr>
        <w:ind w:left="880" w:hanging="224"/>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656"/>
        <w:spacing w:after="0" w:line="254" w:lineRule="auto"/>
        <w:tabs>
          <w:tab w:leader="none" w:pos="87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Securities to be purchased by each Underwriter hereunder, in definitive form, and in such authorized denominations and registered in such names as the Representatives may request upon at least forty-eight hours’ prior notice to the Partnership shall be delivered by or on behalf of the Partnership to the Representatives through the facilities of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for the account of such Underwriter against payment by or on behalf of such Underwriter of the purchase price therefor by wire transfer of Federal (same-day) funds to the account specified by the Partnership to the Representatives at least forty-eight hours in advance. The time and date of such delivery and payment shall be, with respect to the Offered Securities,</w:t>
      </w:r>
    </w:p>
    <w:p>
      <w:pPr>
        <w:spacing w:after="0" w:line="3"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 a.m., New York City time, on January 17, 2018 or such other time and date as the Representatives and the Partnership may agree upon in writing, and with respect to the Option Securities, on the date specified by the Representatives in the written notice given by the Representatives’ election to purchase such Option Securities, or such other time and date as the Representatives and the Partnership may agree upon in writing. Such time and date for delivery of the Offered Securities is herein called the “</w:t>
      </w:r>
      <w:r>
        <w:rPr>
          <w:rFonts w:ascii="Times New Roman" w:cs="Times New Roman" w:eastAsia="Times New Roman" w:hAnsi="Times New Roman"/>
          <w:sz w:val="18"/>
          <w:szCs w:val="18"/>
          <w:u w:val="single" w:color="auto"/>
          <w:color w:val="auto"/>
        </w:rPr>
        <w:t>First Time of Delivery</w:t>
      </w:r>
      <w:r>
        <w:rPr>
          <w:rFonts w:ascii="Times New Roman" w:cs="Times New Roman" w:eastAsia="Times New Roman" w:hAnsi="Times New Roman"/>
          <w:sz w:val="18"/>
          <w:szCs w:val="18"/>
          <w:color w:val="auto"/>
        </w:rPr>
        <w:t>”, such time and date for delivery of the Option Securities, if not the First Time of Delivery, is herein called the “</w:t>
      </w:r>
      <w:r>
        <w:rPr>
          <w:rFonts w:ascii="Times New Roman" w:cs="Times New Roman" w:eastAsia="Times New Roman" w:hAnsi="Times New Roman"/>
          <w:sz w:val="18"/>
          <w:szCs w:val="18"/>
          <w:u w:val="single" w:color="auto"/>
          <w:color w:val="auto"/>
        </w:rPr>
        <w:t>Second Time of Delivery</w:t>
      </w:r>
      <w:r>
        <w:rPr>
          <w:rFonts w:ascii="Times New Roman" w:cs="Times New Roman" w:eastAsia="Times New Roman" w:hAnsi="Times New Roman"/>
          <w:sz w:val="18"/>
          <w:szCs w:val="18"/>
          <w:color w:val="auto"/>
        </w:rPr>
        <w:t>”, and each such time and date for delivery is herein called a “</w:t>
      </w:r>
      <w:r>
        <w:rPr>
          <w:rFonts w:ascii="Times New Roman" w:cs="Times New Roman" w:eastAsia="Times New Roman" w:hAnsi="Times New Roman"/>
          <w:sz w:val="18"/>
          <w:szCs w:val="18"/>
          <w:u w:val="single" w:color="auto"/>
          <w:color w:val="auto"/>
        </w:rPr>
        <w:t>Time of Delivery</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20" w:firstLine="656"/>
        <w:spacing w:after="0" w:line="25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documents to be delivered at each Time of Delivery by or on behalf of the parties hereto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including the cross receipt for the Securities and any additional documents requested by the Underwriters pursuant to </w:t>
      </w:r>
      <w:r>
        <w:rPr>
          <w:rFonts w:ascii="Times New Roman" w:cs="Times New Roman" w:eastAsia="Times New Roman" w:hAnsi="Times New Roman"/>
          <w:sz w:val="18"/>
          <w:szCs w:val="18"/>
          <w:u w:val="single" w:color="auto"/>
          <w:color w:val="auto"/>
        </w:rPr>
        <w:t>Section 8(n)</w:t>
      </w:r>
      <w:r>
        <w:rPr>
          <w:rFonts w:ascii="Times New Roman" w:cs="Times New Roman" w:eastAsia="Times New Roman" w:hAnsi="Times New Roman"/>
          <w:sz w:val="18"/>
          <w:szCs w:val="18"/>
          <w:color w:val="auto"/>
        </w:rPr>
        <w:t xml:space="preserve"> hereof, will be delivered at the offices of Cravath, Swaine &amp; Moore LLP, Worldwide Plaza, 825 Eighth Avenue, New York, New York 10019 (the “</w:t>
      </w:r>
      <w:r>
        <w:rPr>
          <w:rFonts w:ascii="Times New Roman" w:cs="Times New Roman" w:eastAsia="Times New Roman" w:hAnsi="Times New Roman"/>
          <w:sz w:val="18"/>
          <w:szCs w:val="18"/>
          <w:u w:val="single" w:color="auto"/>
          <w:color w:val="auto"/>
        </w:rPr>
        <w:t>Closing Location</w:t>
      </w:r>
      <w:r>
        <w:rPr>
          <w:rFonts w:ascii="Times New Roman" w:cs="Times New Roman" w:eastAsia="Times New Roman" w:hAnsi="Times New Roman"/>
          <w:sz w:val="18"/>
          <w:szCs w:val="18"/>
          <w:color w:val="auto"/>
        </w:rPr>
        <w:t xml:space="preserve">”).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New York Business Day</w:t>
      </w:r>
      <w:r>
        <w:rPr>
          <w:rFonts w:ascii="Times New Roman" w:cs="Times New Roman" w:eastAsia="Times New Roman" w:hAnsi="Times New Roman"/>
          <w:sz w:val="18"/>
          <w:szCs w:val="18"/>
          <w:color w:val="auto"/>
        </w:rPr>
        <w:t>” shall mean each Monday, Tuesday, Wednesday, Thursday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Friday which is not a day on which banking institutions in New York City are generally authorized or obligated by law or executive order to close.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The Partnership Parties agree with each of the Underwriters:</w:t>
      </w:r>
    </w:p>
    <w:p>
      <w:pPr>
        <w:spacing w:after="0" w:line="225" w:lineRule="exact"/>
        <w:rPr>
          <w:sz w:val="20"/>
          <w:szCs w:val="20"/>
          <w:color w:val="auto"/>
        </w:rPr>
      </w:pPr>
    </w:p>
    <w:p>
      <w:pPr>
        <w:ind w:right="80" w:firstLine="656"/>
        <w:spacing w:after="0" w:line="258" w:lineRule="auto"/>
        <w:tabs>
          <w:tab w:leader="none" w:pos="89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or the Final Prospectus prior to the last Time of Delivery, which shall be disapproved by the Representatives promptly after reasonable notice thereof; to advise the Representatives, promptly after it receives notice thereof, of the time when any amendment to the Registration Statement has been filed or becomes effective or any amendment or supplement to the Final Prospectus has been filed and to</w:t>
      </w:r>
    </w:p>
    <w:p>
      <w:pPr>
        <w:sectPr>
          <w:pgSz w:w="11900" w:h="16911" w:orient="portrait"/>
          <w:cols w:equalWidth="0" w:num="1">
            <w:col w:w="11420"/>
          </w:cols>
          <w:pgMar w:left="240" w:top="337" w:right="239" w:bottom="0" w:gutter="0" w:footer="0" w:header="0"/>
        </w:sectPr>
      </w:pPr>
    </w:p>
    <w:bookmarkStart w:id="9" w:name="page10"/>
    <w:bookmarkEnd w:id="9"/>
    <w:p>
      <w:pPr>
        <w:spacing w:after="0" w:line="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furnish the Representatives with copies thereof; to file promptly all material required to be filed by the Partnership with the Commission pursuant to Rule 433(d) under the Act; to file promptly all reports and any definitive proxy or information statements required to be filed by the Partnership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86" w:lineRule="exact"/>
        <w:rPr>
          <w:sz w:val="20"/>
          <w:szCs w:val="20"/>
          <w:color w:val="auto"/>
        </w:rPr>
      </w:pPr>
    </w:p>
    <w:p>
      <w:pPr>
        <w:ind w:firstLine="656"/>
        <w:spacing w:after="0" w:line="258" w:lineRule="auto"/>
        <w:tabs>
          <w:tab w:leader="none" w:pos="90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Partnership shall not be required to qualify as a foreign corporation or to file a general consent to service of process or to subject itself to taxation for doing business in any jurisdiction if it is not otherwise so subject;</w:t>
      </w:r>
    </w:p>
    <w:p>
      <w:pPr>
        <w:spacing w:after="0" w:line="183" w:lineRule="exact"/>
        <w:rPr>
          <w:rFonts w:ascii="Times New Roman" w:cs="Times New Roman" w:eastAsia="Times New Roman" w:hAnsi="Times New Roman"/>
          <w:sz w:val="18"/>
          <w:szCs w:val="18"/>
          <w:color w:val="auto"/>
        </w:rPr>
      </w:pPr>
    </w:p>
    <w:p>
      <w:pPr>
        <w:ind w:right="120" w:firstLine="656"/>
        <w:spacing w:after="0" w:line="258" w:lineRule="auto"/>
        <w:tabs>
          <w:tab w:leader="none" w:pos="8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10:00 a.m., New York City time, on the New York Business Day next succeeding the date of this Agreement and from time to time, to furnish the Representatives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 Final Prospectus or to file under the Exchange Act any document incorporated by reference in the Final Prospectus in order to comply with the Act or the Exchange Act, to notify the Representatives and upon the request of the Representatives to file such document or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each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93" w:lineRule="exact"/>
        <w:rPr>
          <w:sz w:val="20"/>
          <w:szCs w:val="20"/>
          <w:color w:val="auto"/>
        </w:rPr>
      </w:pPr>
    </w:p>
    <w:p>
      <w:pPr>
        <w:jc w:val="both"/>
        <w:ind w:right="40" w:firstLine="656"/>
        <w:spacing w:after="0" w:line="289" w:lineRule="auto"/>
        <w:tabs>
          <w:tab w:leader="none" w:pos="9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to its securityholders as soon as practicable, but in any event not later than sixteen months after the effective date of the Registration Statement (as defined in Rule 158(c) under the Act), an earnings statement of the Partnership and its subsidiaries (which need not be audited) complying with Section 11(a) of the Act and the rules and regulations of the Commission thereunder (including, at the option of the Partnership, Rule 158);</w:t>
      </w:r>
    </w:p>
    <w:p>
      <w:pPr>
        <w:spacing w:after="0" w:line="158"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from the date hereof and continuing to and including the date 30 days after the date of the Final Prospectus (the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not to (i) offer, sell, contract to sell, pledge, grant any option to purchase, make any short sale or otherwise transfer or dispose of, directly or indirectly, or file with the Commission a registration statement under the Act relating to, any securities of the Partnership that are substantially similar to the Securities (excluding, for avoidance of doubt, Common Units) including but not limited to any options to purchase any Securities or publicly disclose the intention to make any offer, sale, pledge, disposition or filing or (ii) enter into any swap or other agreement that transfers, in whole or in part, any of the economic consequences of ownership of the Securities or any such other securities, whether any such transaction described in clause (i) or (ii) above is to be settled by delivery of the Securities or such other securities, in cash or otherwise (other than (x) the Securities to be sold hereunder, (y) securities offered or sold pursuant to employee stock option or other incentive compensation plans or employment arrangements existing on the date hereof as described in the Pricing Prospectus, or, provided such securities do not vest or become exercisable until after the Lock-Up Period, pursuant to incentive compensation plans or employment arrangements entered into in the ordinary course, or (z) the establishment of a trading plan pursuant to Rule 10b5-1 under the Act, for the transfer of Series B Preference Units, provided that such plan does not provide for the transfer of Series B Preference Units during the Lock-Up Period), without the prior written consent of the Representatives;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5" w:lineRule="auto"/>
        <w:tabs>
          <w:tab w:leader="none" w:pos="8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12 months following the last Time of Delivery, to furnish to its unitholders as soon as practicable after the end of each fiscal year an annual report (including a balance sheet and statements of income, unitholders’ equity and cash flows of the Partnership and its consolidated subsidiaries certified by an independent registered public accounting firm) and, as soon as practicable after the end of each of the first three quarters of each fiscal year (beginning with the fiscal quarter ending after the effective date of the Registration Statement), to make available to its unitholders consolidated summary financial information of the Partnership and its subsidiaries for such quarter in reasonable detail reviewed in accordance with SAS 100 by an independent registered public accounting firm;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Partnership may satisfy the requirements of this subsection by making any such reports, communications or information available on its website or by filing or furnishing such information with the Commission via EDGAR;</w:t>
      </w:r>
    </w:p>
    <w:p>
      <w:pPr>
        <w:spacing w:after="0" w:line="189" w:lineRule="exact"/>
        <w:rPr>
          <w:rFonts w:ascii="Times New Roman" w:cs="Times New Roman" w:eastAsia="Times New Roman" w:hAnsi="Times New Roman"/>
          <w:sz w:val="18"/>
          <w:szCs w:val="18"/>
          <w:color w:val="auto"/>
        </w:rPr>
      </w:pPr>
    </w:p>
    <w:p>
      <w:pPr>
        <w:ind w:right="80" w:firstLine="656"/>
        <w:spacing w:after="0" w:line="258" w:lineRule="auto"/>
        <w:tabs>
          <w:tab w:leader="none" w:pos="90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a period of three years from the date hereof, to furnish to the Representatives copies of all reports or other communications (financial or other) furnished to its unitholders, and to deliver to the Representatives as soon as they are available, copies of any reports and financial statements furnished to or filed with the Commission or any national securities exchange on which any class of securities of the Partnership is listed;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Partnership may satisfy the requirements of this subsection by making any such reports, communications or information available on its web site or by filing or furnishing such information with the Commission via EDGAR;</w:t>
      </w:r>
    </w:p>
    <w:p>
      <w:pPr>
        <w:spacing w:after="0" w:line="183" w:lineRule="exact"/>
        <w:rPr>
          <w:rFonts w:ascii="Times New Roman" w:cs="Times New Roman" w:eastAsia="Times New Roman" w:hAnsi="Times New Roman"/>
          <w:sz w:val="18"/>
          <w:szCs w:val="18"/>
          <w:color w:val="auto"/>
        </w:rPr>
      </w:pPr>
    </w:p>
    <w:p>
      <w:pPr>
        <w:ind w:right="200" w:firstLine="65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will promptly notify the Representatives if the Partnership ceases to be an Emerging Growth Company at any time prior to the later of (i) completion of the distribution of the Securities within the meaning of the Act and (ii) completion of the Lock-Up Period referred to in</w:t>
      </w:r>
    </w:p>
    <w:p>
      <w:pPr>
        <w:sectPr>
          <w:pgSz w:w="11900" w:h="16933" w:orient="portrait"/>
          <w:cols w:equalWidth="0" w:num="1">
            <w:col w:w="11400"/>
          </w:cols>
          <w:pgMar w:left="240" w:top="121" w:right="259" w:bottom="0" w:gutter="0" w:footer="0" w:header="0"/>
        </w:sectPr>
      </w:pPr>
    </w:p>
    <w:bookmarkStart w:id="10" w:name="page11"/>
    <w:bookmarkEnd w:id="10"/>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460" w:firstLine="656"/>
        <w:spacing w:after="0" w:line="282" w:lineRule="auto"/>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net proceeds received by the Partnership from the sale of the Securities pursuant to this Agreement in the manner specified in the Pricing Prospectus under the caption “Use of Proceeds”;</w:t>
      </w:r>
    </w:p>
    <w:p>
      <w:pPr>
        <w:spacing w:after="0" w:line="161"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its reasonable best efforts to list, subject to notice of issuance, the Securities on the Exchange;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with the Commission such information on Form 20-F as may be required by Rule 463 under the Act;</w:t>
      </w:r>
    </w:p>
    <w:p>
      <w:pPr>
        <w:spacing w:after="0" w:line="225" w:lineRule="exact"/>
        <w:rPr>
          <w:rFonts w:ascii="Times New Roman" w:cs="Times New Roman" w:eastAsia="Times New Roman" w:hAnsi="Times New Roman"/>
          <w:sz w:val="18"/>
          <w:szCs w:val="18"/>
          <w:color w:val="auto"/>
        </w:rPr>
      </w:pPr>
    </w:p>
    <w:p>
      <w:pPr>
        <w:ind w:right="320" w:firstLine="656"/>
        <w:spacing w:after="0" w:line="257" w:lineRule="auto"/>
        <w:tabs>
          <w:tab w:leader="none" w:pos="8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elects to rely upon Rule 462(b), the Partnership shall file a Rule 462(b) Registration Statement with the Commission in compliance with Rule 462(b) by 10:00 p.m., New York time, on the date of this Agreement, and the Partnership shall at the time of filing either pay to the Commission the filing fee for the Rule 462(b) Registration Statement or give irrevocable instructions for the payment of such fee pursuant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111(b) under the Act; and</w:t>
      </w:r>
    </w:p>
    <w:p>
      <w:pPr>
        <w:spacing w:after="0" w:line="206" w:lineRule="exact"/>
        <w:rPr>
          <w:rFonts w:ascii="Times New Roman" w:cs="Times New Roman" w:eastAsia="Times New Roman" w:hAnsi="Times New Roman"/>
          <w:sz w:val="18"/>
          <w:szCs w:val="18"/>
          <w:color w:val="auto"/>
        </w:rPr>
      </w:pPr>
    </w:p>
    <w:p>
      <w:pPr>
        <w:ind w:right="60" w:firstLine="656"/>
        <w:spacing w:after="0" w:line="282" w:lineRule="auto"/>
        <w:tabs>
          <w:tab w:leader="none" w:pos="9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Underwriter, to furnish, or cause to be furnished, to such Underwriter an electronic version of the Partnership’s trademarks, servicemarks and corporate logo for use on the website, if any, operated by such Underwriter for the purpose of facilitating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color w:val="auto"/>
        </w:rPr>
        <w:t>the on-line offering of the Securities (the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License shall be used solely for the purpose described above, is granted without any fee and may not be assigned or transferred.</w:t>
      </w:r>
    </w:p>
    <w:p>
      <w:pPr>
        <w:spacing w:after="0" w:line="160" w:lineRule="exact"/>
        <w:rPr>
          <w:sz w:val="20"/>
          <w:szCs w:val="20"/>
          <w:color w:val="auto"/>
        </w:rPr>
      </w:pPr>
    </w:p>
    <w:p>
      <w:pPr>
        <w:ind w:right="80" w:firstLine="656"/>
        <w:spacing w:after="0" w:line="258" w:lineRule="auto"/>
        <w:tabs>
          <w:tab w:leader="none" w:pos="8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Partnership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Partnership and the Representatives, it has not made and will not make any offer relating to the Securities that would constitute a free writing prospectus required to be filed with the Commission; any such free writing prospectus the use of which has been consented to by the Partnership and the Representatives is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 xml:space="preserve"> hereto.</w:t>
      </w:r>
    </w:p>
    <w:p>
      <w:pPr>
        <w:spacing w:after="0" w:line="184" w:lineRule="exact"/>
        <w:rPr>
          <w:sz w:val="20"/>
          <w:szCs w:val="20"/>
          <w:color w:val="auto"/>
        </w:rPr>
      </w:pPr>
    </w:p>
    <w:p>
      <w:pPr>
        <w:ind w:right="20" w:firstLine="65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complied and will comply with the requirements of Rule 433 under the Act applicable to any Issuer Free Writing Prospectus, including timely filing with the Commission or retention where required and legending.</w:t>
      </w:r>
    </w:p>
    <w:p>
      <w:pPr>
        <w:spacing w:after="0" w:line="161" w:lineRule="exact"/>
        <w:rPr>
          <w:rFonts w:ascii="Times New Roman" w:cs="Times New Roman" w:eastAsia="Times New Roman" w:hAnsi="Times New Roman"/>
          <w:sz w:val="18"/>
          <w:szCs w:val="18"/>
          <w:color w:val="auto"/>
        </w:rPr>
      </w:pPr>
    </w:p>
    <w:p>
      <w:pPr>
        <w:ind w:right="20" w:firstLine="656"/>
        <w:spacing w:after="0" w:line="255" w:lineRule="auto"/>
        <w:tabs>
          <w:tab w:leader="none" w:pos="89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agrees that if at any time following issuance of an Issuer Free Writing Prospectus any event occurred or occurs as a result of which such Issuer Free Writing Prospectus would conflict with the information in the Registration Statement, the Pricing Prospectus or the Final Prospectus or would include an untrue statement of a material fact or omit to state any material fact necessary in order to make the statements therein, in the light of the circumstances then prevailing, not misleading, the Partnership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representation and warranty shall not apply to any statements or omissions in an Issuer Free Writing Prospectus made in reliance upon and in conformity with information furnished in writing to the Partnership by an Underwriter through the Representatives expressly for use therein.</w:t>
      </w:r>
    </w:p>
    <w:p>
      <w:pPr>
        <w:spacing w:after="0" w:line="185" w:lineRule="exact"/>
        <w:rPr>
          <w:sz w:val="20"/>
          <w:szCs w:val="20"/>
          <w:color w:val="auto"/>
        </w:rPr>
      </w:pPr>
    </w:p>
    <w:p>
      <w:pPr>
        <w:ind w:right="80" w:firstLine="656"/>
        <w:spacing w:after="0" w:line="254" w:lineRule="auto"/>
        <w:tabs>
          <w:tab w:leader="none" w:pos="87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covenants and agrees with the several Underwriters that the Partnership will pay or cause to be paid the following: (i) the reasonable fees, disbursements and expenses of the Partnership’s counsel and accountants in connection with the registration of the Securities under the Act and all other expenses in connection with the preparation, printing, reproduction and filing of the Registration Statement, any Preliminary Prospectus, any Issuer Free Writing Prospectus and the Final Prospectus and amendments and supplements thereto and the mailing and delivering of copies thereof to the Underwriters and dealers; (ii) the cost of printing or producing any agreement among the Underwriters, this Agreement, any Blue Sky memorandum, closing documents (including any compilations thereof) and any other documents in connection with the offering, purchase, sale and delivery of the Securities;</w:t>
      </w:r>
    </w:p>
    <w:p>
      <w:pPr>
        <w:ind w:right="400" w:firstLine="8"/>
        <w:spacing w:after="0" w:line="250"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expenses in connection with the qualification of the Securities for offering and sale under state securities laws as provided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hereof, including the fees and disbursements of counsel for the Underwriters in connection with such qualification and in connection with the Blue Sky survey;</w:t>
      </w:r>
    </w:p>
    <w:p>
      <w:pPr>
        <w:jc w:val="both"/>
        <w:ind w:right="160" w:firstLine="8"/>
        <w:spacing w:after="0" w:line="255" w:lineRule="auto"/>
        <w:tabs>
          <w:tab w:leader="none" w:pos="30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in connection with listing the Securities on the Exchange; (v) the filing fees incident to, and the fees and disbursements of counsel for the Underwriters in connection with, any required review by FINRA of the terms of the sale of the Securities (such expenses of counsel shall not exceed $25,000); (vi) the cost of preparing certificates, as applicable; (vii) the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cost and charges of any transfer agent or registrar; and (viii) all other costs and expenses incident to the performance of its obligations hereunder which are not otherwise specifically provided for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It is understood, however, that the Underwriters will pay, except as provided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hereof, all of their own costs and expenses, including the fees and disbursements of their counsel, transfer taxes on resale of any of the Securities by them, and any advertising expenses connected with any offers they may make.</w:t>
      </w:r>
    </w:p>
    <w:p>
      <w:pPr>
        <w:spacing w:after="0" w:line="180" w:lineRule="exact"/>
        <w:rPr>
          <w:sz w:val="20"/>
          <w:szCs w:val="20"/>
          <w:color w:val="auto"/>
        </w:rPr>
      </w:pPr>
    </w:p>
    <w:p>
      <w:pPr>
        <w:ind w:firstLine="656"/>
        <w:spacing w:after="0" w:line="261" w:lineRule="auto"/>
        <w:tabs>
          <w:tab w:leader="none" w:pos="87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hereunder, as to the Securities to be delivered at each Time of Delivery, shall be subject, in their discretion, to the condition that all representations and warranties and other statements of the Partnership Parties herein are, at and as of such Time of Delivery, true and correct, the condition that the Partnership Parties shall have performed all of their obligations hereunder theretofore to be performed, and the following additional conditions:</w:t>
      </w:r>
    </w:p>
    <w:p>
      <w:pPr>
        <w:spacing w:after="0" w:line="180" w:lineRule="exact"/>
        <w:rPr>
          <w:sz w:val="20"/>
          <w:szCs w:val="20"/>
          <w:color w:val="auto"/>
        </w:rPr>
      </w:pPr>
    </w:p>
    <w:p>
      <w:pPr>
        <w:ind w:right="80" w:firstLine="656"/>
        <w:spacing w:after="0" w:line="255" w:lineRule="auto"/>
        <w:tabs>
          <w:tab w:leader="none" w:pos="8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Prospectus shall have been filed with the Commission pursuant to Rule 424(b) under the Act within the applicable time period prescribed for such filing by the rules and regulations under the Act and in accordance with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hereof; all material required to be filed by the Partnership pursuant to Rule 433(d) under the Act shall have been filed with the Commission within the applicable time period prescribed for such filing by Rule 433; if the Partnership has elected to rely upon Rule 462(b) under the Act, the Rule 462(b) Registration Statement shall have become effective by 10:00 p.m., New York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 any Issuer Free Writing Prospectus shall have been initiated or threatened by the Commission; and all requests for additional information on the part of the Commission shall have been complied with to the reasonable satisfaction of the Representatives;</w:t>
      </w:r>
    </w:p>
    <w:p>
      <w:pPr>
        <w:sectPr>
          <w:pgSz w:w="11900" w:h="16910" w:orient="portrait"/>
          <w:cols w:equalWidth="0" w:num="1">
            <w:col w:w="11400"/>
          </w:cols>
          <w:pgMar w:left="240" w:top="121" w:right="259" w:bottom="0" w:gutter="0" w:footer="0" w:header="0"/>
        </w:sectPr>
      </w:pPr>
    </w:p>
    <w:bookmarkStart w:id="11" w:name="page12"/>
    <w:bookmarkEnd w:id="11"/>
    <w:p>
      <w:pPr>
        <w:spacing w:after="0" w:line="69" w:lineRule="exact"/>
        <w:rPr>
          <w:sz w:val="20"/>
          <w:szCs w:val="20"/>
          <w:color w:val="auto"/>
        </w:rPr>
      </w:pPr>
    </w:p>
    <w:p>
      <w:pPr>
        <w:ind w:right="120" w:firstLine="656"/>
        <w:spacing w:after="0" w:line="266"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 counsel for the Underwriters, shall have furnished to the Representatives such written opinion or opinions, dated such Time of Delivery, in form and substance reasonably satisfactory to the Representatives, and such counsel shall have received such papers and information as they may reasonably request to enable them to pass upon such matters;</w:t>
      </w:r>
    </w:p>
    <w:p>
      <w:pPr>
        <w:spacing w:after="0" w:line="176" w:lineRule="exact"/>
        <w:rPr>
          <w:rFonts w:ascii="Times New Roman" w:cs="Times New Roman" w:eastAsia="Times New Roman" w:hAnsi="Times New Roman"/>
          <w:sz w:val="18"/>
          <w:szCs w:val="18"/>
          <w:color w:val="auto"/>
        </w:rPr>
      </w:pPr>
    </w:p>
    <w:p>
      <w:pPr>
        <w:ind w:right="160" w:firstLine="656"/>
        <w:spacing w:after="0" w:line="282" w:lineRule="auto"/>
        <w:tabs>
          <w:tab w:leader="none" w:pos="8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Cravath, Swaine &amp; Moore LLP, U.S. counsel for the Partnership Parties, shall have furnished to the Representatives their written opinion, dated such Time of Delivery, in form and substance satisfactory to the Representatives, to the effect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656"/>
        <w:spacing w:after="0" w:line="282" w:lineRule="auto"/>
        <w:tabs>
          <w:tab w:leader="none" w:pos="9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Cozen O’Connor, special counsel on matters of Marshall Islands law for the Partnership Parties, shall have furnished to the Representatives their written opinion, dated such Time of Delivery, in form and substance satisfactory to the Representatives, to the effect set forth in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89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Conyers Dill &amp; Pearman Limited, special Bermuda counsel for the Partnership Parties, shall have furnished to the Representatives their written opinion, dated such Time of Delivery, in form and substance satisfactory to the Representatives, to the effect set forth in </w:t>
      </w:r>
      <w:r>
        <w:rPr>
          <w:rFonts w:ascii="Times New Roman" w:cs="Times New Roman" w:eastAsia="Times New Roman" w:hAnsi="Times New Roman"/>
          <w:sz w:val="18"/>
          <w:szCs w:val="18"/>
          <w:u w:val="single" w:color="auto"/>
          <w:color w:val="auto"/>
        </w:rPr>
        <w:t>Annex 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56"/>
        <w:spacing w:after="0" w:line="313" w:lineRule="auto"/>
        <w:tabs>
          <w:tab w:leader="none" w:pos="87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CMS Cameron McKenna Nabarro Olswang LLP, special English counsel for the Partnership Parties, shall have furnished to the Representatives their written opinion, dated such Time of Delivery, in form and substance satisfactory to the Representatives, to the effect set forth in </w:t>
      </w:r>
      <w:r>
        <w:rPr>
          <w:rFonts w:ascii="Times New Roman" w:cs="Times New Roman" w:eastAsia="Times New Roman" w:hAnsi="Times New Roman"/>
          <w:sz w:val="17"/>
          <w:szCs w:val="17"/>
          <w:u w:val="single" w:color="auto"/>
          <w:color w:val="auto"/>
        </w:rPr>
        <w:t>Annex IV</w:t>
      </w:r>
      <w:r>
        <w:rPr>
          <w:rFonts w:ascii="Times New Roman" w:cs="Times New Roman" w:eastAsia="Times New Roman" w:hAnsi="Times New Roman"/>
          <w:sz w:val="17"/>
          <w:szCs w:val="17"/>
          <w:color w:val="auto"/>
        </w:rPr>
        <w:t>;</w:t>
      </w:r>
    </w:p>
    <w:p>
      <w:pPr>
        <w:spacing w:after="0" w:line="138" w:lineRule="exact"/>
        <w:rPr>
          <w:rFonts w:ascii="Times New Roman" w:cs="Times New Roman" w:eastAsia="Times New Roman" w:hAnsi="Times New Roman"/>
          <w:sz w:val="17"/>
          <w:szCs w:val="17"/>
          <w:color w:val="auto"/>
        </w:rPr>
      </w:pPr>
    </w:p>
    <w:p>
      <w:pPr>
        <w:jc w:val="both"/>
        <w:ind w:right="100" w:firstLine="656"/>
        <w:spacing w:after="0" w:line="261"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and at each Time of Delivery, Deloitte LLP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Pricing Prospectus and Final Prospectus, in form and substance satisfactory to the Representatives;</w:t>
      </w:r>
    </w:p>
    <w:p>
      <w:pPr>
        <w:spacing w:after="0" w:line="180" w:lineRule="exact"/>
        <w:rPr>
          <w:rFonts w:ascii="Times New Roman" w:cs="Times New Roman" w:eastAsia="Times New Roman" w:hAnsi="Times New Roman"/>
          <w:sz w:val="18"/>
          <w:szCs w:val="18"/>
          <w:color w:val="auto"/>
        </w:rPr>
      </w:pPr>
    </w:p>
    <w:p>
      <w:pPr>
        <w:ind w:right="40" w:firstLine="656"/>
        <w:spacing w:after="0" w:line="254" w:lineRule="auto"/>
        <w:tabs>
          <w:tab w:leader="none" w:pos="9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Partnership Entities shall have sustained since the date of the latest audited financial statements included or incorporated by reference in the Pricing Prospectus any loss or interference with its business from fire, explosion, flood, piracy, terrorism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or long-term debt of the Partnership Entities or any change, or any development involving a prospective change, in or affecting the general affairs, management, financial position, unitholders’ or shareholders’ equity, as applicable, or results of operations of the Partnership Entities, otherwise than as set forth or contemplated in the Pricing Prospectus, the effect of which, in any such case described in clause (i) or (ii), is in the judgment of the Representatives so material and adverse as to make it impracticable or inadvisable to proceed with the public offering or the delivery of the Securities being delivered at such Time of Delivery on the terms and in the manner contemplated in the Final Prospectus;</w:t>
      </w:r>
    </w:p>
    <w:p>
      <w:pPr>
        <w:spacing w:after="0" w:line="189" w:lineRule="exact"/>
        <w:rPr>
          <w:rFonts w:ascii="Times New Roman" w:cs="Times New Roman" w:eastAsia="Times New Roman" w:hAnsi="Times New Roman"/>
          <w:sz w:val="18"/>
          <w:szCs w:val="18"/>
          <w:color w:val="auto"/>
        </w:rPr>
      </w:pPr>
    </w:p>
    <w:p>
      <w:pPr>
        <w:ind w:right="20" w:firstLine="656"/>
        <w:spacing w:after="0" w:line="261" w:lineRule="auto"/>
        <w:tabs>
          <w:tab w:leader="none" w:pos="8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(i) no downgrading shall have occurred in the rating accorded the Partnership Parties’ debt securities or preferred stock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Partnership Parties’ debt securities or preferred stock;</w:t>
      </w:r>
    </w:p>
    <w:p>
      <w:pPr>
        <w:spacing w:after="0" w:line="180" w:lineRule="exact"/>
        <w:rPr>
          <w:rFonts w:ascii="Times New Roman" w:cs="Times New Roman" w:eastAsia="Times New Roman" w:hAnsi="Times New Roman"/>
          <w:sz w:val="18"/>
          <w:szCs w:val="18"/>
          <w:color w:val="auto"/>
        </w:rPr>
      </w:pPr>
    </w:p>
    <w:p>
      <w:pPr>
        <w:ind w:firstLine="656"/>
        <w:spacing w:after="0" w:line="255" w:lineRule="auto"/>
        <w:tabs>
          <w:tab w:leader="none" w:pos="8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Partnership Parties’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Republic of The Marshall Islands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to proceed with the public offering or the delivery of the Securities being delivered at such Time of Delivery on the terms and in the manner contemplated in the Final Prospectus;</w:t>
      </w:r>
    </w:p>
    <w:p>
      <w:pPr>
        <w:spacing w:after="0" w:line="162" w:lineRule="exact"/>
        <w:rPr>
          <w:sz w:val="20"/>
          <w:szCs w:val="20"/>
          <w:color w:val="auto"/>
        </w:rPr>
      </w:pPr>
    </w:p>
    <w:p>
      <w:pPr>
        <w:ind w:left="900" w:hanging="244"/>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to be sold by the Partnership at such Time of Delivery shall have been authorized for listing, subject to notice of issuance, on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w:t>
      </w:r>
    </w:p>
    <w:p>
      <w:pPr>
        <w:spacing w:after="0" w:line="206" w:lineRule="exact"/>
        <w:rPr>
          <w:rFonts w:ascii="Times New Roman" w:cs="Times New Roman" w:eastAsia="Times New Roman" w:hAnsi="Times New Roman"/>
          <w:sz w:val="18"/>
          <w:szCs w:val="18"/>
          <w:color w:val="auto"/>
        </w:rPr>
      </w:pPr>
    </w:p>
    <w:p>
      <w:pPr>
        <w:ind w:right="220" w:firstLine="656"/>
        <w:spacing w:after="0" w:line="282" w:lineRule="auto"/>
        <w:tabs>
          <w:tab w:leader="none" w:pos="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have obtained and delivered to the Underwriters executed copies of an agreement substantially in form attached hereto as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from those individuals and entities listed on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9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Partnership shall have complied with the provisions of </w:t>
      </w:r>
      <w:r>
        <w:rPr>
          <w:rFonts w:ascii="Times New Roman" w:cs="Times New Roman" w:eastAsia="Times New Roman" w:hAnsi="Times New Roman"/>
          <w:sz w:val="18"/>
          <w:szCs w:val="18"/>
          <w:u w:val="single" w:color="auto"/>
          <w:color w:val="auto"/>
        </w:rPr>
        <w:t>Section 5(c)</w:t>
      </w:r>
      <w:r>
        <w:rPr>
          <w:rFonts w:ascii="Times New Roman" w:cs="Times New Roman" w:eastAsia="Times New Roman" w:hAnsi="Times New Roman"/>
          <w:sz w:val="18"/>
          <w:szCs w:val="18"/>
          <w:color w:val="auto"/>
        </w:rPr>
        <w:t xml:space="preserve"> hereof with respect to the furnishing of prospectuses on the New York Business Day next succeeding the date of this Agreement; and</w:t>
      </w:r>
    </w:p>
    <w:p>
      <w:pPr>
        <w:spacing w:after="0" w:line="161" w:lineRule="exact"/>
        <w:rPr>
          <w:rFonts w:ascii="Times New Roman" w:cs="Times New Roman" w:eastAsia="Times New Roman" w:hAnsi="Times New Roman"/>
          <w:sz w:val="18"/>
          <w:szCs w:val="18"/>
          <w:color w:val="auto"/>
        </w:rPr>
      </w:pPr>
    </w:p>
    <w:p>
      <w:pPr>
        <w:ind w:right="40" w:firstLine="656"/>
        <w:spacing w:after="0" w:line="26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have furnished or caused to be furnished to the Representatives at such Time of Delivery certificates of officers of the Partnership satisfactory to the Representatives as to the accuracy of the representations and warranties of the Partnership herein at and as of such Time of Delivery, as to the performance by the Partnership of all of its obligations hereunder to be performed at or prior to such Time of Delivery, as to the matters set forth in subsection (a) of this Section and as to such other matters as the Representatives may reasonably request.</w:t>
      </w:r>
    </w:p>
    <w:p>
      <w:pPr>
        <w:spacing w:after="0" w:line="180" w:lineRule="exact"/>
        <w:rPr>
          <w:sz w:val="20"/>
          <w:szCs w:val="20"/>
          <w:color w:val="auto"/>
        </w:rPr>
      </w:pPr>
    </w:p>
    <w:p>
      <w:pPr>
        <w:ind w:right="100" w:firstLine="656"/>
        <w:spacing w:after="0" w:line="256"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Partnership Parties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w:t>
      </w:r>
    </w:p>
    <w:p>
      <w:pPr>
        <w:sectPr>
          <w:pgSz w:w="11900" w:h="16907" w:orient="portrait"/>
          <w:cols w:equalWidth="0" w:num="1">
            <w:col w:w="11400"/>
          </w:cols>
          <w:pgMar w:left="240" w:top="337" w:right="259" w:bottom="0" w:gutter="0" w:footer="0" w:header="0"/>
        </w:sectPr>
      </w:pPr>
    </w:p>
    <w:bookmarkStart w:id="12" w:name="page13"/>
    <w:bookmarkEnd w:id="12"/>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any legal or other expenses reasonably incurred by such Underwriter in connection with investigating or defending any such action or claim as such expenses are incurred;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Partnership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the Final Prospectus, or any amendment or supplement thereto, any Issuer Free Writing Prospectus, in reliance upon and in conformity with written information furnished to the Partnership Parties by any Underwriter through the Representatives expressly for use therein.</w:t>
      </w:r>
    </w:p>
    <w:p>
      <w:pPr>
        <w:spacing w:after="0" w:line="188" w:lineRule="exact"/>
        <w:rPr>
          <w:sz w:val="20"/>
          <w:szCs w:val="20"/>
          <w:color w:val="auto"/>
        </w:rPr>
      </w:pPr>
    </w:p>
    <w:p>
      <w:pPr>
        <w:ind w:right="40" w:firstLine="656"/>
        <w:spacing w:after="0" w:line="261" w:lineRule="auto"/>
        <w:tabs>
          <w:tab w:leader="none" w:pos="90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Partnership Parties against any losses, claims, damages or liabilities to which the Partnership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Final Prospectus, or any amendment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supplement thereto,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Final Prospectus, or any amendment or supplement thereto, any Issuer Free Writing Prospectus, in reliance upon and in conformity with written information furnished to the Partnership Parties by such Underwriter through the Representatives expressly for use therein; and will reimburse the Partnership Parties for any legal or other expenses reasonably incurred by the Partnership Parties in connection with investigating or defending any such action or claim as such expenses are incurred.</w:t>
      </w:r>
    </w:p>
    <w:p>
      <w:pPr>
        <w:spacing w:after="0" w:line="189" w:lineRule="exact"/>
        <w:rPr>
          <w:sz w:val="20"/>
          <w:szCs w:val="20"/>
          <w:color w:val="auto"/>
        </w:rPr>
      </w:pPr>
    </w:p>
    <w:p>
      <w:pPr>
        <w:ind w:right="20" w:firstLine="656"/>
        <w:spacing w:after="0" w:line="252" w:lineRule="auto"/>
        <w:tabs>
          <w:tab w:leader="none" w:pos="89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indemnification provided for in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is unavailable to or insufficient to hold harmless an indemnified party under subsection (a) or</w:t>
      </w:r>
    </w:p>
    <w:p>
      <w:pPr>
        <w:spacing w:after="0" w:line="38" w:lineRule="exact"/>
        <w:rPr>
          <w:rFonts w:ascii="Times New Roman" w:cs="Times New Roman" w:eastAsia="Times New Roman" w:hAnsi="Times New Roman"/>
          <w:sz w:val="17"/>
          <w:szCs w:val="17"/>
          <w:color w:val="auto"/>
        </w:rPr>
      </w:pPr>
    </w:p>
    <w:p>
      <w:pPr>
        <w:ind w:right="20" w:firstLine="8"/>
        <w:spacing w:after="0" w:line="252"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Partnership Parties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relative fault of the Partnership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Partnership Parties on the one hand and the Underwriters on the other shall be deemed to be in the same proportion as the total net proceeds from the offering (before deducting expenses) received by the Partnership Parties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Partnership Parties on the one hand or the Underwriters on the other and the parties’ relative intent, knowledge, access to information and opportunity to correct or prevent such statement or omission. The Partnership Parties and the Underwriters agree that it would not be just and equitable if contribution pursuant to this subsection (d) were determined by pro rata allocation (even if the Underwriters were treated as one entity for such purposes)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w:t>
      </w:r>
    </w:p>
    <w:p>
      <w:pPr>
        <w:spacing w:after="0" w:line="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9" w:lineRule="exact"/>
        <w:rPr>
          <w:sz w:val="20"/>
          <w:szCs w:val="20"/>
          <w:color w:val="auto"/>
        </w:rPr>
      </w:pPr>
    </w:p>
    <w:p>
      <w:pPr>
        <w:ind w:firstLine="656"/>
        <w:spacing w:after="0" w:line="277" w:lineRule="auto"/>
        <w:tabs>
          <w:tab w:leader="none" w:pos="89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the Partnership Parties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in addition to any liability which the Partnership Parties may otherwise have and shall extend, upon the same terms and conditions, to each person, if any, who controls any Underwriter within the meaning of the Act, each broker-dealer affiliate of any Underwriter and each director, officer, employee and agent of any Underwriter or broker-dealer affiliate of any Underwriter; and the obligations of the Underwriters under this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shall be in addition to any liability which the respective Underwriters may otherwise have and shall extend, upon the same terms and conditions, to each officer and director of the Partnership (including any person who, with his or her consent, is named in the</w:t>
      </w:r>
    </w:p>
    <w:p>
      <w:pPr>
        <w:sectPr>
          <w:pgSz w:w="11900" w:h="16838" w:orient="portrait"/>
          <w:cols w:equalWidth="0" w:num="1">
            <w:col w:w="11400"/>
          </w:cols>
          <w:pgMar w:left="240" w:top="121" w:right="259" w:bottom="0" w:gutter="0" w:footer="0" w:header="0"/>
        </w:sectPr>
      </w:pPr>
    </w:p>
    <w:bookmarkStart w:id="13" w:name="page14"/>
    <w:bookmarkEnd w:id="13"/>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Registration Statement as about to become a director of the Partnership) and to each person, if any, who controls the Partnership within the meaning of the Act.</w:t>
      </w:r>
    </w:p>
    <w:p>
      <w:pPr>
        <w:spacing w:after="0" w:line="162"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656"/>
        <w:spacing w:after="0" w:line="266" w:lineRule="auto"/>
        <w:tabs>
          <w:tab w:leader="none" w:pos="95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Partnership Parties and the several Underwriters, as set forth in this Agreement or made by or on behalf of them, respectively, pursuant to this Agreement, shall remain in full force and effect, regardless of any investigation (or any statement as to the results thereof) made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by or on behalf of any Underwriter or any controlling person of any Underwriter, or the Partnership, or any officer or director or controlling person of the Partnership, and shall survive delivery of and payment for the Securities.</w:t>
      </w:r>
    </w:p>
    <w:p>
      <w:pPr>
        <w:spacing w:after="0" w:line="162" w:lineRule="exact"/>
        <w:rPr>
          <w:sz w:val="20"/>
          <w:szCs w:val="20"/>
          <w:color w:val="auto"/>
        </w:rPr>
      </w:pPr>
    </w:p>
    <w:p>
      <w:pPr>
        <w:ind w:right="200" w:firstLine="656"/>
        <w:spacing w:after="0" w:line="261" w:lineRule="auto"/>
        <w:tabs>
          <w:tab w:leader="none" w:pos="9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any Securities are not delivered by or on behalf of the Partnership as provided herein, the Partnership Parties will reimburse the Representatives for all out-of-pocket expenses approved in writing by the Representatives, including fees and disbursements of counsel, reasonably incurred by the Underwriters in making preparations for the purchase, sale and delivery of the Securities not so delivered, but the Partnership Parties shall then be under no further liability in respect of the Securities not so delivered to any Underwriter except as provided in </w:t>
      </w:r>
      <w:r>
        <w:rPr>
          <w:rFonts w:ascii="Times New Roman" w:cs="Times New Roman" w:eastAsia="Times New Roman" w:hAnsi="Times New Roman"/>
          <w:sz w:val="18"/>
          <w:szCs w:val="18"/>
          <w:u w:val="single" w:color="auto"/>
          <w:color w:val="auto"/>
        </w:rPr>
        <w:t>Sections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hereof.</w:t>
      </w:r>
    </w:p>
    <w:p>
      <w:pPr>
        <w:spacing w:after="0" w:line="180" w:lineRule="exact"/>
        <w:rPr>
          <w:rFonts w:ascii="Times New Roman" w:cs="Times New Roman" w:eastAsia="Times New Roman" w:hAnsi="Times New Roman"/>
          <w:sz w:val="18"/>
          <w:szCs w:val="18"/>
          <w:color w:val="auto"/>
        </w:rPr>
      </w:pPr>
    </w:p>
    <w:p>
      <w:pPr>
        <w:ind w:right="200" w:firstLine="656"/>
        <w:spacing w:after="0" w:line="282" w:lineRule="auto"/>
        <w:tabs>
          <w:tab w:leader="none" w:pos="96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161" w:lineRule="exact"/>
        <w:rPr>
          <w:rFonts w:ascii="Times New Roman" w:cs="Times New Roman" w:eastAsia="Times New Roman" w:hAnsi="Times New Roman"/>
          <w:sz w:val="18"/>
          <w:szCs w:val="18"/>
          <w:color w:val="auto"/>
        </w:rPr>
      </w:pPr>
    </w:p>
    <w:p>
      <w:pPr>
        <w:ind w:firstLine="656"/>
        <w:spacing w:after="0" w:line="272" w:lineRule="auto"/>
        <w:tabs>
          <w:tab w:leader="none" w:pos="96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statements, requests, notices and agreements hereunder shall be in writing, and if to the Underwriters shall be delivered or sent by mail, telex or facsimile transmission to the Representatives: Morgan Stanley &amp; Co. LLC, 1585 Broadway, New York, New York 10036, Attention: Equity Syndicate Desk, with a copy to the Legal Department, UBS Securities LLC, 1285 Avenue of the Americas, New York, New York 10019, Attention: Syndicate, Stifel, Nicolaus &amp; Company, Incorporated, 787 7th Avenue, 11th Floor, New York, New York 10019, Attention: Syndicate Department or Citigroup Global Markets Inc., 388 Greenwich Street, New York, New York 10013, Attention: General Counsel, facsimile number 1-646-291-1469; and if to the Partnership shall be delivered or sent by mail, telex or facsimile transmission to the address of the Partnership set forth in the Registration Statement, Attention: Chief Financial Officer;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notices under </w:t>
      </w:r>
      <w:r>
        <w:rPr>
          <w:rFonts w:ascii="Times New Roman" w:cs="Times New Roman" w:eastAsia="Times New Roman" w:hAnsi="Times New Roman"/>
          <w:sz w:val="17"/>
          <w:szCs w:val="17"/>
          <w:u w:val="single" w:color="auto"/>
          <w:color w:val="auto"/>
        </w:rPr>
        <w:t>Section 5(e)</w:t>
      </w:r>
      <w:r>
        <w:rPr>
          <w:rFonts w:ascii="Times New Roman" w:cs="Times New Roman" w:eastAsia="Times New Roman" w:hAnsi="Times New Roman"/>
          <w:sz w:val="17"/>
          <w:szCs w:val="17"/>
          <w:color w:val="auto"/>
        </w:rPr>
        <w:t xml:space="preserve"> shall be in writing, and if to the Underwriters shall be delivered or sent by mail, telex or facsimile transmission to the Representatives at their addresses above. Any such statements, requests, notices or agreements shall take effect upon receipt thereof.</w:t>
      </w:r>
    </w:p>
    <w:p>
      <w:pPr>
        <w:spacing w:after="0" w:line="17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USA Patriot Act (Title III of Pub. L. 107-56 (signed into law October 26, 2001)), the Underwriters are required to obtain, verify and record information that identifies their respective clients, including the Partnership, which information may include the name and address of their respective clients, as well as other information that will allow the Underwriters to properly identify their respective clients.</w:t>
      </w:r>
    </w:p>
    <w:p>
      <w:pPr>
        <w:spacing w:after="0" w:line="176" w:lineRule="exact"/>
        <w:rPr>
          <w:sz w:val="20"/>
          <w:szCs w:val="20"/>
          <w:color w:val="auto"/>
        </w:rPr>
      </w:pPr>
    </w:p>
    <w:p>
      <w:pPr>
        <w:ind w:right="60" w:firstLine="656"/>
        <w:spacing w:after="0" w:line="261" w:lineRule="auto"/>
        <w:tabs>
          <w:tab w:leader="none" w:pos="9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binding upon, and inure solely to the benefit of, the Underwriters, the Partnership Parties and, to the extent provided in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hereof, the officers and directors of the Partnership and each person who controls the Partnership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82"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this Agreement. As used herein, the term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right="60" w:firstLine="656"/>
        <w:spacing w:after="0" w:line="254"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Parties acknowledge and agree that (i) the purchase and sale of the Securities pursuant to this Agreement is an arm’s-length commercial transaction between the Partnership Parties, on the one hand, and the several Underwriters, on the other, (ii) in connection therewith and with the process leading to such transaction each Underwriter is acting solely as a principal and not the agent or fiduciary of the Partnership Parties, (iii) no Underwriter has assumed an advisory or fiduciary responsibility in favor of the Partnership Parties with respect to the offering contemplated hereby or the process leading thereto (irrespective of whether such Underwriter has advised or is currently advising the Partnership Parties on other matters) or any other obligation to the Partnership Parties except the obligations expressly set forth in this Agreement and (iv) the Partnership Parties have consulted their own legal and financial advisors to the extent they deemed appropriate. The Partnership Parties agree that they will not claim that the Underwriters have rendered advisory services of any nature or respect, or owes a fiduciary or similar duty to the Partnership Parties, in connection with such transaction or the process leading thereto.</w:t>
      </w:r>
    </w:p>
    <w:p>
      <w:pPr>
        <w:spacing w:after="0" w:line="189" w:lineRule="exact"/>
        <w:rPr>
          <w:rFonts w:ascii="Times New Roman" w:cs="Times New Roman" w:eastAsia="Times New Roman" w:hAnsi="Times New Roman"/>
          <w:sz w:val="18"/>
          <w:szCs w:val="18"/>
          <w:color w:val="auto"/>
        </w:rPr>
      </w:pPr>
    </w:p>
    <w:p>
      <w:pPr>
        <w:ind w:right="820" w:firstLine="656"/>
        <w:spacing w:after="0" w:line="282"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all prior agreements and understandings (whether written or oral) between the Partnership Parties and the Underwriters, or any of them, with respect to the subject matter hereof.</w:t>
      </w:r>
    </w:p>
    <w:p>
      <w:pPr>
        <w:spacing w:after="0" w:line="161" w:lineRule="exact"/>
        <w:rPr>
          <w:rFonts w:ascii="Times New Roman" w:cs="Times New Roman" w:eastAsia="Times New Roman" w:hAnsi="Times New Roman"/>
          <w:sz w:val="18"/>
          <w:szCs w:val="18"/>
          <w:color w:val="auto"/>
        </w:rPr>
      </w:pPr>
    </w:p>
    <w:p>
      <w:pPr>
        <w:ind w:firstLine="656"/>
        <w:spacing w:after="0" w:line="256"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Partnership Parties agree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Partnership Parties agree to submit to the jurisdiction of, and to venue in, such courts.</w:t>
      </w:r>
    </w:p>
    <w:p>
      <w:pPr>
        <w:spacing w:after="0" w:line="187" w:lineRule="exact"/>
        <w:rPr>
          <w:rFonts w:ascii="Times New Roman" w:cs="Times New Roman" w:eastAsia="Times New Roman" w:hAnsi="Times New Roman"/>
          <w:sz w:val="18"/>
          <w:szCs w:val="18"/>
          <w:color w:val="auto"/>
        </w:rPr>
      </w:pPr>
    </w:p>
    <w:p>
      <w:pPr>
        <w:ind w:firstLine="656"/>
        <w:spacing w:after="0" w:line="255" w:lineRule="auto"/>
        <w:tabs>
          <w:tab w:leader="none" w:pos="9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appointed Puglisi &amp; Associates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Partnership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Partnership.</w:t>
      </w:r>
    </w:p>
    <w:p>
      <w:pPr>
        <w:sectPr>
          <w:pgSz w:w="11900" w:h="16906" w:orient="portrait"/>
          <w:cols w:equalWidth="0" w:num="1">
            <w:col w:w="11400"/>
          </w:cols>
          <w:pgMar w:left="240" w:top="121" w:right="25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56"/>
        <w:spacing w:after="0" w:line="282" w:lineRule="auto"/>
        <w:tabs>
          <w:tab w:leader="none" w:pos="9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right="180" w:firstLine="656"/>
        <w:spacing w:after="0" w:line="282" w:lineRule="auto"/>
        <w:tabs>
          <w:tab w:leader="none" w:pos="9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61" w:lineRule="exact"/>
        <w:rPr>
          <w:rFonts w:ascii="Times New Roman" w:cs="Times New Roman" w:eastAsia="Times New Roman" w:hAnsi="Times New Roman"/>
          <w:sz w:val="18"/>
          <w:szCs w:val="18"/>
          <w:color w:val="auto"/>
        </w:rPr>
      </w:pPr>
    </w:p>
    <w:p>
      <w:pPr>
        <w:ind w:right="220" w:firstLine="656"/>
        <w:spacing w:after="0" w:line="258" w:lineRule="auto"/>
        <w:tabs>
          <w:tab w:leader="none" w:pos="96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Underwriters confirms and the Partnership Parties acknowledge and agree that the statements regarding delivery of shares by the Underwriters set forth on the cover page of, and the concession and reallowance figures and the paragraph relating to stabilization by the Underwriters appearing under the caption “Underwriting” in, the most recent Preliminary Prospectus and the Prospectus are correct and constitute the only information concerning the Underwriters furnished in writing to the Partnership Parties by or on behalf of the Underwriters specifically for inclusion in any Preliminary Prospectus or any Issuer Free Writing Prospectus or in any amendment or supplement thereto.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the foregoing is in accordance with the understanding of the Representatives, please sign and return to the Representatives one copy for each of the Partnership Parties and the Representatives plus one copy for each counsel counterparts hereof, and upon the acceptance hereof by the Representatives, on behalf of each of the Underwriters, this letter and such acceptance hereof shall constitute a binding agreement between each of the Underwriters and the Partnership Parties. It is understood that the acceptance by the Representatives of this letter on behalf of each of the Underwriters is pursuant to the authority set forth in a form of agreement among Underwriters, the form of which shall be submitted to the Partnership for examination upon request, but without warranty on the part of the Representatives as to the authority of the signers thereof.</w:t>
      </w:r>
    </w:p>
    <w:p>
      <w:pPr>
        <w:spacing w:after="0" w:line="18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GasLog Partners GP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GasLog Ltd., as sole member</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Wogan</w:t>
            </w:r>
          </w:p>
        </w:tc>
      </w:tr>
      <w:tr>
        <w:trPr>
          <w:trHeight w:val="191"/>
        </w:trPr>
        <w:tc>
          <w:tcPr>
            <w:tcW w:w="4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Paul Wogan</w:t>
            </w:r>
          </w:p>
        </w:tc>
      </w:tr>
      <w:tr>
        <w:trPr>
          <w:trHeight w:val="234"/>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6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Andrew J. Orekar</w:t>
            </w:r>
          </w:p>
        </w:tc>
      </w:tr>
      <w:tr>
        <w:trPr>
          <w:trHeight w:val="191"/>
        </w:trPr>
        <w:tc>
          <w:tcPr>
            <w:tcW w:w="48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Andrew J. Orekar</w:t>
            </w:r>
          </w:p>
        </w:tc>
      </w:tr>
      <w:tr>
        <w:trPr>
          <w:trHeight w:val="234"/>
        </w:trPr>
        <w:tc>
          <w:tcPr>
            <w:tcW w:w="48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GasLog Partners Holdings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GasLog Partners LP, as sole member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Andrew J. Orekar</w:t>
      </w:r>
    </w:p>
    <w:p>
      <w:pPr>
        <w:spacing w:after="0" w:line="27" w:lineRule="exact"/>
        <w:rPr>
          <w:sz w:val="20"/>
          <w:szCs w:val="20"/>
          <w:color w:val="auto"/>
        </w:rPr>
      </w:pPr>
    </w:p>
    <w:tbl>
      <w:tblPr>
        <w:tblLayout w:type="fixed"/>
        <w:tblInd w:w="6200" w:type="dxa"/>
        <w:tblCellMar>
          <w:top w:w="0" w:type="dxa"/>
          <w:left w:w="0" w:type="dxa"/>
          <w:bottom w:w="0" w:type="dxa"/>
          <w:right w:w="0" w:type="dxa"/>
        </w:tblCellMar>
      </w:tblPr>
      <w:tr>
        <w:trPr>
          <w:trHeight w:val="191"/>
        </w:trPr>
        <w:tc>
          <w:tcPr>
            <w:tcW w:w="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Andrew J. Orekar</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Cowan Phan</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Cowan Phan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ectPr>
          <w:pgSz w:w="11900" w:h="16838" w:orient="portrait"/>
          <w:cols w:equalWidth="0" w:num="1">
            <w:col w:w="11420"/>
          </w:cols>
          <w:pgMar w:left="240" w:top="337" w:right="2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By:  /s/ Christian Stewart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Christian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Andrew Lee</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Andrew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Chris Weyers</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Chris Weyers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Adam D. Bordner</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7"/>
          <w:szCs w:val="17"/>
          <w:color w:val="auto"/>
        </w:rPr>
        <w:t>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78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behalf of each of the Underwriters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Underwriting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1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Optional Securities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 be Purchased if</w:t>
            </w: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3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Offered Securities</w:t>
            </w:r>
          </w:p>
        </w:tc>
        <w:tc>
          <w:tcPr>
            <w:tcW w:w="21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Maximum Option</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to be Purchased(1)</w:t>
            </w:r>
          </w:p>
        </w:tc>
        <w:tc>
          <w:tcPr>
            <w:tcW w:w="2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0" w:type="dxa"/>
            <w:vAlign w:val="bottom"/>
          </w:tcPr>
          <w:p>
            <w:pPr>
              <w:spacing w:after="0"/>
              <w:rPr>
                <w:sz w:val="1"/>
                <w:szCs w:val="1"/>
                <w:color w:val="auto"/>
              </w:rPr>
            </w:pPr>
          </w:p>
        </w:tc>
      </w:tr>
      <w:tr>
        <w:trPr>
          <w:trHeight w:val="210"/>
        </w:trPr>
        <w:tc>
          <w:tcPr>
            <w:tcW w:w="6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4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4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400" w:type="dxa"/>
            <w:vAlign w:val="bottom"/>
          </w:tcPr>
          <w:p>
            <w:pPr>
              <w:spacing w:after="0"/>
              <w:rPr>
                <w:sz w:val="18"/>
                <w:szCs w:val="18"/>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2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600,000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2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300,000</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Suisse Securities (USA) LLC</w:t>
            </w:r>
          </w:p>
        </w:tc>
        <w:tc>
          <w:tcPr>
            <w:tcW w:w="2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300,000</w:t>
            </w:r>
          </w:p>
        </w:tc>
        <w:tc>
          <w:tcPr>
            <w:tcW w:w="1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400" w:type="dxa"/>
            <w:vAlign w:val="bottom"/>
          </w:tcPr>
          <w:p>
            <w:pPr>
              <w:spacing w:after="0"/>
              <w:rPr>
                <w:sz w:val="18"/>
                <w:szCs w:val="18"/>
                <w:color w:val="auto"/>
              </w:rPr>
            </w:pPr>
          </w:p>
        </w:tc>
        <w:tc>
          <w:tcPr>
            <w:tcW w:w="1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212,000 Series B Preference Units sold by the Underwriters to Blenheim Holdings Ltd. and certain other directors and officers of the Partnership.</w:t>
      </w:r>
    </w:p>
    <w:p>
      <w:pPr>
        <w:spacing w:after="0" w:line="225" w:lineRule="exact"/>
        <w:rPr>
          <w:rFonts w:ascii="Times New Roman" w:cs="Times New Roman" w:eastAsia="Times New Roman" w:hAnsi="Times New Roman"/>
          <w:sz w:val="18"/>
          <w:szCs w:val="18"/>
          <w:color w:val="auto"/>
        </w:rPr>
      </w:pPr>
    </w:p>
    <w:p>
      <w:pPr>
        <w:ind w:left="5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140" w:type="dxa"/>
            <w:vAlign w:val="bottom"/>
            <w:gridSpan w:val="2"/>
          </w:tcPr>
          <w:p>
            <w:pPr>
              <w:jc w:val="center"/>
              <w:ind w:right="5170"/>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34"/>
        </w:trPr>
        <w:tc>
          <w:tcPr>
            <w:tcW w:w="19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FREE WRITING PROSPECTUS</w:t>
            </w:r>
          </w:p>
        </w:tc>
      </w:tr>
      <w:tr>
        <w:trPr>
          <w:trHeight w:val="216"/>
        </w:trPr>
        <w:tc>
          <w:tcPr>
            <w:tcW w:w="1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tc>
      </w:tr>
      <w:tr>
        <w:trPr>
          <w:trHeight w:val="216"/>
        </w:trPr>
        <w:tc>
          <w:tcPr>
            <w:tcW w:w="19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Registration Statement No. 333-220736</w:t>
            </w:r>
          </w:p>
        </w:tc>
      </w:tr>
      <w:tr>
        <w:trPr>
          <w:trHeight w:val="234"/>
        </w:trPr>
        <w:tc>
          <w:tcPr>
            <w:tcW w:w="19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9, 2018</w:t>
            </w:r>
          </w:p>
        </w:tc>
      </w:tr>
      <w:tr>
        <w:trPr>
          <w:trHeight w:val="432"/>
        </w:trPr>
        <w:tc>
          <w:tcPr>
            <w:tcW w:w="1920" w:type="dxa"/>
            <w:vAlign w:val="bottom"/>
          </w:tcPr>
          <w:p>
            <w:pPr>
              <w:spacing w:after="0"/>
              <w:rPr>
                <w:sz w:val="24"/>
                <w:szCs w:val="24"/>
                <w:color w:val="auto"/>
              </w:rPr>
            </w:pPr>
          </w:p>
        </w:tc>
        <w:tc>
          <w:tcPr>
            <w:tcW w:w="950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color w:val="auto"/>
                <w:w w:val="99"/>
              </w:rPr>
              <w:t>PRICING TERM SHEET</w:t>
            </w:r>
          </w:p>
        </w:tc>
      </w:tr>
      <w:tr>
        <w:trPr>
          <w:trHeight w:val="432"/>
        </w:trPr>
        <w:tc>
          <w:tcPr>
            <w:tcW w:w="1920" w:type="dxa"/>
            <w:vAlign w:val="bottom"/>
          </w:tcPr>
          <w:p>
            <w:pPr>
              <w:spacing w:after="0"/>
              <w:rPr>
                <w:sz w:val="24"/>
                <w:szCs w:val="24"/>
                <w:color w:val="auto"/>
              </w:rPr>
            </w:pPr>
          </w:p>
        </w:tc>
        <w:tc>
          <w:tcPr>
            <w:tcW w:w="950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color w:val="auto"/>
                <w:w w:val="99"/>
              </w:rPr>
              <w:t>GasLog Partners LP</w:t>
            </w:r>
          </w:p>
        </w:tc>
      </w:tr>
      <w:tr>
        <w:trPr>
          <w:trHeight w:val="414"/>
        </w:trPr>
        <w:tc>
          <w:tcPr>
            <w:tcW w:w="1920" w:type="dxa"/>
            <w:vAlign w:val="bottom"/>
          </w:tcPr>
          <w:p>
            <w:pPr>
              <w:spacing w:after="0"/>
              <w:rPr>
                <w:sz w:val="24"/>
                <w:szCs w:val="24"/>
                <w:color w:val="auto"/>
              </w:rPr>
            </w:pPr>
          </w:p>
        </w:tc>
        <w:tc>
          <w:tcPr>
            <w:tcW w:w="950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color w:val="auto"/>
              </w:rPr>
              <w:t>8.200% Series B Cumulative Redeemable Perpetual Fixed to Floating Rate Preference Units</w:t>
            </w:r>
          </w:p>
        </w:tc>
      </w:tr>
      <w:tr>
        <w:trPr>
          <w:trHeight w:val="234"/>
        </w:trPr>
        <w:tc>
          <w:tcPr>
            <w:tcW w:w="1920" w:type="dxa"/>
            <w:vAlign w:val="bottom"/>
          </w:tcPr>
          <w:p>
            <w:pPr>
              <w:spacing w:after="0"/>
              <w:rPr>
                <w:sz w:val="20"/>
                <w:szCs w:val="20"/>
                <w:color w:val="auto"/>
              </w:rPr>
            </w:pPr>
          </w:p>
        </w:tc>
        <w:tc>
          <w:tcPr>
            <w:tcW w:w="9500" w:type="dxa"/>
            <w:vAlign w:val="bottom"/>
            <w:gridSpan w:val="3"/>
          </w:tcPr>
          <w:p>
            <w:pPr>
              <w:jc w:val="center"/>
              <w:ind w:right="1810"/>
              <w:spacing w:after="0"/>
              <w:rPr>
                <w:sz w:val="20"/>
                <w:szCs w:val="20"/>
                <w:color w:val="auto"/>
              </w:rPr>
            </w:pPr>
            <w:r>
              <w:rPr>
                <w:rFonts w:ascii="Times New Roman" w:cs="Times New Roman" w:eastAsia="Times New Roman" w:hAnsi="Times New Roman"/>
                <w:sz w:val="18"/>
                <w:szCs w:val="18"/>
                <w:color w:val="auto"/>
              </w:rPr>
              <w:t>(Liquidation Preference $25.00 per Unit)</w:t>
            </w:r>
          </w:p>
        </w:tc>
      </w:tr>
      <w:tr>
        <w:trPr>
          <w:trHeight w:val="432"/>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tc>
        <w:tc>
          <w:tcPr>
            <w:tcW w:w="950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GasLog Partners LP</w:t>
            </w: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r>
              <w:rPr>
                <w:rFonts w:ascii="Times New Roman" w:cs="Times New Roman" w:eastAsia="Times New Roman" w:hAnsi="Times New Roman"/>
                <w:sz w:val="18"/>
                <w:szCs w:val="18"/>
                <w:color w:val="auto"/>
              </w:rPr>
              <w:t>:</w:t>
            </w:r>
          </w:p>
        </w:tc>
        <w:tc>
          <w:tcPr>
            <w:tcW w:w="950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8.200% Series B Cumulative Redeemable Perpetual Fixed to Floating Rate Preference Units</w:t>
            </w:r>
          </w:p>
        </w:tc>
      </w:tr>
      <w:tr>
        <w:trPr>
          <w:trHeight w:val="234"/>
        </w:trPr>
        <w:tc>
          <w:tcPr>
            <w:tcW w:w="1920" w:type="dxa"/>
            <w:vAlign w:val="bottom"/>
          </w:tcPr>
          <w:p>
            <w:pPr>
              <w:spacing w:after="0"/>
              <w:rPr>
                <w:sz w:val="20"/>
                <w:szCs w:val="20"/>
                <w:color w:val="auto"/>
              </w:rPr>
            </w:pPr>
          </w:p>
        </w:tc>
        <w:tc>
          <w:tcPr>
            <w:tcW w:w="950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representing limited partner interests in the Partnership (the “Series B Preference Units”).</w:t>
            </w:r>
          </w:p>
        </w:tc>
      </w:tr>
      <w:tr>
        <w:trPr>
          <w:trHeight w:val="432"/>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Units</w:t>
            </w:r>
            <w:r>
              <w:rPr>
                <w:rFonts w:ascii="Times New Roman" w:cs="Times New Roman" w:eastAsia="Times New Roman" w:hAnsi="Times New Roman"/>
                <w:sz w:val="18"/>
                <w:szCs w:val="18"/>
                <w:color w:val="auto"/>
              </w:rPr>
              <w:t>:</w:t>
            </w:r>
          </w:p>
        </w:tc>
        <w:tc>
          <w:tcPr>
            <w:tcW w:w="950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4,000,000 Series B Preference Units.</w:t>
            </w:r>
          </w:p>
        </w:tc>
      </w:tr>
    </w:tbl>
    <w:p>
      <w:pPr>
        <w:sectPr>
          <w:pgSz w:w="11900" w:h="16838" w:orient="portrait"/>
          <w:cols w:equalWidth="0" w:num="1">
            <w:col w:w="11420"/>
          </w:cols>
          <w:pgMar w:left="240" w:top="553" w:right="239" w:bottom="0" w:gutter="0" w:footer="0" w:header="0"/>
        </w:sectPr>
      </w:pPr>
    </w:p>
    <w:bookmarkStart w:id="16" w:name="page17"/>
    <w:bookmarkEnd w:id="16"/>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of Option Units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600,000 Series B Preference Units.</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$25.00 per unit; $100,000,000 total (assuming no exercise of the underwriters’ option to</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purchase additional units).</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Underwriting Discounts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$0.7875 per unit for 3,788,000 Series B Preference Units; $0 per unit for 212,000 Series B</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Preference Units sold to Blenheim Holdings Ltd. and to certain other directors or officers;</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$2,983,050 total (assuming no exercise of the underwriters’ option to purchase additional</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units).</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Perpetual (unless redeemed by the issuer on or after March 15, 2023).</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Ratings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Series B Preference Units will not be rated.</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January 9, 2018</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January 17, 2018 (T+5)</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Liquidation Preference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$25.00 per Series B Preference Unit, plus accumulated and unpaid distributions.</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Rate</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From and including the Settlement Date to, but excluding, March 15, 2023 (the “Fixed Rate</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Period”), the distribution rate for the Series B Preference Units will be 8.200% per annum per</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$25.00 of liquidation preference per share (equal to $2.05 per annum per share). From and</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including March 15, 2023 (the “Floating Rate Period”), the distribution rate will be a floating</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rate equal to three-month LIBOR plus a spread of 5.839% per annum per $25.00 of liquidation</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preference per share.</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Payment Dates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“Distribution Payment Dates” for the Series B Preference Units will be the 15th day of</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March, June, September and December of each year, commencing on March 15, 2018. The</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initial distribution on the Series B Preference Units will be paid on March 15, 2018 in an</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amount equal to $0.33028 per unit. Distributions on the Series B Preference Units will</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accumulate at a rate of 8.200% per annum per $25.00 stated liquidation preference per Series B</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Preference Unit.</w:t>
            </w:r>
          </w:p>
        </w:tc>
      </w:tr>
      <w:tr>
        <w:trPr>
          <w:trHeight w:val="432"/>
        </w:trPr>
        <w:tc>
          <w:tcPr>
            <w:tcW w:w="3480" w:type="dxa"/>
            <w:vAlign w:val="bottom"/>
          </w:tcPr>
          <w:p>
            <w:pPr>
              <w:spacing w:after="0"/>
              <w:rPr>
                <w:sz w:val="24"/>
                <w:szCs w:val="24"/>
                <w:color w:val="auto"/>
              </w:rPr>
            </w:pPr>
          </w:p>
        </w:tc>
        <w:tc>
          <w:tcPr>
            <w:tcW w:w="7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Schedule II-1</w:t>
            </w:r>
          </w:p>
        </w:tc>
      </w:tr>
      <w:tr>
        <w:trPr>
          <w:trHeight w:val="132"/>
        </w:trPr>
        <w:tc>
          <w:tcPr>
            <w:tcW w:w="3480" w:type="dxa"/>
            <w:vAlign w:val="bottom"/>
            <w:tcBorders>
              <w:bottom w:val="single" w:sz="8" w:color="808080"/>
            </w:tcBorders>
          </w:tcPr>
          <w:p>
            <w:pPr>
              <w:spacing w:after="0"/>
              <w:rPr>
                <w:sz w:val="11"/>
                <w:szCs w:val="11"/>
                <w:color w:val="auto"/>
              </w:rPr>
            </w:pPr>
          </w:p>
        </w:tc>
        <w:tc>
          <w:tcPr>
            <w:tcW w:w="7980" w:type="dxa"/>
            <w:vAlign w:val="bottom"/>
            <w:tcBorders>
              <w:bottom w:val="single" w:sz="8" w:color="808080"/>
            </w:tcBorders>
          </w:tcPr>
          <w:p>
            <w:pPr>
              <w:spacing w:after="0"/>
              <w:rPr>
                <w:sz w:val="11"/>
                <w:szCs w:val="11"/>
                <w:color w:val="auto"/>
              </w:rPr>
            </w:pPr>
          </w:p>
        </w:tc>
      </w:tr>
      <w:tr>
        <w:trPr>
          <w:trHeight w:val="76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Partnership shall have the option to redeem the Series B Preference Units, in whole or in</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part, on or after March 15, 2023 at the liquidation preference of $25.00 per unit, plus accrued</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but unpaid distributions.</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CUSIP/ISIN</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Y2687W124/MHY2687W1241</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Book-Running Managers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Morgan Stanley &amp; Co. LLC</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UBS Securities LLC</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Stifel, Nicolaus &amp; Company, Incorporated</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Co-Managers</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Credit Suisse Securities (USA) LLC</w:t>
            </w:r>
          </w:p>
        </w:tc>
      </w:tr>
      <w:tr>
        <w:trPr>
          <w:trHeight w:val="414"/>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w:t>
            </w:r>
            <w:r>
              <w:rPr>
                <w:rFonts w:ascii="Times New Roman" w:cs="Times New Roman" w:eastAsia="Times New Roman" w:hAnsi="Times New Roman"/>
                <w:sz w:val="18"/>
                <w:szCs w:val="18"/>
                <w:color w:val="auto"/>
              </w:rPr>
              <w:t>:</w:t>
            </w: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The issuer intends to file an application to list the Series B Preference Units on the NYSE</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under the symbol “GLOP PR B.” If the application is approved, trading of the Series B</w:t>
            </w:r>
          </w:p>
        </w:tc>
      </w:tr>
      <w:tr>
        <w:trPr>
          <w:trHeight w:val="216"/>
        </w:trPr>
        <w:tc>
          <w:tcPr>
            <w:tcW w:w="3480" w:type="dxa"/>
            <w:vAlign w:val="bottom"/>
          </w:tcPr>
          <w:p>
            <w:pPr>
              <w:spacing w:after="0"/>
              <w:rPr>
                <w:sz w:val="18"/>
                <w:szCs w:val="18"/>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Preference Units on the NYSE is expected to commence within 30 days after their original</w:t>
            </w:r>
          </w:p>
        </w:tc>
      </w:tr>
      <w:tr>
        <w:trPr>
          <w:trHeight w:val="234"/>
        </w:trPr>
        <w:tc>
          <w:tcPr>
            <w:tcW w:w="3480" w:type="dxa"/>
            <w:vAlign w:val="bottom"/>
          </w:tcPr>
          <w:p>
            <w:pPr>
              <w:spacing w:after="0"/>
              <w:rPr>
                <w:sz w:val="20"/>
                <w:szCs w:val="20"/>
                <w:color w:val="auto"/>
              </w:rPr>
            </w:pPr>
          </w:p>
        </w:tc>
        <w:tc>
          <w:tcPr>
            <w:tcW w:w="7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issue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expect that delivery of the Series B Preference Units will be made to investors on or about January 17, 2018, which will be the fifth business day following the date of this pricing term sheet (such settlement being referred to as “T+5”). Under Rule 15c6-1 under the Securities Exchange Act of 1934, trades in the secondary market are required to settle in two business days, unless the parties to any such trade expressly agree otherwise. Accordingly, purchasers who wish to trade Series B Preference Units on the date of this pricing term sheet or the next two succeeding business days will be required, by virtue of the fact that the Series B Preference Units initially settle in T+5, to specify an alternate settlement arrangement at the time of any such trade to prevent a failed settlement. Purchasers of the Series B Preference Units who wish to trade the Series B Preference Units on the date of this pricing term sheet or the next two succeeding business days should consult their advisors.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All information (including financial information) presented in the Preliminary Prospectus is deemed to have changed to the extent affected by the changes described herein.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communication is intended for the sole use of the person to whom it is provided by us. This communication does not constitute an offer to sell the units and is not soliciting an offer to buy the units in any jurisdiction where the offer or sale is not permitted.</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issuer has filed a registration statement (including a prospectus) with the Securities and Exchange Commission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w:t>
      </w:r>
    </w:p>
    <w:p>
      <w:pPr>
        <w:sectPr>
          <w:pgSz w:w="11900" w:h="16865" w:orient="portrait"/>
          <w:cols w:equalWidth="0" w:num="1">
            <w:col w:w="11460"/>
          </w:cols>
          <w:pgMar w:left="240" w:top="117" w:right="199" w:bottom="0" w:gutter="0" w:footer="0" w:header="0"/>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www.sec.gov. Alternatively, the issuer, any underwriters or any dealer participating in the offering will arrange to send you the prospectus if you request it by calling or contacting Morgan Stanley &amp; Co. LLC at Attn: Prospectus Department, 180 Varick Street, 2nd Floor, New York, NY 10014, UBS Securities LLC at 1-888-827-7275, Stifel, Nicolaus &amp; Company, Incorporated at 1-855-300-7136 or Citigroup Global Markets Inc. at 1-800-831-9146.</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DISCLAIMER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Final Term Sheet of GasLog Partners LP dated January 9, 2018 and attached to the Agreement as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Owned Vessels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258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Flag</w:t>
            </w:r>
          </w:p>
        </w:tc>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Owning Entity</w:t>
            </w:r>
          </w:p>
        </w:tc>
        <w:tc>
          <w:tcPr>
            <w:tcW w:w="228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IMO Number</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GAS-three Ltd.</w:t>
            </w:r>
          </w:p>
        </w:tc>
        <w:tc>
          <w:tcPr>
            <w:tcW w:w="28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9600528</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GAS-four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9600530</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GAS-five Ltd.</w:t>
            </w:r>
          </w:p>
        </w:tc>
        <w:tc>
          <w:tcPr>
            <w:tcW w:w="22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9626273</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GAS-seven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9634086</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GAS-eight Ltd.</w:t>
            </w:r>
          </w:p>
        </w:tc>
        <w:tc>
          <w:tcPr>
            <w:tcW w:w="22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9634098</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GAS-eleven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9687019</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GAS-thirteen Ltd.</w:t>
            </w:r>
          </w:p>
        </w:tc>
        <w:tc>
          <w:tcPr>
            <w:tcW w:w="22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9707508</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GAS-sixteen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9307188</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GAS-seventeen Ltd.</w:t>
            </w:r>
          </w:p>
        </w:tc>
        <w:tc>
          <w:tcPr>
            <w:tcW w:w="22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9307190</w:t>
            </w: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GAS-nineteen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9321768</w:t>
            </w: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Shirley Elisabeth</w:t>
            </w: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GAS-twenty Ltd.</w:t>
            </w:r>
          </w:p>
        </w:tc>
        <w:tc>
          <w:tcPr>
            <w:tcW w:w="2280" w:type="dxa"/>
            <w:vAlign w:val="bottom"/>
            <w:shd w:val="clear" w:color="auto" w:fill="CCEEFF"/>
          </w:tcPr>
          <w:p>
            <w:pPr>
              <w:jc w:val="right"/>
              <w:ind w:right="1571"/>
              <w:spacing w:after="0"/>
              <w:rPr>
                <w:sz w:val="20"/>
                <w:szCs w:val="20"/>
                <w:color w:val="auto"/>
              </w:rPr>
            </w:pPr>
            <w:r>
              <w:rPr>
                <w:rFonts w:ascii="Times New Roman" w:cs="Times New Roman" w:eastAsia="Times New Roman" w:hAnsi="Times New Roman"/>
                <w:sz w:val="18"/>
                <w:szCs w:val="18"/>
                <w:color w:val="auto"/>
                <w:w w:val="95"/>
              </w:rPr>
              <w:t>9321756</w:t>
            </w:r>
          </w:p>
        </w:tc>
      </w:tr>
      <w:tr>
        <w:trPr>
          <w:trHeight w:val="23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GAS-twenty one Ltd.</w:t>
            </w:r>
          </w:p>
        </w:tc>
        <w:tc>
          <w:tcPr>
            <w:tcW w:w="2280" w:type="dxa"/>
            <w:vAlign w:val="bottom"/>
          </w:tcPr>
          <w:p>
            <w:pPr>
              <w:jc w:val="right"/>
              <w:ind w:right="1571"/>
              <w:spacing w:after="0"/>
              <w:rPr>
                <w:sz w:val="20"/>
                <w:szCs w:val="20"/>
                <w:color w:val="auto"/>
              </w:rPr>
            </w:pPr>
            <w:r>
              <w:rPr>
                <w:rFonts w:ascii="Times New Roman" w:cs="Times New Roman" w:eastAsia="Times New Roman" w:hAnsi="Times New Roman"/>
                <w:sz w:val="18"/>
                <w:szCs w:val="18"/>
                <w:color w:val="auto"/>
                <w:w w:val="95"/>
              </w:rPr>
              <w:t>9321744</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Lock-Up Agreement</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 2018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1585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7th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GasLog Partners LP –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ectPr>
          <w:pgSz w:w="11900" w:h="16838" w:orient="portrait"/>
          <w:cols w:equalWidth="0" w:num="1">
            <w:col w:w="11420"/>
          </w:cols>
          <w:pgMar w:left="240" w:top="121" w:right="239" w:bottom="0" w:gutter="0" w:footer="0" w:header="0"/>
        </w:sectPr>
      </w:pPr>
    </w:p>
    <w:bookmarkStart w:id="18" w:name="page19"/>
    <w:bookmarkEnd w:id="18"/>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undersigned understands that Morgan Stanley &amp; Co. LLC, UBS Securities LLC, Stifel, Nicolaus &amp; Company, Incorporated and Citigroup Global Markets Inc. as representatives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propose to enter into an Underwriting Agreement on behalf of the several Underwriters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to such agreement (collectively,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with GasLog Partners GP LLC, a limited liability company organized under the laws of the Republic of The Marshall Islands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GasLog Partners LP, a limited partnership organized under the laws of the Republic of The Marshall Islands (the “</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and GasLog Partners Holdings LLC, a limited liability company organized under the laws of the Republic of The Marshall Islands (the “</w:t>
      </w:r>
      <w:r>
        <w:rPr>
          <w:rFonts w:ascii="Times New Roman" w:cs="Times New Roman" w:eastAsia="Times New Roman" w:hAnsi="Times New Roman"/>
          <w:sz w:val="18"/>
          <w:szCs w:val="18"/>
          <w:u w:val="single" w:color="auto"/>
          <w:color w:val="auto"/>
        </w:rPr>
        <w:t>Operating Company</w:t>
      </w:r>
      <w:r>
        <w:rPr>
          <w:rFonts w:ascii="Times New Roman" w:cs="Times New Roman" w:eastAsia="Times New Roman" w:hAnsi="Times New Roman"/>
          <w:sz w:val="18"/>
          <w:szCs w:val="18"/>
          <w:color w:val="auto"/>
        </w:rPr>
        <w:t>” and together with the General Partner and the Partnership, the “</w:t>
      </w:r>
      <w:r>
        <w:rPr>
          <w:rFonts w:ascii="Times New Roman" w:cs="Times New Roman" w:eastAsia="Times New Roman" w:hAnsi="Times New Roman"/>
          <w:sz w:val="18"/>
          <w:szCs w:val="18"/>
          <w:u w:val="single" w:color="auto"/>
          <w:color w:val="auto"/>
        </w:rPr>
        <w:t>Partnership Parties</w:t>
      </w:r>
      <w:r>
        <w:rPr>
          <w:rFonts w:ascii="Times New Roman" w:cs="Times New Roman" w:eastAsia="Times New Roman" w:hAnsi="Times New Roman"/>
          <w:sz w:val="18"/>
          <w:szCs w:val="18"/>
          <w:color w:val="auto"/>
        </w:rPr>
        <w:t>”), providing for a public offering of the Partnership’s Series B Cumulative Redeemable Perpetual Fixed to Floating Rate Preference Units representing limited partnership interests in the Partnership (the “</w:t>
      </w:r>
      <w:r>
        <w:rPr>
          <w:rFonts w:ascii="Times New Roman" w:cs="Times New Roman" w:eastAsia="Times New Roman" w:hAnsi="Times New Roman"/>
          <w:sz w:val="18"/>
          <w:szCs w:val="18"/>
          <w:u w:val="single" w:color="auto"/>
          <w:color w:val="auto"/>
        </w:rPr>
        <w:t>Series B Preference Units</w:t>
      </w:r>
      <w:r>
        <w:rPr>
          <w:rFonts w:ascii="Times New Roman" w:cs="Times New Roman" w:eastAsia="Times New Roman" w:hAnsi="Times New Roman"/>
          <w:sz w:val="18"/>
          <w:szCs w:val="18"/>
          <w:color w:val="auto"/>
        </w:rPr>
        <w:t>”) pursuant to a Registration Statement on Form F-3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consideration of the agreement by the Underwriters to offer and sell the Series B Preference Units, and for other good and valuable consideration the receipt and sufficiency of which is hereby acknowledged, the undersigned agrees that, during the period specified in the following paragraph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the undersigned will not offer, sell, contract to sell, pledge, grant any option to purchase, make any short sale or otherwise dispose of any Series B Preference Units of the Partnership, or any options or warrants to purchase any Series B Preference Units of the Partnership, or any securities convertible into, exchangeable for or that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represent the right to receive Series B Preference Units of the Partnership, whether now owned or hereinafter acquired, owned directly by the undersigned (including holding as a custodian) or with respect to which the undersigned has beneficial ownership within the rules and regulations of the SEC (collectively the “</w:t>
      </w:r>
      <w:r>
        <w:rPr>
          <w:rFonts w:ascii="Times New Roman" w:cs="Times New Roman" w:eastAsia="Times New Roman" w:hAnsi="Times New Roman"/>
          <w:sz w:val="18"/>
          <w:szCs w:val="18"/>
          <w:u w:val="single" w:color="auto"/>
          <w:color w:val="auto"/>
        </w:rPr>
        <w:t>Undersigned’s Units</w:t>
      </w:r>
      <w:r>
        <w:rPr>
          <w:rFonts w:ascii="Times New Roman" w:cs="Times New Roman" w:eastAsia="Times New Roman" w:hAnsi="Times New Roman"/>
          <w:sz w:val="18"/>
          <w:szCs w:val="18"/>
          <w:color w:val="auto"/>
        </w:rPr>
        <w:t>”). The foregoing restriction is expressly agreed to preclude the undersigned from engaging in any hedging or other transaction which is designed to or which reasonably could be expected to lead to or result in a sale or disposition of the Undersigned’s Units even if such Series B Preference Units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Units or with respect to any security that includes, relates to, or derives any significant part of its value from such Series B Preference Units.</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initial Lock-Up Period will commence on the date of this Lock-Up Agreement and continue for 30 days after the public offering date set forth on the final prospectus used to sell the Series B Preference Units (the “</w:t>
      </w:r>
      <w:r>
        <w:rPr>
          <w:rFonts w:ascii="Times New Roman" w:cs="Times New Roman" w:eastAsia="Times New Roman" w:hAnsi="Times New Roman"/>
          <w:sz w:val="18"/>
          <w:szCs w:val="18"/>
          <w:u w:val="single" w:color="auto"/>
          <w:color w:val="auto"/>
        </w:rPr>
        <w:t>Public Offering Date</w:t>
      </w:r>
      <w:r>
        <w:rPr>
          <w:rFonts w:ascii="Times New Roman" w:cs="Times New Roman" w:eastAsia="Times New Roman" w:hAnsi="Times New Roman"/>
          <w:sz w:val="18"/>
          <w:szCs w:val="18"/>
          <w:color w:val="auto"/>
        </w:rPr>
        <w:t>”) pursuant to the Underwriting Agreement.</w:t>
      </w:r>
    </w:p>
    <w:p>
      <w:pPr>
        <w:spacing w:after="0" w:line="16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undersigned may transfer the Undersigned’s Units (i) 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(iii) with the prior written consent of the Representatives, (iv) to any of its Affiliates (as such term is defined in the Rule 405 under the U.S. Securities Act of 1933, as amended) or as distributions to members, general partners and limited partners or shareholders of the undersigned who, in any case under this clause (iv), agree to be bound by the terms of this Lock-Up Agreement, provided that no filing under Section 16(a)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be required or shall be voluntarily made, or (v) in the establishment of a trading plan pursuant to Rule 10b5-1 under the Exchange Act for the transfer of Series B Preference Units, provided that such plan does not provide for the transfer of Series B Preference Units during the Lock-Up Period. For purposes of this Lock-Up Agreement, “</w:t>
      </w:r>
      <w:r>
        <w:rPr>
          <w:rFonts w:ascii="Times New Roman" w:cs="Times New Roman" w:eastAsia="Times New Roman" w:hAnsi="Times New Roman"/>
          <w:sz w:val="18"/>
          <w:szCs w:val="18"/>
          <w:u w:val="single" w:color="auto"/>
          <w:color w:val="auto"/>
        </w:rPr>
        <w:t>immediate family</w:t>
      </w:r>
      <w:r>
        <w:rPr>
          <w:rFonts w:ascii="Times New Roman" w:cs="Times New Roman" w:eastAsia="Times New Roman" w:hAnsi="Times New Roman"/>
          <w:sz w:val="18"/>
          <w:szCs w:val="18"/>
          <w:color w:val="auto"/>
        </w:rPr>
        <w:t xml:space="preserve">” shall mean any relationship by blood, marriage or adoption, not more remote than first cousin. In addition, notwithstanding the foregoing, if the undersigned is a corporation, the corporation may transfer the Undersigned’s Units to any wholly owned subsidiary of such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any such case, it shall be a condition to the transfer that the transferee execute an agreement stating that the transferee is receiving and holding such Series B Preference Units subject to the provisions of this Lock-Up Agreement and there shall be no further transfer of such Series B Preference Units except in accordance with this Lock-Up Agreement, and provided further that any such transfer shall not involve a disposition for value. The undersigned now has, and, except as contemplated by clauses (i) through (v) above, for the duration of this Lock-Up Agreement will have, good and marketable title to the Undersigned’s Units, free and clear of all liens, encumbrances, and claims whatsoever. The undersigned also agrees and consents to the entry of stop transfer instructions with the Partnership’s transfer agent and registrar against the transfer of the Undersigned’s Units except in compliance with the foregoing restrictions.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Partnership Parties and the Representatives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If (i) the Partnership notifies you in writing that it does not intend to proceed with the public offering, (ii) the Registration Statement filed with the SEC with respect to the public offering of the Series B Preference Units is withdrawn or (iii) for any reason the Underwriting Agreement shall be terminated prior to the First Time of Delivery (as defined in the Underwriting Agreement), the provisions of this Lock-Up Agreement shall be terminated and the undersigned shall be released from its obligations hereunder.</w:t>
      </w:r>
    </w:p>
    <w:p>
      <w:pPr>
        <w:spacing w:after="0" w:line="18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[Exact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292100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20"/>
          </w:cols>
          <w:pgMar w:left="240" w:top="337" w:right="239" w:bottom="171" w:gutter="0" w:footer="0" w:header="0"/>
        </w:sectPr>
      </w:pPr>
    </w:p>
    <w:bookmarkStart w:id="19" w:name="page20"/>
    <w:bookmarkEnd w:id="19"/>
    <w:p>
      <w:pPr>
        <w:ind w:left="572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00" w:lineRule="exact"/>
        <w:rPr>
          <w:sz w:val="20"/>
          <w:szCs w:val="20"/>
          <w:color w:val="auto"/>
        </w:rPr>
      </w:pPr>
    </w:p>
    <w:p>
      <w:pPr>
        <w:spacing w:after="0" w:line="25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List of Individuals and Entities Subject to Lock Up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GasLog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Curtis V. Anastasio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Robert B. Allardice III</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Daniel Bradshaw</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Alastair Maxwell</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Pamela Gibson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Peter G. Livanos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Andrew J. Orekar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Anthony Papadimitriou</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Richard Sadler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VI-1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Covered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VII-1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VIII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Operative Agreements</w:t>
      </w:r>
    </w:p>
    <w:p>
      <w:pPr>
        <w:spacing w:after="0" w:line="225"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VIII-1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IX</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Specified Agreements</w:t>
      </w:r>
    </w:p>
    <w:p>
      <w:pPr>
        <w:spacing w:after="0" w:line="225" w:lineRule="exact"/>
        <w:rPr>
          <w:sz w:val="20"/>
          <w:szCs w:val="20"/>
          <w:color w:val="auto"/>
        </w:rPr>
      </w:pPr>
    </w:p>
    <w:p>
      <w:pPr>
        <w:ind w:left="660" w:right="20" w:hanging="652"/>
        <w:spacing w:after="0" w:line="258"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for up to $450,000,000 Loan Facility dated November 12, 2014 among GAS-three Ltd., GAS-four Ltd., GAS-five Ltd., GAS-sixteen Ltd. and GAS-seventeen Ltd. as borrowers, Citibank, N.A., London Branch, Nordea Bank Finland Plc, London Branch, DVB Bank America N.V., ABN AMRO Bank N.V., Skandinaviska Enskilda Banken AB (Publ) and BNP Paribas, as mandated lead arrangers, the financial institutions listed in Schedule 1 thereto as lenders, Citibank, N.A., London Branch as bookrunner and security agent, and Citibank International Limited as agent and security trustee</w:t>
      </w:r>
    </w:p>
    <w:p>
      <w:pPr>
        <w:spacing w:after="0" w:line="183"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in relation to GAS-three Ltd., GAS-four Ltd., GAS-five Ltd., GAS-sixteen Ltd., GAS-seventeen Ltd., dated November 12, 2014 between (1) GasLog Partners Holdings LLC as Guarantor and (2) Citibank, N.A. London Branch as Mortgagee</w:t>
      </w:r>
    </w:p>
    <w:p>
      <w:pPr>
        <w:spacing w:after="0" w:line="157" w:lineRule="exact"/>
        <w:rPr>
          <w:rFonts w:ascii="Times New Roman" w:cs="Times New Roman" w:eastAsia="Times New Roman" w:hAnsi="Times New Roman"/>
          <w:sz w:val="18"/>
          <w:szCs w:val="18"/>
          <w:color w:val="auto"/>
        </w:rPr>
      </w:pPr>
    </w:p>
    <w:p>
      <w:pPr>
        <w:ind w:left="660" w:hanging="652"/>
        <w:spacing w:after="0" w:line="255"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Agreement (“</w:t>
      </w:r>
      <w:r>
        <w:rPr>
          <w:rFonts w:ascii="Times New Roman" w:cs="Times New Roman" w:eastAsia="Times New Roman" w:hAnsi="Times New Roman"/>
          <w:sz w:val="18"/>
          <w:szCs w:val="18"/>
          <w:b w:val="1"/>
          <w:bCs w:val="1"/>
          <w:color w:val="auto"/>
        </w:rPr>
        <w:t>October 2015 Facility</w:t>
      </w:r>
      <w:r>
        <w:rPr>
          <w:rFonts w:ascii="Times New Roman" w:cs="Times New Roman" w:eastAsia="Times New Roman" w:hAnsi="Times New Roman"/>
          <w:sz w:val="18"/>
          <w:szCs w:val="18"/>
          <w:color w:val="auto"/>
        </w:rPr>
        <w:t>”) for $1,311,356,340 Loan Facilities dated October 16, 2015 (as supplemented by supplemental deeds dated April 12, 2017, May 2, 2017 and July 3, 2017) between GAS-eleven Ltd., GAS-twelve Ltd., GAS-thirteen Ltd., Gas-fourteen Ltd., GAS-twenty two Ltd., GAS-twenty three Ltd., GAS-twenty four Ltd., GAS-twenty five Ltd., as borrowers, Citibank, N.A., London Branch, Nordea Bank AB, London Branch, The Export-Import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co-ordinator, bookrunner and export credit agent co-ordinator, guaranteed by GasLog Ltd. and GasLog Carriers Ltd</w:t>
      </w:r>
    </w:p>
    <w:p>
      <w:pPr>
        <w:spacing w:after="0" w:line="185"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May 2, 2017 of GasLog Partners Holdings LLC, Guarantor, in favor of Nordea Bank AB, London Branch in connection with the October 2015 Facility (as supplemented by a supplemental deed dated July 3, 2017)</w:t>
      </w:r>
    </w:p>
    <w:p>
      <w:pPr>
        <w:sectPr>
          <w:pgSz w:w="11900" w:h="16838" w:orient="portrait"/>
          <w:cols w:equalWidth="0" w:num="1">
            <w:col w:w="11400"/>
          </w:cols>
          <w:pgMar w:left="240" w:top="121" w:right="259" w:bottom="40" w:gutter="0" w:footer="0" w:header="0"/>
        </w:sectPr>
      </w:pPr>
    </w:p>
    <w:bookmarkStart w:id="20" w:name="page21"/>
    <w:bookmarkEnd w:id="20"/>
    <w:p>
      <w:pPr>
        <w:ind w:left="660" w:right="360" w:hanging="652"/>
        <w:spacing w:after="0" w:line="282" w:lineRule="auto"/>
        <w:tabs>
          <w:tab w:leader="none" w:pos="66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May 2, 2017 of GasLog Partners LP, Guarantor, in favor of Nordea Bank AB, London Branch in connection with the October 2015 Facility (as supplemented by a supplemental deed dated July 3, 2017)</w:t>
      </w:r>
    </w:p>
    <w:p>
      <w:pPr>
        <w:spacing w:after="0" w:line="157" w:lineRule="exact"/>
        <w:rPr>
          <w:rFonts w:ascii="Times New Roman" w:cs="Times New Roman" w:eastAsia="Times New Roman" w:hAnsi="Times New Roman"/>
          <w:sz w:val="18"/>
          <w:szCs w:val="18"/>
          <w:color w:val="auto"/>
        </w:rPr>
      </w:pPr>
    </w:p>
    <w:p>
      <w:pPr>
        <w:ind w:left="660" w:right="80" w:hanging="652"/>
        <w:spacing w:after="0" w:line="291" w:lineRule="auto"/>
        <w:tabs>
          <w:tab w:leader="none" w:pos="66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Facility Agreement (the “</w:t>
      </w:r>
      <w:r>
        <w:rPr>
          <w:rFonts w:ascii="Times New Roman" w:cs="Times New Roman" w:eastAsia="Times New Roman" w:hAnsi="Times New Roman"/>
          <w:sz w:val="17"/>
          <w:szCs w:val="17"/>
          <w:b w:val="1"/>
          <w:bCs w:val="1"/>
          <w:color w:val="auto"/>
        </w:rPr>
        <w:t>Senior Facility Agreement</w:t>
      </w:r>
      <w:r>
        <w:rPr>
          <w:rFonts w:ascii="Times New Roman" w:cs="Times New Roman" w:eastAsia="Times New Roman" w:hAnsi="Times New Roman"/>
          <w:sz w:val="17"/>
          <w:szCs w:val="17"/>
          <w:color w:val="auto"/>
        </w:rPr>
        <w:t>”) for $396,500,000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DNB (UK) Ltd., as bookrunners, and DNB Bank ASA, London Branch, as agent and security agent</w:t>
      </w:r>
    </w:p>
    <w:p>
      <w:pPr>
        <w:spacing w:after="0" w:line="225" w:lineRule="exact"/>
        <w:rPr>
          <w:sz w:val="20"/>
          <w:szCs w:val="20"/>
          <w:color w:val="auto"/>
        </w:rPr>
      </w:pPr>
    </w:p>
    <w:p>
      <w:pPr>
        <w:ind w:left="660" w:right="200" w:hanging="652"/>
        <w:spacing w:after="0" w:line="282"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February 18, 2016 of GasLog Partners LP, Mortgagee, in favor of DNB Bank ASA, London Branch in connection with the Senior Facility Agreement</w:t>
      </w:r>
    </w:p>
    <w:p>
      <w:pPr>
        <w:spacing w:after="0" w:line="16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February 18, 2016 of GasLog Partners Holdings LLC, Mortgagee, in favor of DNB Bank ASA, London Branch in connection with the Senior Facility Agreement</w:t>
      </w:r>
    </w:p>
    <w:p>
      <w:pPr>
        <w:spacing w:after="0" w:line="157" w:lineRule="exact"/>
        <w:rPr>
          <w:rFonts w:ascii="Times New Roman" w:cs="Times New Roman" w:eastAsia="Times New Roman" w:hAnsi="Times New Roman"/>
          <w:sz w:val="18"/>
          <w:szCs w:val="18"/>
          <w:color w:val="auto"/>
        </w:rPr>
      </w:pPr>
    </w:p>
    <w:p>
      <w:pPr>
        <w:ind w:left="660" w:right="80" w:hanging="652"/>
        <w:spacing w:after="0" w:line="262" w:lineRule="auto"/>
        <w:tabs>
          <w:tab w:leader="none" w:pos="66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Facility Agreement (the “</w:t>
      </w:r>
      <w:r>
        <w:rPr>
          <w:rFonts w:ascii="Times New Roman" w:cs="Times New Roman" w:eastAsia="Times New Roman" w:hAnsi="Times New Roman"/>
          <w:sz w:val="18"/>
          <w:szCs w:val="18"/>
          <w:b w:val="1"/>
          <w:bCs w:val="1"/>
          <w:color w:val="auto"/>
        </w:rPr>
        <w:t>Junior Facility Agreement</w:t>
      </w:r>
      <w:r>
        <w:rPr>
          <w:rFonts w:ascii="Times New Roman" w:cs="Times New Roman" w:eastAsia="Times New Roman" w:hAnsi="Times New Roman"/>
          <w:sz w:val="18"/>
          <w:szCs w:val="18"/>
          <w:color w:val="auto"/>
        </w:rPr>
        <w:t>”) for $180,000,000 dated February 18, 2016 among GAS-eighteen Ltd., GAS-nineteen Ltd., GAS-twenty Ltd., GAS-twenty one Ltd. and GAS-twenty seven Ltd., as borrowers, ABN AMRO Bank N.V., DNB (UK) Ltd. and DVB Bank America N.V., as mandated lead arrangers, the financial institutions listed in Schedule 1 thereto as lenders, ABN AMRO Bank N.V. and DNB (UK) Ltd., as bookrunners, and DNB Bank ASA, London Branch, as agent and security agent</w:t>
      </w:r>
    </w:p>
    <w:p>
      <w:pPr>
        <w:spacing w:after="0" w:line="180"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February 18, 2016 of GasLog Partners LP, Mortgagee, in favor of DNB Bank ASA, London Branch in connection with the Junior Facility Agreement</w:t>
      </w:r>
    </w:p>
    <w:p>
      <w:pPr>
        <w:spacing w:after="0" w:line="161" w:lineRule="exact"/>
        <w:rPr>
          <w:rFonts w:ascii="Times New Roman" w:cs="Times New Roman" w:eastAsia="Times New Roman" w:hAnsi="Times New Roman"/>
          <w:sz w:val="18"/>
          <w:szCs w:val="18"/>
          <w:color w:val="auto"/>
        </w:rPr>
      </w:pPr>
    </w:p>
    <w:p>
      <w:pPr>
        <w:ind w:left="660" w:right="540" w:hanging="652"/>
        <w:spacing w:after="0" w:line="282" w:lineRule="auto"/>
        <w:tabs>
          <w:tab w:leader="none" w:pos="6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February 18, 2016 of GasLog Partners Holdings LLC, Mortgagee, in favor of DNB Bank ASA, London Branch in connection with the Junior Facility Agreement</w:t>
      </w:r>
    </w:p>
    <w:p>
      <w:pPr>
        <w:spacing w:after="0" w:line="161" w:lineRule="exact"/>
        <w:rPr>
          <w:rFonts w:ascii="Times New Roman" w:cs="Times New Roman" w:eastAsia="Times New Roman" w:hAnsi="Times New Roman"/>
          <w:sz w:val="18"/>
          <w:szCs w:val="18"/>
          <w:color w:val="auto"/>
        </w:rPr>
      </w:pPr>
    </w:p>
    <w:p>
      <w:pPr>
        <w:ind w:left="660" w:right="300" w:hanging="652"/>
        <w:spacing w:after="0" w:line="261" w:lineRule="auto"/>
        <w:tabs>
          <w:tab w:leader="none" w:pos="6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Intercreditor Agreement dated February 18, 2016 among GAS-eighteen Ltd., GAS-nineteen Ltd., GAS-twenty Ltd., GAS-twenty one Ltd., GAS-twenty seven Ltd., as owners, DNB Bank ASA, London Branch, as agent and trustee for the Senior Finance Parties and Junior Finance Parties thereto, the Senior Lenders described in Schedule 1 thereto as lenders under the Senior Facility Agreement and the Junior Lenders described in Schedule 1 thereto as lenders under the Junior Facility Agreement</w:t>
      </w:r>
    </w:p>
    <w:p>
      <w:pPr>
        <w:spacing w:after="0" w:line="176" w:lineRule="exact"/>
        <w:rPr>
          <w:rFonts w:ascii="Times New Roman" w:cs="Times New Roman" w:eastAsia="Times New Roman" w:hAnsi="Times New Roman"/>
          <w:sz w:val="18"/>
          <w:szCs w:val="18"/>
          <w:color w:val="auto"/>
        </w:rPr>
      </w:pPr>
    </w:p>
    <w:p>
      <w:pPr>
        <w:ind w:left="660" w:right="20" w:hanging="652"/>
        <w:spacing w:after="0" w:line="255" w:lineRule="auto"/>
        <w:tabs>
          <w:tab w:leader="none" w:pos="6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Agreement (the “</w:t>
      </w:r>
      <w:r>
        <w:rPr>
          <w:rFonts w:ascii="Times New Roman" w:cs="Times New Roman" w:eastAsia="Times New Roman" w:hAnsi="Times New Roman"/>
          <w:sz w:val="18"/>
          <w:szCs w:val="18"/>
          <w:b w:val="1"/>
          <w:bCs w:val="1"/>
          <w:color w:val="auto"/>
        </w:rPr>
        <w:t>Parent Facility Agreement</w:t>
      </w:r>
      <w:r>
        <w:rPr>
          <w:rFonts w:ascii="Times New Roman" w:cs="Times New Roman" w:eastAsia="Times New Roman" w:hAnsi="Times New Roman"/>
          <w:sz w:val="18"/>
          <w:szCs w:val="18"/>
          <w:color w:val="auto"/>
        </w:rPr>
        <w:t>”) for $1,050,000,000 dated July 19, 2016 (as supplemented by supplemental deeds dated November 1, 2016, May 25, 2017 and October 18, 2017) among GAS-one Ltd., GAS-two Ltd., GAS-six Ltd., GAS-seven Ltd., GAS-eight Ltd., GAS-nine Ltd., GAS-ten Ltd., GAS-fifteen Ltd., GasLog Ltd. and GasLog Carriers Ltd., as borrowers, Citigroup Global Markets Limited, Credit Suisse AG, Nordea Bank AB, London Branch, Skandinaviska Enskilda Banken AB (publ), HSBC Bank plc, ING Bank N.V., London Branch, Danmarks Skibskredit A/S and The Korea Development Bank, as mandated lead arrangers, DVB Bank America N.V., as arranger, with Nordea Bank AB, London Branch, as agent, Nordea Bank AB, London Branch, as security agent, Citigroup Global Markets Limited, Credit Suisse AG, Nordea Bank AB, London Branch, Skandinaviska Enskilda Banken AB (publ), HSBC Bank plc and ING Bank N.V., London Branch, as bookrunners, Citigroup Global Markets Limited, as global co-ordinator, guaranteed by GasLog Ltd. and GasLog Carriers Ltd.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40" w:hanging="652"/>
        <w:spacing w:after="0" w:line="282" w:lineRule="auto"/>
        <w:tabs>
          <w:tab w:leader="none" w:pos="6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November 1, 2016 of GasLog Partners Holdings LLC, Guarantor, in favor of Nordea Bank AB, London Branch in connection with the Parent Facility Agreement (as supplemented by supplemental deeds dated May 25, 2017 and October 18, 2017)</w:t>
      </w:r>
    </w:p>
    <w:p>
      <w:pPr>
        <w:spacing w:after="0" w:line="16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dated November 1, 2016 of GasLog Partners LP, Guarantor, in favor of Nordea Bank AB, London Branch in connection with the Parent Facility Agreement (as supplemented by supplemental deeds dated May 25, 2017 and October 18, 2017)</w:t>
      </w:r>
    </w:p>
    <w:p>
      <w:pPr>
        <w:spacing w:after="0" w:line="161" w:lineRule="exact"/>
        <w:rPr>
          <w:rFonts w:ascii="Times New Roman" w:cs="Times New Roman" w:eastAsia="Times New Roman" w:hAnsi="Times New Roman"/>
          <w:sz w:val="18"/>
          <w:szCs w:val="18"/>
          <w:color w:val="auto"/>
        </w:rPr>
      </w:pPr>
    </w:p>
    <w:p>
      <w:pPr>
        <w:ind w:left="660" w:right="140" w:hanging="652"/>
        <w:spacing w:after="0" w:line="282" w:lineRule="auto"/>
        <w:tabs>
          <w:tab w:leader="none" w:pos="66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Agreement with GasLog Ltd. dated April 3, 2017, relating to a $75,000,000 unsecured term loan and revolving loan facility, between GasLog Partners LP as borrower and GasLog Ltd. as lender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IX-3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U.S. COUNSEL OPINION</w:t>
      </w:r>
    </w:p>
    <w:p>
      <w:pPr>
        <w:spacing w:after="0" w:line="225" w:lineRule="exact"/>
        <w:rPr>
          <w:sz w:val="20"/>
          <w:szCs w:val="20"/>
          <w:color w:val="auto"/>
        </w:rPr>
      </w:pPr>
    </w:p>
    <w:p>
      <w:pPr>
        <w:ind w:left="660" w:right="20" w:hanging="652"/>
        <w:spacing w:after="0" w:line="26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Underwriting Agreement has been duly authorized by each of the Partnership Parties under the laws of its respective jurisdiction of formation, the Underwriting Agreement has been duly executed and delivered by the Partnership Parties, to the extent such execution and delivery are governed by the laws of the State of New York.</w:t>
      </w:r>
    </w:p>
    <w:p>
      <w:pPr>
        <w:spacing w:after="0" w:line="176" w:lineRule="exact"/>
        <w:rPr>
          <w:rFonts w:ascii="Times New Roman" w:cs="Times New Roman" w:eastAsia="Times New Roman" w:hAnsi="Times New Roman"/>
          <w:sz w:val="18"/>
          <w:szCs w:val="18"/>
          <w:color w:val="auto"/>
        </w:rPr>
      </w:pPr>
    </w:p>
    <w:p>
      <w:pPr>
        <w:ind w:left="660" w:right="120" w:hanging="652"/>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became effective under the Act on October 10, 2017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thereupon the offering of the Units as contemplated by the Prospectus became registered under the Act; to such counsel’s knowledge, no stop order suspending the effectiveness of the Registration Statement has been issued and, to such counsel’s knowledge, no proceedings for that purpose have been instituted or are pending or contemplated under the Act; the required filing of the Final Prospectus pursuant to Rule 424(b) has been made in the manner and within the time period required by Rule 424(b) (without reference to Rule 424(b)(8)); and to such counsel’s knowledge, no Issuer Free Writing Prospectus pursuant to Rule 433 was required to be filed pursuant to Rule 433(d).</w:t>
      </w:r>
    </w:p>
    <w:p>
      <w:pPr>
        <w:sectPr>
          <w:pgSz w:w="11900" w:h="16838" w:orient="portrait"/>
          <w:cols w:equalWidth="0" w:num="1">
            <w:col w:w="11420"/>
          </w:cols>
          <w:pgMar w:left="240" w:top="121" w:right="239" w:bottom="0" w:gutter="0" w:footer="0" w:header="0"/>
        </w:sectPr>
      </w:pPr>
    </w:p>
    <w:bookmarkStart w:id="21" w:name="page22"/>
    <w:bookmarkEnd w:id="21"/>
    <w:p>
      <w:pPr>
        <w:ind w:left="660" w:right="42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Underwriting Agreement has been duly authorized and validly executed and delivered by each of the Partnership Parties, the Underwriting Agreement constitutes a legal, valid and binding obligation of the Partnership Parties.</w:t>
      </w:r>
    </w:p>
    <w:p>
      <w:pPr>
        <w:spacing w:after="0" w:line="161" w:lineRule="exact"/>
        <w:rPr>
          <w:rFonts w:ascii="Times New Roman" w:cs="Times New Roman" w:eastAsia="Times New Roman" w:hAnsi="Times New Roman"/>
          <w:sz w:val="18"/>
          <w:szCs w:val="18"/>
          <w:color w:val="auto"/>
        </w:rPr>
      </w:pPr>
    </w:p>
    <w:p>
      <w:pPr>
        <w:ind w:left="660" w:right="2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there is no pending or threatened action, suit, proceeding or investigation before or by any United States Federal or New York State court or governmental agency or authority against any of the Partnership Parties of a character required to be disclosed in the Registration Statement, Pricing Prospectus or Final Prospectus which is not adequately disclosed as required.</w:t>
      </w:r>
    </w:p>
    <w:p>
      <w:pPr>
        <w:spacing w:after="0" w:line="176" w:lineRule="exact"/>
        <w:rPr>
          <w:rFonts w:ascii="Times New Roman" w:cs="Times New Roman" w:eastAsia="Times New Roman" w:hAnsi="Times New Roman"/>
          <w:sz w:val="18"/>
          <w:szCs w:val="18"/>
          <w:color w:val="auto"/>
        </w:rPr>
      </w:pPr>
    </w:p>
    <w:p>
      <w:pPr>
        <w:ind w:left="660" w:hanging="652"/>
        <w:spacing w:after="0" w:line="258"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made in the Registration Statement, Pricing Prospectus and Final Prospectus under “Description of the Series B Preference Units”, and “Summary of Our Partnership Agreement”, insofar as such statements purport to summarize any agreement, statute or regulation or refer to statements of law or legal conclusions, fairly summarize the matters described therein; provided, however, that we express no opinion with respect to any laws other than the laws of the State of New York and, to the extent specifically identified herein, the federal laws of the United States of America.</w:t>
      </w:r>
    </w:p>
    <w:p>
      <w:pPr>
        <w:spacing w:after="0" w:line="183"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Cravath, Swaine &amp; Moore LLP filed as Exhibit 8.1 to the Final Prospectus is confirmed and the Underwriters may rely upon such opinion.</w:t>
      </w:r>
    </w:p>
    <w:p>
      <w:pPr>
        <w:spacing w:after="0" w:line="161" w:lineRule="exact"/>
        <w:rPr>
          <w:rFonts w:ascii="Times New Roman" w:cs="Times New Roman" w:eastAsia="Times New Roman" w:hAnsi="Times New Roman"/>
          <w:sz w:val="18"/>
          <w:szCs w:val="18"/>
          <w:color w:val="auto"/>
        </w:rPr>
      </w:pPr>
    </w:p>
    <w:p>
      <w:pPr>
        <w:ind w:left="660" w:right="1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there is no contract, indenture, mortgage, loan agreement, note, lease or other document of a character required to be described in the Registration Statement, Pricing Prospectus or Final Prospectus, or to be filed as an exhibit, which is not described or filed as required.</w:t>
      </w:r>
    </w:p>
    <w:p>
      <w:pPr>
        <w:spacing w:after="0" w:line="176" w:lineRule="exact"/>
        <w:rPr>
          <w:rFonts w:ascii="Times New Roman" w:cs="Times New Roman" w:eastAsia="Times New Roman" w:hAnsi="Times New Roman"/>
          <w:sz w:val="18"/>
          <w:szCs w:val="18"/>
          <w:color w:val="auto"/>
        </w:rPr>
      </w:pPr>
    </w:p>
    <w:p>
      <w:pPr>
        <w:ind w:left="660" w:right="44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authorization, approval or other action by, and no notice to, consent of, order of or filing with, any United States Federal or New York State governmental authority is required to be made or obtained by the Partnership for the consummation of the transactions contemplated by the Underwriting Agreement, other than (i) those that have been obtained or made under the Act, (ii) those that may be required under the Act in connection with the use of a “free writing prospectus”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82" w:lineRule="auto"/>
        <w:rPr>
          <w:sz w:val="20"/>
          <w:szCs w:val="20"/>
          <w:color w:val="auto"/>
        </w:rPr>
      </w:pPr>
      <w:r>
        <w:rPr>
          <w:rFonts w:ascii="Times New Roman" w:cs="Times New Roman" w:eastAsia="Times New Roman" w:hAnsi="Times New Roman"/>
          <w:sz w:val="18"/>
          <w:szCs w:val="18"/>
          <w:color w:val="auto"/>
        </w:rPr>
        <w:t>and (iii) those that may be required under the blue sky laws of any jurisdiction in connection with the purchase and distribution of the Units by the Underwriters.</w:t>
      </w:r>
    </w:p>
    <w:p>
      <w:pPr>
        <w:spacing w:after="0" w:line="162" w:lineRule="exact"/>
        <w:rPr>
          <w:sz w:val="20"/>
          <w:szCs w:val="20"/>
          <w:color w:val="auto"/>
        </w:rPr>
      </w:pPr>
    </w:p>
    <w:p>
      <w:pPr>
        <w:ind w:left="660" w:right="2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other than as have been validly waived and as described in the Prospectus, there are no persons with registration rights or other similar rights to have any securities registered pursuant to the Registration Statement by the Partnership under the Act.</w:t>
      </w:r>
    </w:p>
    <w:p>
      <w:pPr>
        <w:spacing w:after="0" w:line="161"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the certificate dated the date hereof, from an officer of the Partnership, after giving effect to the offering and sale of the Units, the Partnership will not be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4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Entities should be a “passive foreign investment company” as such term is defined in the Internal Revenue Code of 1986, as amended.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Preference Units have been duly registered as a class pursuant to Section 12 of the Securities Exchange Act of 1934, as amended.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13.</w:t>
            </w:r>
          </w:p>
        </w:tc>
        <w:tc>
          <w:tcPr>
            <w:tcW w:w="10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Based on the countersigned New York Stock Exchange Listing Application dated January  , 2018, the Units have been duly authorized for listing,</w:t>
            </w:r>
          </w:p>
        </w:tc>
      </w:tr>
      <w:tr>
        <w:trPr>
          <w:trHeight w:val="234"/>
        </w:trPr>
        <w:tc>
          <w:tcPr>
            <w:tcW w:w="440" w:type="dxa"/>
            <w:vAlign w:val="bottom"/>
          </w:tcPr>
          <w:p>
            <w:pPr>
              <w:spacing w:after="0"/>
              <w:rPr>
                <w:sz w:val="20"/>
                <w:szCs w:val="20"/>
                <w:color w:val="auto"/>
              </w:rPr>
            </w:pPr>
          </w:p>
        </w:tc>
        <w:tc>
          <w:tcPr>
            <w:tcW w:w="10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subject to official notice of issuance, on the New York Stock Exchange.</w:t>
            </w:r>
          </w:p>
        </w:tc>
      </w:tr>
    </w:tbl>
    <w:p>
      <w:pPr>
        <w:spacing w:after="0" w:line="198" w:lineRule="exact"/>
        <w:rPr>
          <w:sz w:val="20"/>
          <w:szCs w:val="20"/>
          <w:color w:val="auto"/>
        </w:rPr>
      </w:pPr>
    </w:p>
    <w:p>
      <w:pPr>
        <w:ind w:left="660" w:hanging="652"/>
        <w:spacing w:after="0" w:line="266"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validity of such action under the laws of The Marshall Islands and Bermuda relating to submission to jurisdiction, pursuant to Sections 18 and 19 of the Underwriting Agreement (a) the Partnership Parties validly and irrevocably submitted to the personal jurisdiction of the courts of the State of New York, and (b) the Partnership appointed Puglisi &amp; Associates as its agent for service of process.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a “foreign private issuer” as defined in Rule 405 under the Securities Act.</w:t>
      </w:r>
    </w:p>
    <w:p>
      <w:pPr>
        <w:spacing w:after="0" w:line="225" w:lineRule="exact"/>
        <w:rPr>
          <w:rFonts w:ascii="Times New Roman" w:cs="Times New Roman" w:eastAsia="Times New Roman" w:hAnsi="Times New Roman"/>
          <w:sz w:val="18"/>
          <w:szCs w:val="18"/>
          <w:color w:val="auto"/>
        </w:rPr>
      </w:pPr>
    </w:p>
    <w:p>
      <w:pPr>
        <w:ind w:left="660" w:right="160" w:hanging="652"/>
        <w:spacing w:after="0" w:line="261"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and performance on the date hereof of the terms of the Underwriting Agreement nor the consummation on the date hereof by the Partnership Parties of the transactions set forth therein will result in any violation of United States Federal or New York State law, rule or regulation or any ruling, judgment, order or decree of any court, agency or official having jurisdiction over the Partnership or any of its subsidiaries or any of the properties or assets of the Partnership or any of its subsidiaries.</w:t>
      </w:r>
    </w:p>
    <w:p>
      <w:pPr>
        <w:spacing w:after="0" w:line="180"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the Closing Date, appeared or appears on its face to be appropriately responsive in all material respects to the requirements of the Act and the applicable rules and regulations thereunder, except that such counsel does not express any view as to the financial statements, other information of an accounting or financial nature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at the Closing Date included or includes, an untrue statement of a material fact or omitted or omits to state a material fact necessary in order to make the statements therein, in the light of the circumstances under which they were made, not misleading or (c) the Pricing Prospectus, as of the Applicable Time, included an untrue statement of a material fact or omitted to state a material fact necessary in order to make the statements therein, in the light of the circumstances under which they were made, not</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misleading, except that, in each case, such counsel does not express any view as to the financial statements, other information of an accounting or financial nature.</w:t>
      </w:r>
    </w:p>
    <w:p>
      <w:pPr>
        <w:sectPr>
          <w:pgSz w:w="11900" w:h="16838" w:orient="portrait"/>
          <w:cols w:equalWidth="0" w:num="1">
            <w:col w:w="11400"/>
          </w:cols>
          <w:pgMar w:left="240" w:top="337" w:right="259" w:bottom="0" w:gutter="0" w:footer="0" w:header="0"/>
        </w:sectPr>
      </w:pPr>
    </w:p>
    <w:bookmarkStart w:id="22" w:name="page23"/>
    <w:bookmarkEnd w:id="22"/>
    <w:p>
      <w:pPr>
        <w:spacing w:after="0" w:line="71" w:lineRule="exact"/>
        <w:rPr>
          <w:sz w:val="20"/>
          <w:szCs w:val="20"/>
          <w:color w:val="auto"/>
        </w:rPr>
      </w:pPr>
    </w:p>
    <w:p>
      <w:pPr>
        <w:ind w:left="4684"/>
        <w:spacing w:after="0"/>
        <w:rPr>
          <w:sz w:val="20"/>
          <w:szCs w:val="20"/>
          <w:color w:val="auto"/>
        </w:rPr>
      </w:pPr>
      <w:r>
        <w:rPr>
          <w:rFonts w:ascii="Times New Roman" w:cs="Times New Roman" w:eastAsia="Times New Roman" w:hAnsi="Times New Roman"/>
          <w:sz w:val="18"/>
          <w:szCs w:val="18"/>
          <w:color w:val="auto"/>
        </w:rPr>
        <w:t>Annex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II</w:t>
      </w:r>
    </w:p>
    <w:p>
      <w:pPr>
        <w:spacing w:after="0" w:line="225" w:lineRule="exact"/>
        <w:rPr>
          <w:sz w:val="20"/>
          <w:szCs w:val="20"/>
          <w:color w:val="auto"/>
        </w:rPr>
      </w:pPr>
    </w:p>
    <w:p>
      <w:pPr>
        <w:ind w:left="2024"/>
        <w:spacing w:after="0"/>
        <w:rPr>
          <w:sz w:val="20"/>
          <w:szCs w:val="20"/>
          <w:color w:val="auto"/>
        </w:rPr>
      </w:pPr>
      <w:r>
        <w:rPr>
          <w:rFonts w:ascii="Times New Roman" w:cs="Times New Roman" w:eastAsia="Times New Roman" w:hAnsi="Times New Roman"/>
          <w:sz w:val="18"/>
          <w:szCs w:val="18"/>
          <w:u w:val="single" w:color="auto"/>
          <w:color w:val="auto"/>
        </w:rPr>
        <w:t>MATTERS TO BE COVERED BY MARSHALL ISLANDS COUNSEL OPINION</w:t>
      </w:r>
    </w:p>
    <w:p>
      <w:pPr>
        <w:spacing w:after="0" w:line="225" w:lineRule="exact"/>
        <w:rPr>
          <w:sz w:val="20"/>
          <w:szCs w:val="20"/>
          <w:color w:val="auto"/>
        </w:rPr>
      </w:pPr>
    </w:p>
    <w:p>
      <w:pPr>
        <w:ind w:left="644" w:right="60" w:hanging="644"/>
        <w:spacing w:after="0" w:line="266"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a limited partnership validly subsisting in good standing under Marshall Islands law and has all requisite limited partnership power and authority to own or lease and to operate its properties and to conduct its business in all material respects as described in the Registration Statement, the Pricing Prospectus and the Prospectus.</w:t>
      </w:r>
    </w:p>
    <w:p>
      <w:pPr>
        <w:spacing w:after="0" w:line="176" w:lineRule="exact"/>
        <w:rPr>
          <w:rFonts w:ascii="Times New Roman" w:cs="Times New Roman" w:eastAsia="Times New Roman" w:hAnsi="Times New Roman"/>
          <w:sz w:val="18"/>
          <w:szCs w:val="18"/>
          <w:color w:val="auto"/>
        </w:rPr>
      </w:pPr>
    </w:p>
    <w:p>
      <w:pPr>
        <w:ind w:left="644" w:right="460" w:hanging="644"/>
        <w:spacing w:after="0" w:line="261"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a limited liability company validly subsisting in good standing under Marshall Islands law and has all requisite limited liability company power and authority to own or lease and to operate its properties and to conduct its business in all material respects and act as the general partner of the Partnership as described in the Registration Statement, the Pricing Prospectus and the Prospectus.</w:t>
      </w:r>
    </w:p>
    <w:p>
      <w:pPr>
        <w:spacing w:after="0" w:line="180" w:lineRule="exact"/>
        <w:rPr>
          <w:rFonts w:ascii="Times New Roman" w:cs="Times New Roman" w:eastAsia="Times New Roman" w:hAnsi="Times New Roman"/>
          <w:sz w:val="18"/>
          <w:szCs w:val="18"/>
          <w:color w:val="auto"/>
        </w:rPr>
      </w:pPr>
    </w:p>
    <w:p>
      <w:pPr>
        <w:ind w:left="644" w:right="120" w:hanging="644"/>
        <w:spacing w:after="0" w:line="266"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Company is a limited liability company validly subsisting in good standing under Marshall Islands law and has all requisite limited liability company power and authority to own or lease and to operate its properties and to conduct its business in all material respects as described in the Registration Statement, the Pricing Prospectus and the Prospectus.</w:t>
      </w:r>
    </w:p>
    <w:p>
      <w:pPr>
        <w:spacing w:after="0" w:line="176" w:lineRule="exact"/>
        <w:rPr>
          <w:rFonts w:ascii="Times New Roman" w:cs="Times New Roman" w:eastAsia="Times New Roman" w:hAnsi="Times New Roman"/>
          <w:sz w:val="18"/>
          <w:szCs w:val="18"/>
          <w:color w:val="auto"/>
        </w:rPr>
      </w:pPr>
    </w:p>
    <w:p>
      <w:pPr>
        <w:ind w:left="644" w:right="100" w:hanging="644"/>
        <w:spacing w:after="0" w:line="256"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 owns of record 100% of the limited liability company interests in the General Partner. Such limited liability company interests have been duly authorized and validly issued in accordance with the General Partner LLC Agreement and, to our knowledge, are fully paid (to the extent required under the General Partner LLC Agreement) and nonassessable (except as such nonassessability may be affected by Sections 20, 31, 40 and 49 of the Marshall Islands LLC Act and except as may otherwise be provided in the General Partner LLC Agreement); and to our knowledge, GasLog owns such limited liability company interest free and clear of all Liens (except for restrictions on transferability under applicable securities laws or as described in the Pricing Prospectus or the Prospectus).</w:t>
      </w:r>
    </w:p>
    <w:p>
      <w:pPr>
        <w:spacing w:after="0" w:line="187" w:lineRule="exact"/>
        <w:rPr>
          <w:rFonts w:ascii="Times New Roman" w:cs="Times New Roman" w:eastAsia="Times New Roman" w:hAnsi="Times New Roman"/>
          <w:sz w:val="18"/>
          <w:szCs w:val="18"/>
          <w:color w:val="auto"/>
        </w:rPr>
      </w:pPr>
    </w:p>
    <w:p>
      <w:pPr>
        <w:ind w:left="644" w:right="160" w:hanging="644"/>
        <w:spacing w:after="0" w:line="256"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owns of record the General Partner Interest and is the sole general partner of the Partnership. Such General Partner Interest has been duly authorized and validly issued in accordance with the Partnership Agreement and, to our knowledge, is fully paid (to the extent required under the Partnership Agreement) and nonassessable (except as such nonassessability may be affected by Sections 30, 41, 51 and 60 of the Marshall Islands LP Act and except as may otherwise be provided in the Partnership Agreement); and to our knowledge, the General Partner owns such General Partner Interest free and clear of all Liens (except for restrictions on transferability under applicable securities laws or as described in the Pricing Prospectus or the Prospectus).</w:t>
      </w:r>
    </w:p>
    <w:p>
      <w:pPr>
        <w:spacing w:after="0" w:line="187" w:lineRule="exact"/>
        <w:rPr>
          <w:rFonts w:ascii="Times New Roman" w:cs="Times New Roman" w:eastAsia="Times New Roman" w:hAnsi="Times New Roman"/>
          <w:sz w:val="18"/>
          <w:szCs w:val="18"/>
          <w:color w:val="auto"/>
        </w:rPr>
      </w:pPr>
    </w:p>
    <w:p>
      <w:pPr>
        <w:jc w:val="both"/>
        <w:ind w:left="644" w:right="100" w:hanging="644"/>
        <w:spacing w:after="0" w:line="266" w:lineRule="auto"/>
        <w:tabs>
          <w:tab w:leader="none" w:pos="6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owns of record 100% of the limited liability company interests in the Operating Company. Such limited liability company interests have been duly authorized and validly issued in accordance with the Operating Company LLC Agreement and, to our knowledge, are fully paid (to the extent required under the</w:t>
      </w:r>
    </w:p>
    <w:p>
      <w:pPr>
        <w:spacing w:after="0" w:line="176"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8"/>
          <w:szCs w:val="18"/>
          <w:color w:val="auto"/>
        </w:rPr>
        <w:t>Annex 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80"/>
        <w:spacing w:after="0" w:line="261" w:lineRule="auto"/>
        <w:rPr>
          <w:sz w:val="20"/>
          <w:szCs w:val="20"/>
          <w:color w:val="auto"/>
        </w:rPr>
      </w:pPr>
      <w:r>
        <w:rPr>
          <w:rFonts w:ascii="Times New Roman" w:cs="Times New Roman" w:eastAsia="Times New Roman" w:hAnsi="Times New Roman"/>
          <w:sz w:val="18"/>
          <w:szCs w:val="18"/>
          <w:color w:val="auto"/>
        </w:rPr>
        <w:t>Operating Company LLC Agreement) and nonassessable (except as such nonassessability may be affected by Sections 20, 31, 40 and 49 of the Marshall Islands LLC Act and except as may otherwise be provided in the Operating Company LLC Agreement); and to our knowledge, the Partnership owns such limited liability company interests free and clear of all Liens (except for restrictions on transferability under applicable securities laws or as described in the Pricing Prospectus or the Prospectus).</w:t>
      </w:r>
    </w:p>
    <w:p>
      <w:pPr>
        <w:spacing w:after="0" w:line="180" w:lineRule="exact"/>
        <w:rPr>
          <w:sz w:val="20"/>
          <w:szCs w:val="20"/>
          <w:color w:val="auto"/>
        </w:rPr>
      </w:pPr>
    </w:p>
    <w:p>
      <w:pPr>
        <w:ind w:left="644" w:right="20" w:hanging="644"/>
        <w:spacing w:after="0" w:line="266" w:lineRule="auto"/>
        <w:tabs>
          <w:tab w:leader="none" w:pos="6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 Operating Company owns of record all of the outstanding shares of capital stock of each of the Bermuda subsidiaries listed on Exhibit A to this opinion free and clear of all Liens (except for restrictions on transferability under applicable securities laws or as described in the Pricing Prospectus or the Prospectus).</w:t>
      </w:r>
    </w:p>
    <w:p>
      <w:pPr>
        <w:spacing w:after="0" w:line="176" w:lineRule="exact"/>
        <w:rPr>
          <w:rFonts w:ascii="Times New Roman" w:cs="Times New Roman" w:eastAsia="Times New Roman" w:hAnsi="Times New Roman"/>
          <w:sz w:val="18"/>
          <w:szCs w:val="18"/>
          <w:color w:val="auto"/>
        </w:rPr>
      </w:pPr>
    </w:p>
    <w:p>
      <w:pPr>
        <w:ind w:left="644" w:right="520" w:hanging="644"/>
        <w:spacing w:after="0" w:line="266" w:lineRule="auto"/>
        <w:tabs>
          <w:tab w:leader="none" w:pos="6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except as described in or incorporated by reference into the Underwriting Agreement, Pricing Prospectus or the Prospectus, there are no preemptive rights or other rights to subscribe for or to purchase, or any other restriction upon transfer of, any limited partner interests in the Partnership.</w:t>
      </w:r>
    </w:p>
    <w:p>
      <w:pPr>
        <w:spacing w:after="0" w:line="176" w:lineRule="exact"/>
        <w:rPr>
          <w:rFonts w:ascii="Times New Roman" w:cs="Times New Roman" w:eastAsia="Times New Roman" w:hAnsi="Times New Roman"/>
          <w:sz w:val="18"/>
          <w:szCs w:val="18"/>
          <w:color w:val="auto"/>
        </w:rPr>
      </w:pPr>
    </w:p>
    <w:p>
      <w:pPr>
        <w:ind w:left="644" w:right="140" w:hanging="644"/>
        <w:spacing w:after="0" w:line="313" w:lineRule="auto"/>
        <w:tabs>
          <w:tab w:leader="none" w:pos="6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MI Entities has all requisite limited partnership or limited liability company power and authority, as applicable, to execute and deliver the Underwriting Agreement and to perform its obligations thereunder and to consummate the transactions contemplated thereby.</w:t>
      </w:r>
    </w:p>
    <w:p>
      <w:pPr>
        <w:spacing w:after="0" w:line="138" w:lineRule="exact"/>
        <w:rPr>
          <w:rFonts w:ascii="Times New Roman" w:cs="Times New Roman" w:eastAsia="Times New Roman" w:hAnsi="Times New Roman"/>
          <w:sz w:val="17"/>
          <w:szCs w:val="17"/>
          <w:color w:val="auto"/>
        </w:rPr>
      </w:pPr>
    </w:p>
    <w:p>
      <w:pPr>
        <w:ind w:left="644" w:right="40" w:hanging="644"/>
        <w:spacing w:after="0" w:line="282" w:lineRule="auto"/>
        <w:tabs>
          <w:tab w:leader="none" w:pos="6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Underwriting Agreement by the MI Entities has been duly authorized by all necessary limited partnership or limited liability company action, as applicable, of the relevant MI Entities.</w:t>
      </w:r>
    </w:p>
    <w:p>
      <w:pPr>
        <w:spacing w:after="0" w:line="161" w:lineRule="exact"/>
        <w:rPr>
          <w:rFonts w:ascii="Times New Roman" w:cs="Times New Roman" w:eastAsia="Times New Roman" w:hAnsi="Times New Roman"/>
          <w:sz w:val="18"/>
          <w:szCs w:val="18"/>
          <w:color w:val="auto"/>
        </w:rPr>
      </w:pPr>
    </w:p>
    <w:p>
      <w:pPr>
        <w:ind w:left="644" w:right="20" w:hanging="644"/>
        <w:spacing w:after="0" w:line="255"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has been validly executed and delivered by each of the MI Entities and the Underwriting Agreement is a valid and legally binding agreement of each of the MI Entities enforceable against each of the MI Entities in accordance with its terms, subject to applicable bankruptcy, insolvency, fraudulent conveyance, fraudulent transfer,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thereunder may be limited by securities laws or considerations of public policy relating thereto.</w:t>
      </w:r>
    </w:p>
    <w:p>
      <w:pPr>
        <w:spacing w:after="0" w:line="189" w:lineRule="exact"/>
        <w:rPr>
          <w:rFonts w:ascii="Times New Roman" w:cs="Times New Roman" w:eastAsia="Times New Roman" w:hAnsi="Times New Roman"/>
          <w:sz w:val="18"/>
          <w:szCs w:val="18"/>
          <w:color w:val="auto"/>
        </w:rPr>
      </w:pPr>
    </w:p>
    <w:p>
      <w:pPr>
        <w:ind w:left="644" w:right="60" w:hanging="644"/>
        <w:spacing w:after="0" w:line="261" w:lineRule="auto"/>
        <w:tabs>
          <w:tab w:leader="none" w:pos="6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Underwriting Agreement by each of the MI Entities and the performance by each of the MI Entities of their respective obligations thereunder and the consummation of the transactions contemplated thereby, do not and will not</w:t>
      </w:r>
    </w:p>
    <w:p>
      <w:pPr>
        <w:ind w:left="644" w:right="1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conflict with or constitute a violation of the organizational documents of the relevant MI Entity; (ii) violate any statute or law of general application of Republic of The Marshall Islands to which the relevant MI Entity is subject; or (iii) to our knowledge, violate any judgment, order or decree of any court, regulatory body, administrative agency, governmental body, arbitrator or other authority situated in the Republic of The Marshall Islands directed to an MI Entity in a proceeding before such court,</w:t>
      </w:r>
    </w:p>
    <w:p>
      <w:pPr>
        <w:sectPr>
          <w:pgSz w:w="11900" w:h="16909" w:orient="portrait"/>
          <w:cols w:equalWidth="0" w:num="1">
            <w:col w:w="10764"/>
          </w:cols>
          <w:pgMar w:left="896" w:top="121" w:right="239" w:bottom="0" w:gutter="0" w:footer="0" w:header="0"/>
        </w:sectPr>
      </w:pPr>
    </w:p>
    <w:bookmarkStart w:id="23" w:name="page24"/>
    <w:bookmarkEnd w:id="23"/>
    <w:p>
      <w:pPr>
        <w:spacing w:after="0" w:line="32"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8"/>
          <w:szCs w:val="18"/>
          <w:color w:val="auto"/>
        </w:rPr>
        <w:t>Annex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180"/>
        <w:spacing w:after="0" w:line="282" w:lineRule="auto"/>
        <w:rPr>
          <w:sz w:val="20"/>
          <w:szCs w:val="20"/>
          <w:color w:val="auto"/>
        </w:rPr>
      </w:pPr>
      <w:r>
        <w:rPr>
          <w:rFonts w:ascii="Times New Roman" w:cs="Times New Roman" w:eastAsia="Times New Roman" w:hAnsi="Times New Roman"/>
          <w:sz w:val="18"/>
          <w:szCs w:val="18"/>
          <w:color w:val="auto"/>
        </w:rPr>
        <w:t>regulatory body, administrative agency, governmental body, arbitrator or other authority in the Republic of The Marshall Islands to which such MI Entity is a party.</w:t>
      </w:r>
    </w:p>
    <w:p>
      <w:pPr>
        <w:spacing w:after="0" w:line="162" w:lineRule="exact"/>
        <w:rPr>
          <w:sz w:val="20"/>
          <w:szCs w:val="20"/>
          <w:color w:val="auto"/>
        </w:rPr>
      </w:pPr>
    </w:p>
    <w:p>
      <w:pPr>
        <w:ind w:left="644" w:hanging="644"/>
        <w:spacing w:after="0" w:line="261"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permit, consent, approval, authorization, order, registration, filing or qualification of or with any governmental agency or body of the Republic of The Marshall Islands having jurisdiction over the MI Entities or any of their respective properties is required in connection with the execution and delivery by each of the MI Entities of the Underwriting Agreement, the consummation of the transactions contemplated thereby or the performance by the MI Entities of their respective obligations thereunder.</w:t>
      </w:r>
    </w:p>
    <w:p>
      <w:pPr>
        <w:spacing w:after="0" w:line="180" w:lineRule="exact"/>
        <w:rPr>
          <w:rFonts w:ascii="Times New Roman" w:cs="Times New Roman" w:eastAsia="Times New Roman" w:hAnsi="Times New Roman"/>
          <w:sz w:val="18"/>
          <w:szCs w:val="18"/>
          <w:color w:val="auto"/>
        </w:rPr>
      </w:pPr>
    </w:p>
    <w:p>
      <w:pPr>
        <w:ind w:left="644" w:right="60" w:hanging="644"/>
        <w:spacing w:after="0" w:line="258"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permits, licenses, franchises, concessions, certificates and authorizations of, or declarations or filings with, any governmental or regulatory authorities of the Republic of The Marshall Islands are required for each of the MI Entities to own or lease and to operate its properties and to conduct its business in the manner described in the Prospectus, other than such permits, consents, licenses, franchises, concessions, certificates and authorizations, declarations or filings with any Marshall Islands governmental authority currently held or filed by such MI Entity and which must be filed by such MI Entity annually in the future.</w:t>
      </w:r>
    </w:p>
    <w:p>
      <w:pPr>
        <w:spacing w:after="0" w:line="183" w:lineRule="exact"/>
        <w:rPr>
          <w:rFonts w:ascii="Times New Roman" w:cs="Times New Roman" w:eastAsia="Times New Roman" w:hAnsi="Times New Roman"/>
          <w:sz w:val="18"/>
          <w:szCs w:val="18"/>
          <w:color w:val="auto"/>
        </w:rPr>
      </w:pPr>
    </w:p>
    <w:p>
      <w:pPr>
        <w:ind w:left="644" w:right="520" w:hanging="644"/>
        <w:spacing w:after="0" w:line="261"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Units are issued against payment therefor in accordance with the terms and conditions of the Underwriting Agreement, the Partnership Agreement and the Prospectus, the Units will be duly authorized and validly issued in accordance with the Partnership Agreement, and will be fully paid (to the extent required under the Partnership Agreement) and nonassessable (except as such nonassessability may be affected by Sections 30, 41, 51 and 60 of the Marshall Islands LP Act).</w:t>
      </w:r>
    </w:p>
    <w:p>
      <w:pPr>
        <w:spacing w:after="0" w:line="180" w:lineRule="exact"/>
        <w:rPr>
          <w:rFonts w:ascii="Times New Roman" w:cs="Times New Roman" w:eastAsia="Times New Roman" w:hAnsi="Times New Roman"/>
          <w:sz w:val="18"/>
          <w:szCs w:val="18"/>
          <w:color w:val="auto"/>
        </w:rPr>
      </w:pPr>
    </w:p>
    <w:p>
      <w:pPr>
        <w:ind w:left="644" w:right="40" w:hanging="644"/>
        <w:spacing w:after="0" w:line="258"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Distribution Rights are duly authorized and validly issued in accordance with the Partnership Agreement, and are fully paid (to the extent required under the Partnership Agreement) and nonassessable (except as such nonassessability may be affected by Sections 30, 41, 51 and 60 of the Marshall Islands LP Act); and to our knowledge, GasLog owns such Incentive Distribution Rights free and clear of all Liens (except for restrictions on transferability under applicable securities laws or as described in the Pricing Prospectus or the Prospectus).</w:t>
      </w:r>
    </w:p>
    <w:p>
      <w:pPr>
        <w:spacing w:after="0" w:line="183" w:lineRule="exact"/>
        <w:rPr>
          <w:rFonts w:ascii="Times New Roman" w:cs="Times New Roman" w:eastAsia="Times New Roman" w:hAnsi="Times New Roman"/>
          <w:sz w:val="18"/>
          <w:szCs w:val="18"/>
          <w:color w:val="auto"/>
        </w:rPr>
      </w:pPr>
    </w:p>
    <w:p>
      <w:pPr>
        <w:jc w:val="both"/>
        <w:ind w:left="644" w:right="500" w:hanging="644"/>
        <w:spacing w:after="0" w:line="266"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our knowledge, there is no pending or threatened action, suit, proceeding or investigation before or by any Marshall Islands court, governmental agency or authority against any of the MI Entities of a character required to be disclosed in the Registration Statement, Pricing Prospectus or Prospectus which is not adequately disclosed as required.</w:t>
      </w:r>
    </w:p>
    <w:p>
      <w:pPr>
        <w:spacing w:after="0" w:line="176" w:lineRule="exact"/>
        <w:rPr>
          <w:rFonts w:ascii="Times New Roman" w:cs="Times New Roman" w:eastAsia="Times New Roman" w:hAnsi="Times New Roman"/>
          <w:sz w:val="18"/>
          <w:szCs w:val="18"/>
          <w:color w:val="auto"/>
        </w:rPr>
      </w:pPr>
    </w:p>
    <w:p>
      <w:pPr>
        <w:ind w:left="644" w:hanging="644"/>
        <w:spacing w:after="0" w:line="266" w:lineRule="auto"/>
        <w:tabs>
          <w:tab w:leader="none" w:pos="6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Registration Statement and Prospectus under the captions “Non-United States Tax Considerations—Marshall Islands Tax Consequences”, and “Service of Process and Enforcement of Civil Liabilities,” insofar as they constitute summaries of Marshall Islands law or legal conclusions of Marshall Islands law, accurately describe in all material respects the portions of the statutes</w:t>
      </w:r>
    </w:p>
    <w:p>
      <w:pPr>
        <w:spacing w:after="0" w:line="176" w:lineRule="exact"/>
        <w:rPr>
          <w:sz w:val="20"/>
          <w:szCs w:val="20"/>
          <w:color w:val="auto"/>
        </w:rPr>
      </w:pPr>
    </w:p>
    <w:p>
      <w:pPr>
        <w:ind w:left="4664"/>
        <w:spacing w:after="0"/>
        <w:rPr>
          <w:sz w:val="20"/>
          <w:szCs w:val="20"/>
          <w:color w:val="auto"/>
        </w:rPr>
      </w:pPr>
      <w:r>
        <w:rPr>
          <w:rFonts w:ascii="Times New Roman" w:cs="Times New Roman" w:eastAsia="Times New Roman" w:hAnsi="Times New Roman"/>
          <w:sz w:val="18"/>
          <w:szCs w:val="18"/>
          <w:color w:val="auto"/>
        </w:rPr>
        <w:t>Annex 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and regulations addressed thereby, subject to the qualifications and assumptions stated therein.</w:t>
      </w:r>
    </w:p>
    <w:p>
      <w:pPr>
        <w:spacing w:after="0" w:line="225" w:lineRule="exact"/>
        <w:rPr>
          <w:sz w:val="20"/>
          <w:szCs w:val="20"/>
          <w:color w:val="auto"/>
        </w:rPr>
      </w:pPr>
    </w:p>
    <w:p>
      <w:pPr>
        <w:ind w:left="644" w:right="180" w:hanging="644"/>
        <w:spacing w:after="0" w:line="261" w:lineRule="auto"/>
        <w:tabs>
          <w:tab w:leader="none" w:pos="6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none of the Units are owned directly or indirectly by the Republic of The Marshall Islands or any other sovereign state, the MI Entities are not entitled to any immunity under the laws of the Republic of The Marshall Islands, whether characterized as sovereign immunity or otherwise, from any legal proceedings in respect of themselves or their respective properties in relation to the Underwriting Agreement.</w:t>
      </w:r>
    </w:p>
    <w:p>
      <w:pPr>
        <w:spacing w:after="0" w:line="180" w:lineRule="exact"/>
        <w:rPr>
          <w:rFonts w:ascii="Times New Roman" w:cs="Times New Roman" w:eastAsia="Times New Roman" w:hAnsi="Times New Roman"/>
          <w:sz w:val="18"/>
          <w:szCs w:val="18"/>
          <w:color w:val="auto"/>
        </w:rPr>
      </w:pPr>
    </w:p>
    <w:p>
      <w:pPr>
        <w:ind w:left="644" w:right="80" w:hanging="644"/>
        <w:spacing w:after="0" w:line="282" w:lineRule="auto"/>
        <w:tabs>
          <w:tab w:leader="none" w:pos="6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New York law to govern the Underwriting Agreement would be regarded by the courts of the Marshall Islands as a matter of civil contract to be enforced in the same manner as other contracts.</w:t>
      </w:r>
    </w:p>
    <w:p>
      <w:pPr>
        <w:spacing w:after="0" w:line="161" w:lineRule="exact"/>
        <w:rPr>
          <w:rFonts w:ascii="Times New Roman" w:cs="Times New Roman" w:eastAsia="Times New Roman" w:hAnsi="Times New Roman"/>
          <w:sz w:val="18"/>
          <w:szCs w:val="18"/>
          <w:color w:val="auto"/>
        </w:rPr>
      </w:pPr>
    </w:p>
    <w:p>
      <w:pPr>
        <w:ind w:left="644" w:right="40" w:hanging="644"/>
        <w:spacing w:after="0" w:line="258" w:lineRule="auto"/>
        <w:tabs>
          <w:tab w:leader="none" w:pos="6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submission of each of the MI Entities to the exclusive jurisdiction of any Federal or State court in the Borough of Manhattan, the City of New York in the Underwriting Agreement is valid and binding under the laws of the Republic of the Marshall Islands. We would inform you, however, that the validity and enforceability of such submission to jurisdiction provision set forth in the Underwriting Agreement is not dependent on the law of the Republic of the Marshall Islands and such provision may not be enforceable under the laws of any particular jurisdiction.</w:t>
      </w:r>
    </w:p>
    <w:p>
      <w:pPr>
        <w:spacing w:after="0" w:line="183" w:lineRule="exact"/>
        <w:rPr>
          <w:rFonts w:ascii="Times New Roman" w:cs="Times New Roman" w:eastAsia="Times New Roman" w:hAnsi="Times New Roman"/>
          <w:sz w:val="18"/>
          <w:szCs w:val="18"/>
          <w:color w:val="auto"/>
        </w:rPr>
      </w:pPr>
    </w:p>
    <w:p>
      <w:pPr>
        <w:ind w:left="644" w:right="240" w:hanging="644"/>
        <w:spacing w:after="0" w:line="266" w:lineRule="auto"/>
        <w:tabs>
          <w:tab w:leader="none" w:pos="6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non-appealable judgment against any of the MI Entities entered by a court in any United States or foreign jurisdiction in any suit, action or proceeding would be enforceable against the relevant MI Entity in the courts of the Republic of the Marshall Islands without a retrial of the merits of the matter except where:</w:t>
      </w:r>
    </w:p>
    <w:p>
      <w:pPr>
        <w:spacing w:after="0" w:line="176" w:lineRule="exact"/>
        <w:rPr>
          <w:rFonts w:ascii="Times New Roman" w:cs="Times New Roman" w:eastAsia="Times New Roman" w:hAnsi="Times New Roman"/>
          <w:sz w:val="18"/>
          <w:szCs w:val="18"/>
          <w:color w:val="auto"/>
        </w:rPr>
      </w:pPr>
    </w:p>
    <w:p>
      <w:pPr>
        <w:ind w:left="1344" w:hanging="695"/>
        <w:spacing w:after="0"/>
        <w:tabs>
          <w:tab w:leader="none" w:pos="13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been pronounced by a court of competent jurisdiction;</w:t>
      </w:r>
    </w:p>
    <w:p>
      <w:pPr>
        <w:spacing w:after="0" w:line="225" w:lineRule="exact"/>
        <w:rPr>
          <w:rFonts w:ascii="Times New Roman" w:cs="Times New Roman" w:eastAsia="Times New Roman" w:hAnsi="Times New Roman"/>
          <w:sz w:val="18"/>
          <w:szCs w:val="18"/>
          <w:color w:val="auto"/>
        </w:rPr>
      </w:pPr>
    </w:p>
    <w:p>
      <w:pPr>
        <w:ind w:left="1344" w:hanging="695"/>
        <w:spacing w:after="0"/>
        <w:tabs>
          <w:tab w:leader="none" w:pos="134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been given on the merits of the case;</w:t>
      </w:r>
    </w:p>
    <w:p>
      <w:pPr>
        <w:spacing w:after="0" w:line="225" w:lineRule="exact"/>
        <w:rPr>
          <w:rFonts w:ascii="Times New Roman" w:cs="Times New Roman" w:eastAsia="Times New Roman" w:hAnsi="Times New Roman"/>
          <w:sz w:val="18"/>
          <w:szCs w:val="18"/>
          <w:color w:val="auto"/>
        </w:rPr>
      </w:pPr>
    </w:p>
    <w:p>
      <w:pPr>
        <w:ind w:left="1304" w:right="180" w:hanging="655"/>
        <w:spacing w:after="0" w:line="282" w:lineRule="auto"/>
        <w:tabs>
          <w:tab w:leader="none" w:pos="13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appears on the face of the proceeding to be founded on an incorrect view of international law or a refusal to recognize the laws of the Republic of the Marshall Islands in cases in which such laws are applicable;</w:t>
      </w:r>
    </w:p>
    <w:p>
      <w:pPr>
        <w:spacing w:after="0" w:line="161"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in which the judgment was obtained are opposed to natural justice;</w:t>
      </w:r>
    </w:p>
    <w:p>
      <w:pPr>
        <w:spacing w:after="0" w:line="225"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obtained by fraud;</w:t>
      </w:r>
    </w:p>
    <w:p>
      <w:pPr>
        <w:spacing w:after="0" w:line="225" w:lineRule="exact"/>
        <w:rPr>
          <w:rFonts w:ascii="Times New Roman" w:cs="Times New Roman" w:eastAsia="Times New Roman" w:hAnsi="Times New Roman"/>
          <w:sz w:val="18"/>
          <w:szCs w:val="18"/>
          <w:color w:val="auto"/>
        </w:rPr>
      </w:pPr>
    </w:p>
    <w:p>
      <w:pPr>
        <w:ind w:left="1304" w:hanging="655"/>
        <w:spacing w:after="0"/>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sustains a claim founded on a breach of any law in force in the Republic of the Marshall Islands; or</w:t>
      </w:r>
    </w:p>
    <w:p>
      <w:pPr>
        <w:spacing w:after="0" w:line="225" w:lineRule="exact"/>
        <w:rPr>
          <w:rFonts w:ascii="Times New Roman" w:cs="Times New Roman" w:eastAsia="Times New Roman" w:hAnsi="Times New Roman"/>
          <w:sz w:val="18"/>
          <w:szCs w:val="18"/>
          <w:color w:val="auto"/>
        </w:rPr>
      </w:pPr>
    </w:p>
    <w:p>
      <w:pPr>
        <w:ind w:left="1324" w:hanging="675"/>
        <w:spacing w:after="0"/>
        <w:tabs>
          <w:tab w:leader="none" w:pos="132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obtained by default where the relevant MI Entity was not represented.</w:t>
      </w:r>
    </w:p>
    <w:p>
      <w:pPr>
        <w:sectPr>
          <w:pgSz w:w="11900" w:h="16870" w:orient="portrait"/>
          <w:cols w:equalWidth="0" w:num="1">
            <w:col w:w="10744"/>
          </w:cols>
          <w:pgMar w:left="896" w:top="337" w:right="25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Annex 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Annex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MATTERS TO BE COVERED BY BERMUDA COUNSEL OPINION</w:t>
      </w:r>
    </w:p>
    <w:p>
      <w:pPr>
        <w:spacing w:after="0" w:line="225" w:lineRule="exact"/>
        <w:rPr>
          <w:sz w:val="20"/>
          <w:szCs w:val="20"/>
          <w:color w:val="auto"/>
        </w:rPr>
      </w:pPr>
    </w:p>
    <w:p>
      <w:pPr>
        <w:ind w:left="500" w:right="20" w:hanging="492"/>
        <w:spacing w:after="0" w:line="255"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GAS-three Ltd., GAS-four Ltd., GAS-five Ltd., GAS-seven Ltd., GAS-eight Ltd., GAS-eleven Ltd., GAS-thirteen Ltd., GAS-sixteen Ltd., GAS-seventeen Ltd., GAS-nineteen Ltd., GAS-twenty Ltd. and GAS-twenty one Ltd.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Each of the Company, GAS-three Ltd., GAS-four Ltd., GAS-five Ltd., GAS-seven Ltd., GAS-eight Ltd., GAS-eleven Ltd., GAS-thirteen Ltd., GAS-sixteen Ltd., GAS-seventeen Ltd., GAS-nineteen Ltd., GAS-twenty Ltd. and GAS-twenty one Ltd. possesses the capacity to sue and be sued in its own name under the laws of Bermuda.</w:t>
      </w:r>
    </w:p>
    <w:p>
      <w:pPr>
        <w:spacing w:after="0" w:line="189" w:lineRule="exact"/>
        <w:rPr>
          <w:rFonts w:ascii="Times New Roman" w:cs="Times New Roman" w:eastAsia="Times New Roman" w:hAnsi="Times New Roman"/>
          <w:sz w:val="18"/>
          <w:szCs w:val="18"/>
          <w:color w:val="auto"/>
        </w:rPr>
      </w:pPr>
    </w:p>
    <w:p>
      <w:pPr>
        <w:ind w:left="500" w:right="120" w:hanging="492"/>
        <w:spacing w:after="0" w:line="289" w:lineRule="auto"/>
        <w:tabs>
          <w:tab w:leader="none" w:pos="5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 GAS-three Ltd., GAS-four Ltd., GAS-five Ltd., GAS-seven Ltd., GAS-eight Ltd., GAS-eleven Ltd., GAS-thirteen Ltd., GAS-sixteen Ltd., GAS-seventeen Ltd., GAS-nineteen Ltd., GAS-twenty Ltd. and GAS-twenty one Ltd. has the necessary corporate power and authority to own, lease and operate its properties and conduct its business as described in the Registration Statement, the Pricing Prospectus and the Prospectus.</w:t>
      </w:r>
    </w:p>
    <w:p>
      <w:pPr>
        <w:spacing w:after="0" w:line="158" w:lineRule="exact"/>
        <w:rPr>
          <w:rFonts w:ascii="Times New Roman" w:cs="Times New Roman" w:eastAsia="Times New Roman" w:hAnsi="Times New Roman"/>
          <w:sz w:val="17"/>
          <w:szCs w:val="17"/>
          <w:color w:val="auto"/>
        </w:rPr>
      </w:pPr>
    </w:p>
    <w:p>
      <w:pPr>
        <w:jc w:val="both"/>
        <w:ind w:left="500" w:right="420" w:hanging="492"/>
        <w:spacing w:after="0" w:line="266"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necessary corporate power and authority to perform its obligations under the Documents. The execution and delivery of the Documents and the performance by the Company of its obligations thereunder will not violate the memorandum of association or bye-laws of the Company, nor any applicable law, regulation, order or decree in Bermuda.</w:t>
      </w:r>
    </w:p>
    <w:p>
      <w:pPr>
        <w:spacing w:after="0" w:line="176" w:lineRule="exact"/>
        <w:rPr>
          <w:rFonts w:ascii="Times New Roman" w:cs="Times New Roman" w:eastAsia="Times New Roman" w:hAnsi="Times New Roman"/>
          <w:sz w:val="18"/>
          <w:szCs w:val="18"/>
          <w:color w:val="auto"/>
        </w:rPr>
      </w:pPr>
    </w:p>
    <w:p>
      <w:pPr>
        <w:ind w:left="500" w:right="300" w:hanging="492"/>
        <w:spacing w:after="0" w:line="266"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corporate action required to authorize the execution, delivery and performance of the Documents. The Documents have been duly executed and delivered by or on behalf of the Company and constitute the valid, binding and enforceable obligations of the Company in accordance with the terms thereof.</w:t>
      </w:r>
    </w:p>
    <w:p>
      <w:pPr>
        <w:spacing w:after="0" w:line="176" w:lineRule="exact"/>
        <w:rPr>
          <w:rFonts w:ascii="Times New Roman" w:cs="Times New Roman" w:eastAsia="Times New Roman" w:hAnsi="Times New Roman"/>
          <w:sz w:val="18"/>
          <w:szCs w:val="18"/>
          <w:color w:val="auto"/>
        </w:rPr>
      </w:pPr>
    </w:p>
    <w:p>
      <w:pPr>
        <w:ind w:left="500" w:right="60" w:hanging="492"/>
        <w:spacing w:after="0" w:line="261"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consent, approval, licence, authorisation or validation of or exemption by any government or public body or authority of Bermuda or any sub-division thereof is required to authorise or is required to be obtained by the Company or the Underwriters to authorise or in connection with the execution, delivery, performance and enforcement of the Documents including the consummation by the Company of the transactions contemplated by the Documents, except such as have been duly obtained in accordance with Bermuda law and which are in full force and effect.</w:t>
      </w:r>
    </w:p>
    <w:p>
      <w:pPr>
        <w:spacing w:after="0" w:line="180" w:lineRule="exact"/>
        <w:rPr>
          <w:rFonts w:ascii="Times New Roman" w:cs="Times New Roman" w:eastAsia="Times New Roman" w:hAnsi="Times New Roman"/>
          <w:sz w:val="18"/>
          <w:szCs w:val="18"/>
          <w:color w:val="auto"/>
        </w:rPr>
      </w:pPr>
    </w:p>
    <w:p>
      <w:pPr>
        <w:ind w:left="500" w:right="40" w:hanging="492"/>
        <w:spacing w:after="0" w:line="258" w:lineRule="auto"/>
        <w:tabs>
          <w:tab w:leader="none" w:pos="5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permit, licences, franchises, concessions, certificates and authorisations of, or declarations or filings with, any governmental or regulatory authorities of Bermuda are required for the Company, GAS-three Ltd., GAS-four Ltd., GAS-five Ltd., GAS-seven Ltd., GAS-eight Ltd., GAS-eleven Ltd., GAS-thirteen Ltd., GAS-sixteen Ltd., GAS-seventeen Ltd., GAS-nineteen Ltd., GAS-twenty Ltd. or GAS-twenty one Ltd. to own or lease and to operate its properties and to conduct its business in the manner described in the Prospectus, other than such permits, consents, licences, franchises, concessions, certificates and authorisations, declarations or filings with any Bermuda governmental authority held or filed by the Bermuda entities.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00" w:right="180" w:hanging="492"/>
        <w:spacing w:after="0" w:line="261"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GAS-three Ltd., GAS-four Ltd., GAS-five Ltd., GAS-seven Ltd., GAS-eight Ltd., GAS-eleven Ltd., GAS-thirteen Ltd., GAS-sixteen Ltd., GAS-seventeen Ltd., GAS-nineteen Ltd., GAS-twenty Ltd. and GAS-twenty one Ltd. is not entitled to any immunity under the laws of Bermuda, whether characterized as sovereign immunity or otherwise, from any legal proceedings relating to the Documents or the transactions contemplated thereby in respect of themselves or their respective properties.</w:t>
      </w:r>
    </w:p>
    <w:p>
      <w:pPr>
        <w:spacing w:after="0" w:line="180" w:lineRule="exact"/>
        <w:rPr>
          <w:rFonts w:ascii="Times New Roman" w:cs="Times New Roman" w:eastAsia="Times New Roman" w:hAnsi="Times New Roman"/>
          <w:sz w:val="18"/>
          <w:szCs w:val="18"/>
          <w:color w:val="auto"/>
        </w:rPr>
      </w:pPr>
    </w:p>
    <w:p>
      <w:pPr>
        <w:ind w:left="500" w:hanging="492"/>
        <w:spacing w:after="0" w:line="256"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Foreign Laws as the governing law of the Documents is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 the Company of any objection related to inconvenient forum and the appointment by the Company of an agent for service of process, in each case pursuant to the Documents, is valid and binding upon the Company.</w:t>
      </w:r>
    </w:p>
    <w:p>
      <w:pPr>
        <w:spacing w:after="0" w:line="187" w:lineRule="exact"/>
        <w:rPr>
          <w:rFonts w:ascii="Times New Roman" w:cs="Times New Roman" w:eastAsia="Times New Roman" w:hAnsi="Times New Roman"/>
          <w:sz w:val="18"/>
          <w:szCs w:val="18"/>
          <w:color w:val="auto"/>
        </w:rPr>
      </w:pPr>
    </w:p>
    <w:p>
      <w:pPr>
        <w:ind w:left="500" w:right="60" w:hanging="492"/>
        <w:spacing w:after="0" w:line="254" w:lineRule="auto"/>
        <w:tabs>
          <w:tab w:leader="none" w:pos="5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or desirable to ensure the enforceability in Bermuda of the Documents that they be registered in any register kept by, or filed with, any governmental authority or regulatory body in Bermuda. However, to the extent that any of the Documents create a charge over assets of a Company, it may be desirable to ensure the priority in Bermuda of the charge that it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$630 will be payable in respect of the registration. While there is no exhaustive definition of a charge under Bermuda law, a charge includes any interest created in property by way of security (including any mortgage, assignment, pledge, lien or hypothecation). As the Documents are governed by the Foreign Laws, the question of whether it creates such an interest in property would be determined under the Foreign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MATTERS TO BE COVERED BY ENGLISH COUNSEL OPINION</w:t>
      </w:r>
    </w:p>
    <w:p>
      <w:pPr>
        <w:spacing w:after="0" w:line="225" w:lineRule="exact"/>
        <w:rPr>
          <w:sz w:val="20"/>
          <w:szCs w:val="20"/>
          <w:color w:val="auto"/>
        </w:rPr>
      </w:pPr>
    </w:p>
    <w:p>
      <w:pPr>
        <w:ind w:left="500" w:right="60" w:hanging="492"/>
        <w:spacing w:after="0" w:line="282" w:lineRule="auto"/>
        <w:tabs>
          <w:tab w:leader="none" w:pos="5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and subject to the reservations, qualifications and observations set out in our Opinion and to matters not disclosed to us, we are of the opinion that the entering into and performance of the Issue Document by the Company will not breach any of the express undertakings or covenants of</w:t>
      </w:r>
    </w:p>
    <w:p>
      <w:pPr>
        <w:sectPr>
          <w:pgSz w:w="11900" w:h="16838" w:orient="portrait"/>
          <w:cols w:equalWidth="0" w:num="1">
            <w:col w:w="11420"/>
          </w:cols>
          <w:pgMar w:left="240" w:top="337" w:right="239" w:bottom="0" w:gutter="0" w:footer="0" w:header="0"/>
        </w:sectPr>
      </w:pPr>
    </w:p>
    <w:bookmarkStart w:id="25" w:name="page26"/>
    <w:bookmarkEnd w:id="25"/>
    <w:p>
      <w:pPr>
        <w:spacing w:after="0" w:line="282" w:lineRule="auto"/>
        <w:rPr>
          <w:sz w:val="20"/>
          <w:szCs w:val="20"/>
          <w:color w:val="auto"/>
        </w:rPr>
      </w:pPr>
      <w:r>
        <w:rPr>
          <w:rFonts w:ascii="Times New Roman" w:cs="Times New Roman" w:eastAsia="Times New Roman" w:hAnsi="Times New Roman"/>
          <w:sz w:val="18"/>
          <w:szCs w:val="18"/>
          <w:color w:val="auto"/>
        </w:rPr>
        <w:t>the Obligors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16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Annex III-3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00"/>
          </w:cols>
          <w:pgMar w:left="740" w:top="121" w:right="2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157480</wp:posOffset>
            </wp:positionV>
            <wp:extent cx="1389380" cy="411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893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9,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Gildo Pastor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Rue du Gabian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 98000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Monaco</w:t>
      </w:r>
    </w:p>
    <w:p>
      <w:pPr>
        <w:spacing w:after="0" w:line="207" w:lineRule="exact"/>
        <w:rPr>
          <w:sz w:val="20"/>
          <w:szCs w:val="20"/>
          <w:color w:val="auto"/>
        </w:rPr>
      </w:pPr>
    </w:p>
    <w:p>
      <w:pPr>
        <w:ind w:left="1300"/>
        <w:spacing w:after="0"/>
        <w:tabs>
          <w:tab w:leader="none" w:pos="19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acted as counsel to GasLog Partners LP, a limited partnership organized under the laws of the Republic of the Marshall Islands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w:t>
      </w:r>
      <w:r>
        <w:rPr>
          <w:rFonts w:ascii="Times New Roman" w:cs="Times New Roman" w:eastAsia="Times New Roman" w:hAnsi="Times New Roman"/>
          <w:sz w:val="18"/>
          <w:szCs w:val="18"/>
          <w:color w:val="auto"/>
        </w:rPr>
        <w:t>”) in connection with the registration of its 8.200% series B cumulative redeemable perpetual fixed to floating rate preference units,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units to be sold by the Partnership pursuant to the underwriters’ option to purchase additional 8.200% series B cumulative redeemable perpetual fixed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floating rate preference units (together, the “</w:t>
      </w:r>
      <w:r>
        <w:rPr>
          <w:rFonts w:ascii="Times New Roman" w:cs="Times New Roman" w:eastAsia="Times New Roman" w:hAnsi="Times New Roman"/>
          <w:sz w:val="18"/>
          <w:szCs w:val="18"/>
          <w:u w:val="single" w:color="auto"/>
          <w:color w:val="auto"/>
        </w:rPr>
        <w:t>Units</w:t>
      </w:r>
      <w:r>
        <w:rPr>
          <w:rFonts w:ascii="Times New Roman" w:cs="Times New Roman" w:eastAsia="Times New Roman" w:hAnsi="Times New Roman"/>
          <w:sz w:val="18"/>
          <w:szCs w:val="18"/>
          <w:color w:val="auto"/>
        </w:rPr>
        <w:t>”), representing limited partner interests in the Partnership, pursuant to the Partnership’s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F-3 (File No. 333-220736) (such registration statement as amended or supplemented from time to time)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are being offered in the Partnership’s public offering pursuant 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to be entered into among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Partnership, GasLog Partners GP LLC, a Marshall Islands limited liability company and the general partner (the “</w:t>
      </w:r>
      <w:r>
        <w:rPr>
          <w:rFonts w:ascii="Times New Roman" w:cs="Times New Roman" w:eastAsia="Times New Roman" w:hAnsi="Times New Roman"/>
          <w:sz w:val="18"/>
          <w:szCs w:val="18"/>
          <w:u w:val="single" w:color="auto"/>
          <w:color w:val="auto"/>
        </w:rPr>
        <w:t>General Partner</w:t>
      </w:r>
      <w:r>
        <w:rPr>
          <w:rFonts w:ascii="Times New Roman" w:cs="Times New Roman" w:eastAsia="Times New Roman" w:hAnsi="Times New Roman"/>
          <w:sz w:val="18"/>
          <w:szCs w:val="18"/>
          <w:color w:val="auto"/>
        </w:rPr>
        <w:t>”) of the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GasLog Partners Holding LLC and Morgan Stanley &amp; Co. LLC, UBS Securities LLC, Stifel, Nicolaus &amp; Company, Incorporated, Citigroup Global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Inc.</w:t>
      </w:r>
    </w:p>
    <w:p>
      <w:pPr>
        <w:spacing w:after="0" w:line="20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45 Broadway  16th Floor New York, NY 10006</w:t>
      </w:r>
    </w:p>
    <w:p>
      <w:pPr>
        <w:spacing w:after="0" w:line="2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212.509.9400 800.437.7040 212.509.9492 Fax cozen.com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other underwriters named in Schedule I to the Underwriting Agreement, as underwriters.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examined originals or copies, certified or otherwise identified to our satisfaction, of:</w:t>
      </w:r>
    </w:p>
    <w:p>
      <w:pPr>
        <w:spacing w:after="0" w:line="225" w:lineRule="exact"/>
        <w:rPr>
          <w:sz w:val="20"/>
          <w:szCs w:val="20"/>
          <w:color w:val="auto"/>
        </w:rPr>
      </w:pPr>
    </w:p>
    <w:p>
      <w:pPr>
        <w:ind w:left="1400" w:hanging="74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contained therein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dated January 9, 2018 (the “</w:t>
      </w:r>
      <w:r>
        <w:rPr>
          <w:rFonts w:ascii="Times New Roman" w:cs="Times New Roman" w:eastAsia="Times New Roman" w:hAnsi="Times New Roman"/>
          <w:sz w:val="18"/>
          <w:szCs w:val="18"/>
          <w:u w:val="single" w:color="auto"/>
          <w:color w:val="auto"/>
        </w:rPr>
        <w:t>Base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Third Amended and Restated Agreement of Limited Partnership of the Partnership to be filed with the Commission;</w:t>
      </w:r>
    </w:p>
    <w:p>
      <w:pPr>
        <w:spacing w:after="0" w:line="225"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Underwriting Agreement; and</w:t>
      </w:r>
    </w:p>
    <w:p>
      <w:pPr>
        <w:spacing w:after="0" w:line="225" w:lineRule="exact"/>
        <w:rPr>
          <w:rFonts w:ascii="Times New Roman" w:cs="Times New Roman" w:eastAsia="Times New Roman" w:hAnsi="Times New Roman"/>
          <w:sz w:val="18"/>
          <w:szCs w:val="18"/>
          <w:color w:val="auto"/>
        </w:rPr>
      </w:pPr>
    </w:p>
    <w:p>
      <w:pPr>
        <w:ind w:left="1380" w:right="140" w:hanging="724"/>
        <w:spacing w:after="0" w:line="282" w:lineRule="auto"/>
        <w:tabs>
          <w:tab w:leader="none" w:pos="13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papers, documents, agreements, and records of the Partnership and the General Partner and such other instruments, certificates and documents as we have deemed necessary or appropriate as a basis for the opinions hereinafter expressed.</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matters of fact material to this opinion that have not been independently established, we have relied upon representations, statements, and certificates of public officials, directors or officers of the Partnership and the General Partner, and others, in each case as we have deemed relevant and appropriate, and upon the representations and warranties of each of the Partnership and the General Partner to be made in the Underwriting Agreement. We have not independently verified the facts so relied on.</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rendering this opinion, we have also assumed that:</w:t>
      </w:r>
    </w:p>
    <w:p>
      <w:pPr>
        <w:spacing w:after="0" w:line="225" w:lineRule="exact"/>
        <w:rPr>
          <w:sz w:val="20"/>
          <w:szCs w:val="20"/>
          <w:color w:val="auto"/>
        </w:rPr>
      </w:pPr>
    </w:p>
    <w:p>
      <w:pPr>
        <w:ind w:left="1960" w:right="40" w:hanging="655"/>
        <w:spacing w:after="0" w:line="282" w:lineRule="auto"/>
        <w:tabs>
          <w:tab w:leader="none" w:pos="198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the Units complies in all respects with the terms, conditions and restrictions set forth in the Prospectus and all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instruments and other documents relating thereto or executed or to be executed in connection therewith;</w:t>
      </w:r>
    </w:p>
    <w:p>
      <w:pPr>
        <w:spacing w:after="0" w:line="225" w:lineRule="exact"/>
        <w:rPr>
          <w:sz w:val="20"/>
          <w:szCs w:val="20"/>
          <w:color w:val="auto"/>
        </w:rPr>
      </w:pPr>
    </w:p>
    <w:p>
      <w:pPr>
        <w:ind w:left="1960" w:right="20" w:hanging="655"/>
        <w:spacing w:after="0" w:line="266" w:lineRule="auto"/>
        <w:tabs>
          <w:tab w:leader="none" w:pos="199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and the Third Amended and Restated Agreement of Limited Partnership will be duly and validly authorized by all parties thereto, and executed and delivered, in the same forms provided to us, by such parties prior to the issuance and delivery of the Units; and</w:t>
      </w:r>
    </w:p>
    <w:p>
      <w:pPr>
        <w:spacing w:after="0" w:line="176"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is valid and enforceable against the parties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letter is limited to Marshall Islands Law as of the date hereof.</w:t>
      </w:r>
    </w:p>
    <w:p>
      <w:pPr>
        <w:sectPr>
          <w:pgSz w:w="11900" w:h="16838" w:orient="portrait"/>
          <w:cols w:equalWidth="0" w:num="1">
            <w:col w:w="11420"/>
          </w:cols>
          <w:pgMar w:left="240" w:top="117" w:right="239" w:bottom="0" w:gutter="0" w:footer="0" w:header="0"/>
        </w:sectPr>
      </w:pPr>
    </w:p>
    <w:bookmarkStart w:id="27" w:name="page28"/>
    <w:bookmarkEnd w:id="27"/>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Based on the foregoing, and having regard to legal considerations which we deem relevant, and subject to the qualifications, limitations and assumptions set forth herein, we are of the opinion that under the laws of the Republic of the Marshall Islands, when the Units are issued and delivered against payment therefor in accordance with the terms of the Underwriting Agreement, the Registration Statement and the Prospectus, the Units will be validly issued, fully paid and nonassessable (except as such nonassessability may be affected by Sections 30, 41, 51 and 60 of the Marshall Islands Limited Partnership Act).</w:t>
      </w:r>
    </w:p>
    <w:p>
      <w:pPr>
        <w:spacing w:after="0" w:line="18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opinion is as of the date hereof and we have no responsibility to update this opinion for events and circumstances occurring after the date hereof or as to facts relating to prior events that are subsequently brought to our attention. We disavow any undertaking to advise you of any changes in law.</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name in the Prospectus. In giving such consent, we do not hereby admit that we are in the category of persons whose consent is required under Section 7 of the Securities Act and the rules and regulations of the Commission promulgated thereunder with respect to any part of the Registration Statement.</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Cozen O’Connor</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157480</wp:posOffset>
            </wp:positionV>
            <wp:extent cx="5205730" cy="17494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0573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9, 2018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80" w:firstLine="1297"/>
        <w:spacing w:after="0" w:line="255" w:lineRule="auto"/>
        <w:rPr>
          <w:sz w:val="20"/>
          <w:szCs w:val="20"/>
          <w:color w:val="auto"/>
        </w:rPr>
      </w:pPr>
      <w:r>
        <w:rPr>
          <w:rFonts w:ascii="Times New Roman" w:cs="Times New Roman" w:eastAsia="Times New Roman" w:hAnsi="Times New Roman"/>
          <w:sz w:val="18"/>
          <w:szCs w:val="18"/>
          <w:color w:val="auto"/>
        </w:rPr>
        <w:t>We have acted as United States counsel to GasLog Partners LP, a Marshall Islands limited partnership (the “Partnership”), in connection with the offering by the Partnership of its 8.200% Series B Cumulative Redeemable Perpetual Fixed to Floating Rate Preference Units pursuant to a prospectus supplement dated January 9, 2018 (together with the related Base Prospectus (as defined herein), the “Prospectus”) filed with the Securities and Exchange Commission (the “Commission”) pursuant to 424(b) of the General Rules and Regulations under the Securities Act of 1933, as amended. The Prospectus was filed as part of a Registration Statement on Form F-3 filed with the Commission on September 29, 2017 (Registration No. 333-220736, the “Registration Statement”) which Registration Statement includes a prospectus dated October 10, 2017 (together with the documents incorporated therein by reference, the “Base Prospectus”).</w:t>
      </w:r>
    </w:p>
    <w:p>
      <w:pPr>
        <w:spacing w:after="0" w:line="189" w:lineRule="exact"/>
        <w:rPr>
          <w:sz w:val="20"/>
          <w:szCs w:val="20"/>
          <w:color w:val="auto"/>
        </w:rPr>
      </w:pPr>
    </w:p>
    <w:p>
      <w:pPr>
        <w:ind w:right="80" w:firstLine="1297"/>
        <w:spacing w:after="0" w:line="256" w:lineRule="auto"/>
        <w:rPr>
          <w:sz w:val="20"/>
          <w:szCs w:val="20"/>
          <w:color w:val="auto"/>
        </w:rPr>
      </w:pPr>
      <w:r>
        <w:rPr>
          <w:rFonts w:ascii="Times New Roman" w:cs="Times New Roman" w:eastAsia="Times New Roman" w:hAnsi="Times New Roman"/>
          <w:sz w:val="18"/>
          <w:szCs w:val="18"/>
          <w:color w:val="auto"/>
        </w:rPr>
        <w:t>For purposes of our opinion set forth below, we have reviewed and relied upon the Registration Statement, including the Prospectus, and such other documents, records and instruments as we have deemed necessary and appropriate. In such review, we have assumed the genuineness of all signatures, the legal capacity of natural persons, the conformity to original documents of all documents submitted to us as duplicate copies and the authenticity of the originals of such documents. We have not undertaken any independent investigation of any factual matter set forth in any of the foregoing. In addition, we have relied upon certain statements of factual matters made by the Partnership, which we have neither investigated nor verified. Any inaccuracy in any of the aforementioned documents or statements could adversely affect our opinion.</w:t>
      </w:r>
    </w:p>
    <w:p>
      <w:pPr>
        <w:spacing w:after="0" w:line="188" w:lineRule="exact"/>
        <w:rPr>
          <w:sz w:val="20"/>
          <w:szCs w:val="20"/>
          <w:color w:val="auto"/>
        </w:rPr>
      </w:pPr>
    </w:p>
    <w:p>
      <w:pPr>
        <w:ind w:right="280" w:firstLine="1297"/>
        <w:spacing w:after="0" w:line="282" w:lineRule="auto"/>
        <w:rPr>
          <w:sz w:val="20"/>
          <w:szCs w:val="20"/>
          <w:color w:val="auto"/>
        </w:rPr>
      </w:pPr>
      <w:r>
        <w:rPr>
          <w:rFonts w:ascii="Times New Roman" w:cs="Times New Roman" w:eastAsia="Times New Roman" w:hAnsi="Times New Roman"/>
          <w:sz w:val="18"/>
          <w:szCs w:val="18"/>
          <w:color w:val="auto"/>
        </w:rPr>
        <w:t>In rendering our opinion, we have considered the applicable provisions of the Internal Revenue Code of 1986, as amended (the “Code”), regulations promulgated thereunder by the U.S. Department of Treasury (the “Regulations”), pertinent judicial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authorities, rulings of the Internal Revenue Service, and such other authorities as we have considered relevant, in each case as in effect on the date hereof. It should be noted that the Code, Regulations, judicial decisions, administrative interpretations and other authorities are subject to change at any time, possibly with retroactive effect. A material change in any of the materials or authorities upon which our opinion is based could affect the conclusions set forth herein. There can be no assurance, moreover, that any opinion expressed herein will be accepted by the Internal Revenue Service, or if challenged, by a court.</w:t>
      </w:r>
    </w:p>
    <w:p>
      <w:pPr>
        <w:spacing w:after="0" w:line="165" w:lineRule="exact"/>
        <w:rPr>
          <w:sz w:val="20"/>
          <w:szCs w:val="20"/>
          <w:color w:val="auto"/>
        </w:rPr>
      </w:pPr>
    </w:p>
    <w:p>
      <w:pPr>
        <w:ind w:right="200" w:firstLine="1297"/>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although the discussion in the Prospectus, under the heading “Material U.S. Federal Income Tax Considerations” does not purport to discuss all possible United States federal income tax consequences of the matters discussed therein, we hereby confirm that the statements of law (including the qualifications thereto) under such headings represent our opinion of the material United States federal income tax consequences of the matters discussed therein as of the date hereof.</w:t>
      </w:r>
    </w:p>
    <w:p>
      <w:pPr>
        <w:spacing w:after="0" w:line="180" w:lineRule="exact"/>
        <w:rPr>
          <w:sz w:val="20"/>
          <w:szCs w:val="20"/>
          <w:color w:val="auto"/>
        </w:rPr>
      </w:pPr>
    </w:p>
    <w:p>
      <w:pPr>
        <w:ind w:right="60" w:firstLine="1297"/>
        <w:spacing w:after="0" w:line="266" w:lineRule="auto"/>
        <w:rPr>
          <w:sz w:val="20"/>
          <w:szCs w:val="20"/>
          <w:color w:val="auto"/>
        </w:rPr>
      </w:pPr>
      <w:r>
        <w:rPr>
          <w:rFonts w:ascii="Times New Roman" w:cs="Times New Roman" w:eastAsia="Times New Roman" w:hAnsi="Times New Roman"/>
          <w:sz w:val="18"/>
          <w:szCs w:val="18"/>
          <w:color w:val="auto"/>
        </w:rPr>
        <w:t>Our opinion does not relate to any factual or accounting matters, determinations or conclusions, and we have not expressed an opinion as to any matter not specifically described in the foregoing sentence. We disclaim any undertaking to advise you of any subsequent changes in the facts stated or assumed herein or subsequent changes in applicable law. Any changes in the facts set forth or assumed herein may affect the conclusions stated herein.</w:t>
      </w:r>
    </w:p>
    <w:p>
      <w:pPr>
        <w:spacing w:after="0" w:line="176" w:lineRule="exact"/>
        <w:rPr>
          <w:sz w:val="20"/>
          <w:szCs w:val="20"/>
          <w:color w:val="auto"/>
        </w:rPr>
      </w:pPr>
    </w:p>
    <w:p>
      <w:pPr>
        <w:jc w:val="both"/>
        <w:ind w:right="420" w:firstLine="1297"/>
        <w:spacing w:after="0" w:line="289" w:lineRule="auto"/>
        <w:rPr>
          <w:sz w:val="20"/>
          <w:szCs w:val="20"/>
          <w:color w:val="auto"/>
        </w:rPr>
      </w:pPr>
      <w:r>
        <w:rPr>
          <w:rFonts w:ascii="Times New Roman" w:cs="Times New Roman" w:eastAsia="Times New Roman" w:hAnsi="Times New Roman"/>
          <w:sz w:val="17"/>
          <w:szCs w:val="17"/>
          <w:color w:val="auto"/>
        </w:rPr>
        <w:t>We hereby consent to the filing of this opinion as an exhibit to the Prospectus and to the reference to our firm under the caption “Legal Matters” in the Prospectus. The giving of this consent does not constitute an admission that we are “experts” within the meaning of the Securities Act or included in the categories of persons whose consent is required by Section 7 of the Securities Act or the rules and regulations of the SEC.</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opinion is rendered to you for the purpose of being included as an exhibit to the Prospectus.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Cravath, Swaine &amp; Moore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GasLog Partners LP</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Gildo Pastor Center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Rue du Gabian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78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lowerLetter"/>
      <w:start w:val="1"/>
    </w:lvl>
  </w:abstractNum>
  <w:abstractNum w:abstractNumId="1">
    <w:nsid w:val="614FD4A1"/>
    <w:multiLevelType w:val="hybridMultilevel"/>
    <w:lvl w:ilvl="0">
      <w:lvlJc w:val="left"/>
      <w:lvlText w:val="(%1)"/>
      <w:numFmt w:val="lowerLetter"/>
      <w:start w:val="2"/>
    </w:lvl>
  </w:abstractNum>
  <w:abstractNum w:abstractNumId="2">
    <w:nsid w:val="419AC241"/>
    <w:multiLevelType w:val="hybridMultilevel"/>
    <w:lvl w:ilvl="0">
      <w:lvlJc w:val="left"/>
      <w:lvlText w:val="(%1)"/>
      <w:numFmt w:val="lowerLetter"/>
      <w:start w:val="5"/>
    </w:lvl>
  </w:abstractNum>
  <w:abstractNum w:abstractNumId="3">
    <w:nsid w:val="5577F8E1"/>
    <w:multiLevelType w:val="hybridMultilevel"/>
    <w:lvl w:ilvl="0">
      <w:lvlJc w:val="left"/>
      <w:lvlText w:val="(%1)"/>
      <w:numFmt w:val="lowerRoman"/>
      <w:start w:val="1"/>
    </w:lvl>
  </w:abstractNum>
  <w:abstractNum w:abstractNumId="4">
    <w:nsid w:val="440BADFC"/>
    <w:multiLevelType w:val="hybridMultilevel"/>
    <w:lvl w:ilvl="0">
      <w:lvlJc w:val="left"/>
      <w:lvlText w:val="(%1)"/>
      <w:numFmt w:val="lowerLetter"/>
      <w:start w:val="10"/>
    </w:lvl>
  </w:abstractNum>
  <w:abstractNum w:abstractNumId="5">
    <w:nsid w:val="5072367"/>
    <w:multiLevelType w:val="hybridMultilevel"/>
    <w:lvl w:ilvl="0">
      <w:lvlJc w:val="left"/>
      <w:lvlText w:val="(%1)"/>
      <w:numFmt w:val="lowerLetter"/>
      <w:start w:val="14"/>
    </w:lvl>
  </w:abstractNum>
  <w:abstractNum w:abstractNumId="6">
    <w:nsid w:val="3804823E"/>
    <w:multiLevelType w:val="hybridMultilevel"/>
    <w:lvl w:ilvl="0">
      <w:lvlJc w:val="left"/>
      <w:lvlText w:val="(%1)"/>
      <w:numFmt w:val="lowerLetter"/>
      <w:start w:val="19"/>
    </w:lvl>
  </w:abstractNum>
  <w:abstractNum w:abstractNumId="7">
    <w:nsid w:val="77465F01"/>
    <w:multiLevelType w:val="hybridMultilevel"/>
    <w:lvl w:ilvl="0">
      <w:lvlJc w:val="left"/>
      <w:lvlText w:val="(%1)"/>
      <w:numFmt w:val="upperLetter"/>
      <w:start w:val="1"/>
    </w:lvl>
    <w:lvl w:ilvl="1">
      <w:lvlJc w:val="left"/>
      <w:lvlText w:val="(%2)"/>
      <w:numFmt w:val="lowerLetter"/>
      <w:start w:val="22"/>
    </w:lvl>
  </w:abstractNum>
  <w:abstractNum w:abstractNumId="8">
    <w:nsid w:val="7724C67E"/>
    <w:multiLevelType w:val="hybridMultilevel"/>
    <w:lvl w:ilvl="0">
      <w:lvlJc w:val="left"/>
      <w:lvlText w:val="(%1)"/>
      <w:numFmt w:val="lowerLetter"/>
      <w:start w:val="27"/>
    </w:lvl>
  </w:abstractNum>
  <w:abstractNum w:abstractNumId="9">
    <w:nsid w:val="5C482A97"/>
    <w:multiLevelType w:val="hybridMultilevel"/>
    <w:lvl w:ilvl="0">
      <w:lvlJc w:val="left"/>
      <w:lvlText w:val="(%1)"/>
      <w:numFmt w:val="lowerLetter"/>
      <w:start w:val="28"/>
    </w:lvl>
  </w:abstractNum>
  <w:abstractNum w:abstractNumId="10">
    <w:nsid w:val="2463B9EA"/>
    <w:multiLevelType w:val="hybridMultilevel"/>
    <w:lvl w:ilvl="0">
      <w:lvlJc w:val="left"/>
      <w:lvlText w:val="(%1)"/>
      <w:numFmt w:val="lowerLetter"/>
      <w:start w:val="32"/>
    </w:lvl>
  </w:abstractNum>
  <w:abstractNum w:abstractNumId="11">
    <w:nsid w:val="5E884ADC"/>
    <w:multiLevelType w:val="hybridMultilevel"/>
    <w:lvl w:ilvl="0">
      <w:lvlJc w:val="left"/>
      <w:lvlText w:val="(%1)"/>
      <w:numFmt w:val="lowerLetter"/>
      <w:start w:val="39"/>
    </w:lvl>
  </w:abstractNum>
  <w:abstractNum w:abstractNumId="12">
    <w:nsid w:val="51EAD36B"/>
    <w:multiLevelType w:val="hybridMultilevel"/>
    <w:lvl w:ilvl="0">
      <w:lvlJc w:val="left"/>
      <w:lvlText w:val="(%1)"/>
      <w:numFmt w:val="lowerLetter"/>
      <w:start w:val="42"/>
    </w:lvl>
  </w:abstractNum>
  <w:abstractNum w:abstractNumId="13">
    <w:nsid w:val="2D517796"/>
    <w:multiLevelType w:val="hybridMultilevel"/>
    <w:lvl w:ilvl="0">
      <w:lvlJc w:val="left"/>
      <w:lvlText w:val="(%1)"/>
      <w:numFmt w:val="lowerLetter"/>
      <w:start w:val="51"/>
    </w:lvl>
  </w:abstractNum>
  <w:abstractNum w:abstractNumId="14">
    <w:nsid w:val="580BD78F"/>
    <w:multiLevelType w:val="hybridMultilevel"/>
    <w:lvl w:ilvl="0">
      <w:lvlJc w:val="left"/>
      <w:lvlText w:val="%1"/>
      <w:numFmt w:val="lowerLetter"/>
      <w:start w:val="1"/>
    </w:lvl>
    <w:lvl w:ilvl="1">
      <w:lvlJc w:val="left"/>
      <w:lvlText w:val="(%2)"/>
      <w:numFmt w:val="lowerLetter"/>
      <w:start w:val="53"/>
    </w:lvl>
  </w:abstractNum>
  <w:abstractNum w:abstractNumId="15">
    <w:nsid w:val="153EA438"/>
    <w:multiLevelType w:val="hybridMultilevel"/>
    <w:lvl w:ilvl="0">
      <w:lvlJc w:val="left"/>
      <w:lvlText w:val="(%1)"/>
      <w:numFmt w:val="lowerLetter"/>
      <w:start w:val="1"/>
    </w:lvl>
    <w:lvl w:ilvl="1">
      <w:lvlJc w:val="left"/>
      <w:lvlText w:val="(%2)"/>
      <w:numFmt w:val="lowerLetter"/>
      <w:start w:val="54"/>
    </w:lvl>
  </w:abstractNum>
  <w:abstractNum w:abstractNumId="16">
    <w:nsid w:val="3855585C"/>
    <w:multiLevelType w:val="hybridMultilevel"/>
    <w:lvl w:ilvl="0">
      <w:lvlJc w:val="left"/>
      <w:lvlText w:val="%1"/>
      <w:numFmt w:val="lowerLetter"/>
      <w:start w:val="1"/>
    </w:lvl>
    <w:lvl w:ilvl="1">
      <w:lvlJc w:val="left"/>
      <w:lvlText w:val="(%2)"/>
      <w:numFmt w:val="lowerLetter"/>
      <w:start w:val="59"/>
    </w:lvl>
  </w:abstractNum>
  <w:abstractNum w:abstractNumId="17">
    <w:nsid w:val="70A64E2A"/>
    <w:multiLevelType w:val="hybridMultilevel"/>
    <w:lvl w:ilvl="0">
      <w:lvlJc w:val="left"/>
      <w:lvlText w:val="(%1)"/>
      <w:numFmt w:val="lowerLetter"/>
      <w:start w:val="61"/>
    </w:lvl>
    <w:lvl w:ilvl="1">
      <w:lvlJc w:val="left"/>
      <w:lvlText w:val="(%2)"/>
      <w:numFmt w:val="lowerLetter"/>
      <w:start w:val="60"/>
    </w:lvl>
  </w:abstractNum>
  <w:abstractNum w:abstractNumId="18">
    <w:nsid w:val="6A2342EC"/>
    <w:multiLevelType w:val="hybridMultilevel"/>
    <w:lvl w:ilvl="0">
      <w:lvlJc w:val="left"/>
      <w:lvlText w:val="(%1)"/>
      <w:numFmt w:val="lowerLetter"/>
      <w:start w:val="62"/>
    </w:lvl>
  </w:abstractNum>
  <w:abstractNum w:abstractNumId="19">
    <w:nsid w:val="2A487CB0"/>
    <w:multiLevelType w:val="hybridMultilevel"/>
    <w:lvl w:ilvl="0">
      <w:lvlJc w:val="left"/>
      <w:lvlText w:val="%1."/>
      <w:numFmt w:val="decimal"/>
      <w:start w:val="2"/>
    </w:lvl>
  </w:abstractNum>
  <w:abstractNum w:abstractNumId="20">
    <w:nsid w:val="1D4ED43B"/>
    <w:multiLevelType w:val="hybridMultilevel"/>
    <w:lvl w:ilvl="0">
      <w:lvlJc w:val="left"/>
      <w:lvlText w:val="%1."/>
      <w:numFmt w:val="decimal"/>
      <w:start w:val="3"/>
    </w:lvl>
  </w:abstractNum>
  <w:abstractNum w:abstractNumId="21">
    <w:nsid w:val="725A06FB"/>
    <w:multiLevelType w:val="hybridMultilevel"/>
    <w:lvl w:ilvl="0">
      <w:lvlJc w:val="left"/>
      <w:lvlText w:val="(%1)"/>
      <w:numFmt w:val="lowerLetter"/>
      <w:start w:val="2"/>
    </w:lvl>
  </w:abstractNum>
  <w:abstractNum w:abstractNumId="22">
    <w:nsid w:val="2CD89A32"/>
    <w:multiLevelType w:val="hybridMultilevel"/>
    <w:lvl w:ilvl="0">
      <w:lvlJc w:val="left"/>
      <w:lvlText w:val="(%1)"/>
      <w:numFmt w:val="lowerLetter"/>
      <w:start w:val="1"/>
    </w:lvl>
  </w:abstractNum>
  <w:abstractNum w:abstractNumId="23">
    <w:nsid w:val="57E4CCAF"/>
    <w:multiLevelType w:val="hybridMultilevel"/>
    <w:lvl w:ilvl="0">
      <w:lvlJc w:val="left"/>
      <w:lvlText w:val="(%1)"/>
      <w:numFmt w:val="lowerLetter"/>
      <w:start w:val="2"/>
    </w:lvl>
  </w:abstractNum>
  <w:abstractNum w:abstractNumId="24">
    <w:nsid w:val="7A6D8D3C"/>
    <w:multiLevelType w:val="hybridMultilevel"/>
    <w:lvl w:ilvl="0">
      <w:lvlJc w:val="left"/>
      <w:lvlText w:val="(%1)"/>
      <w:numFmt w:val="lowerLetter"/>
      <w:start w:val="4"/>
    </w:lvl>
  </w:abstractNum>
  <w:abstractNum w:abstractNumId="25">
    <w:nsid w:val="4B588F54"/>
    <w:multiLevelType w:val="hybridMultilevel"/>
    <w:lvl w:ilvl="0">
      <w:lvlJc w:val="left"/>
      <w:lvlText w:val="(%1)"/>
      <w:numFmt w:val="lowerLetter"/>
      <w:start w:val="6"/>
    </w:lvl>
  </w:abstractNum>
  <w:abstractNum w:abstractNumId="26">
    <w:nsid w:val="542289EC"/>
    <w:multiLevelType w:val="hybridMultilevel"/>
    <w:lvl w:ilvl="0">
      <w:lvlJc w:val="left"/>
      <w:lvlText w:val="(%1)"/>
      <w:numFmt w:val="lowerLetter"/>
      <w:start w:val="9"/>
    </w:lvl>
  </w:abstractNum>
  <w:abstractNum w:abstractNumId="27">
    <w:nsid w:val="6DE91B18"/>
    <w:multiLevelType w:val="hybridMultilevel"/>
    <w:lvl w:ilvl="0">
      <w:lvlJc w:val="left"/>
      <w:lvlText w:val="%1."/>
      <w:numFmt w:val="decimal"/>
      <w:start w:val="6"/>
    </w:lvl>
  </w:abstractNum>
  <w:abstractNum w:abstractNumId="28">
    <w:nsid w:val="38437FDB"/>
    <w:multiLevelType w:val="hybridMultilevel"/>
    <w:lvl w:ilvl="0">
      <w:lvlJc w:val="left"/>
      <w:lvlText w:val="(%1)"/>
      <w:numFmt w:val="lowerLetter"/>
      <w:start w:val="2"/>
    </w:lvl>
  </w:abstractNum>
  <w:abstractNum w:abstractNumId="29">
    <w:nsid w:val="7644A45C"/>
    <w:multiLevelType w:val="hybridMultilevel"/>
    <w:lvl w:ilvl="0">
      <w:lvlJc w:val="left"/>
      <w:lvlText w:val="%1"/>
      <w:numFmt w:val="lowerRoman"/>
      <w:start w:val="1"/>
    </w:lvl>
    <w:lvl w:ilvl="1">
      <w:lvlJc w:val="left"/>
      <w:lvlText w:val="%2."/>
      <w:numFmt w:val="decimal"/>
      <w:start w:val="7"/>
    </w:lvl>
  </w:abstractNum>
  <w:abstractNum w:abstractNumId="30">
    <w:nsid w:val="32FFF902"/>
    <w:multiLevelType w:val="hybridMultilevel"/>
    <w:lvl w:ilvl="0">
      <w:lvlJc w:val="left"/>
      <w:lvlText w:val="(%1)"/>
      <w:numFmt w:val="lowerRoman"/>
      <w:start w:val="3"/>
    </w:lvl>
    <w:lvl w:ilvl="1">
      <w:lvlJc w:val="left"/>
      <w:lvlText w:val="%2"/>
      <w:numFmt w:val="decimal"/>
      <w:start w:val="1"/>
    </w:lvl>
  </w:abstractNum>
  <w:abstractNum w:abstractNumId="31">
    <w:nsid w:val="684A481A"/>
    <w:multiLevelType w:val="hybridMultilevel"/>
    <w:lvl w:ilvl="0">
      <w:lvlJc w:val="left"/>
      <w:lvlText w:val="%1."/>
      <w:numFmt w:val="decimal"/>
      <w:start w:val="8"/>
    </w:lvl>
  </w:abstractNum>
  <w:abstractNum w:abstractNumId="32">
    <w:nsid w:val="579478FE"/>
    <w:multiLevelType w:val="hybridMultilevel"/>
    <w:lvl w:ilvl="0">
      <w:lvlJc w:val="left"/>
      <w:lvlText w:val="(%1)"/>
      <w:numFmt w:val="lowerLetter"/>
      <w:start w:val="1"/>
    </w:lvl>
  </w:abstractNum>
  <w:abstractNum w:abstractNumId="33">
    <w:nsid w:val="749ABB43"/>
    <w:multiLevelType w:val="hybridMultilevel"/>
    <w:lvl w:ilvl="0">
      <w:lvlJc w:val="left"/>
      <w:lvlText w:val="(%1)"/>
      <w:numFmt w:val="lowerLetter"/>
      <w:start w:val="2"/>
    </w:lvl>
  </w:abstractNum>
  <w:abstractNum w:abstractNumId="34">
    <w:nsid w:val="3DC240FB"/>
    <w:multiLevelType w:val="hybridMultilevel"/>
    <w:lvl w:ilvl="0">
      <w:lvlJc w:val="left"/>
      <w:lvlText w:val="(%1)"/>
      <w:numFmt w:val="lowerLetter"/>
      <w:start w:val="6"/>
    </w:lvl>
  </w:abstractNum>
  <w:abstractNum w:abstractNumId="35">
    <w:nsid w:val="1BA026FA"/>
    <w:multiLevelType w:val="hybridMultilevel"/>
    <w:lvl w:ilvl="0">
      <w:lvlJc w:val="left"/>
      <w:lvlText w:val="(%1)"/>
      <w:numFmt w:val="lowerLetter"/>
      <w:start w:val="11"/>
    </w:lvl>
  </w:abstractNum>
  <w:abstractNum w:abstractNumId="36">
    <w:nsid w:val="79A1DEAA"/>
    <w:multiLevelType w:val="hybridMultilevel"/>
    <w:lvl w:ilvl="0">
      <w:lvlJc w:val="left"/>
      <w:lvlText w:val="%1."/>
      <w:numFmt w:val="decimal"/>
      <w:start w:val="9"/>
    </w:lvl>
  </w:abstractNum>
  <w:abstractNum w:abstractNumId="37">
    <w:nsid w:val="75C6C33A"/>
    <w:multiLevelType w:val="hybridMultilevel"/>
    <w:lvl w:ilvl="0">
      <w:lvlJc w:val="left"/>
      <w:lvlText w:val="(%1)"/>
      <w:numFmt w:val="lowerLetter"/>
      <w:start w:val="2"/>
    </w:lvl>
  </w:abstractNum>
  <w:abstractNum w:abstractNumId="38">
    <w:nsid w:val="12E685FB"/>
    <w:multiLevelType w:val="hybridMultilevel"/>
    <w:lvl w:ilvl="0">
      <w:lvlJc w:val="left"/>
      <w:lvlText w:val="%1"/>
      <w:numFmt w:val="lowerLetter"/>
      <w:start w:val="1"/>
    </w:lvl>
    <w:lvl w:ilvl="1">
      <w:lvlJc w:val="left"/>
      <w:lvlText w:val="(%2)"/>
      <w:numFmt w:val="lowerLetter"/>
      <w:start w:val="3"/>
    </w:lvl>
  </w:abstractNum>
  <w:abstractNum w:abstractNumId="39">
    <w:nsid w:val="70C6A529"/>
    <w:multiLevelType w:val="hybridMultilevel"/>
    <w:lvl w:ilvl="0">
      <w:lvlJc w:val="left"/>
      <w:lvlText w:val="(%1)"/>
      <w:numFmt w:val="lowerLetter"/>
      <w:start w:val="2"/>
    </w:lvl>
    <w:lvl w:ilvl="1">
      <w:lvlJc w:val="left"/>
      <w:lvlText w:val="%2"/>
      <w:numFmt w:val="lowerLetter"/>
      <w:start w:val="1"/>
    </w:lvl>
  </w:abstractNum>
  <w:abstractNum w:abstractNumId="40">
    <w:nsid w:val="520EEDD1"/>
    <w:multiLevelType w:val="hybridMultilevel"/>
    <w:lvl w:ilvl="0">
      <w:lvlJc w:val="left"/>
      <w:lvlText w:val="(%1)"/>
      <w:numFmt w:val="lowerLetter"/>
      <w:start w:val="5"/>
    </w:lvl>
  </w:abstractNum>
  <w:abstractNum w:abstractNumId="41">
    <w:nsid w:val="374A3FE6"/>
    <w:multiLevelType w:val="hybridMultilevel"/>
    <w:lvl w:ilvl="0">
      <w:lvlJc w:val="left"/>
      <w:lvlText w:val="%1."/>
      <w:numFmt w:val="decimal"/>
      <w:start w:val="10"/>
    </w:lvl>
  </w:abstractNum>
  <w:abstractNum w:abstractNumId="42">
    <w:nsid w:val="4F4EF005"/>
    <w:multiLevelType w:val="hybridMultilevel"/>
    <w:lvl w:ilvl="0">
      <w:lvlJc w:val="left"/>
      <w:lvlText w:val="%1."/>
      <w:numFmt w:val="decimal"/>
      <w:start w:val="12"/>
    </w:lvl>
  </w:abstractNum>
  <w:abstractNum w:abstractNumId="43">
    <w:nsid w:val="23F9C13C"/>
    <w:multiLevelType w:val="hybridMultilevel"/>
    <w:lvl w:ilvl="0">
      <w:lvlJc w:val="left"/>
      <w:lvlText w:val="%1."/>
      <w:numFmt w:val="decimal"/>
      <w:start w:val="15"/>
    </w:lvl>
  </w:abstractNum>
  <w:abstractNum w:abstractNumId="44">
    <w:nsid w:val="649BB77C"/>
    <w:multiLevelType w:val="hybridMultilevel"/>
    <w:lvl w:ilvl="0">
      <w:lvlJc w:val="left"/>
      <w:lvlText w:val="%1."/>
      <w:numFmt w:val="decimal"/>
      <w:start w:val="16"/>
    </w:lvl>
  </w:abstractNum>
  <w:abstractNum w:abstractNumId="45">
    <w:nsid w:val="275AC794"/>
    <w:multiLevelType w:val="hybridMultilevel"/>
    <w:lvl w:ilvl="0">
      <w:lvlJc w:val="left"/>
      <w:lvlText w:val="%1."/>
      <w:numFmt w:val="decimal"/>
      <w:start w:val="2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5"/>
    </w:lvl>
  </w:abstractNum>
  <w:abstractNum w:abstractNumId="50">
    <w:nsid w:val="47398C89"/>
    <w:multiLevelType w:val="hybridMultilevel"/>
    <w:lvl w:ilvl="0">
      <w:lvlJc w:val="left"/>
      <w:lvlText w:val="(%1)"/>
      <w:numFmt w:val="decimal"/>
      <w:start w:val="7"/>
    </w:lvl>
  </w:abstractNum>
  <w:abstractNum w:abstractNumId="51">
    <w:nsid w:val="354FE9F9"/>
    <w:multiLevelType w:val="hybridMultilevel"/>
    <w:lvl w:ilvl="0">
      <w:lvlJc w:val="left"/>
      <w:lvlText w:val="(%1)"/>
      <w:numFmt w:val="decimal"/>
      <w:start w:val="14"/>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3"/>
    </w:lvl>
  </w:abstractNum>
  <w:abstractNum w:abstractNumId="54">
    <w:nsid w:val="D34B6A8"/>
    <w:multiLevelType w:val="hybridMultilevel"/>
    <w:lvl w:ilvl="0">
      <w:lvlJc w:val="left"/>
      <w:lvlText w:val="%1."/>
      <w:numFmt w:val="decimal"/>
      <w:start w:val="9"/>
    </w:lvl>
  </w:abstractNum>
  <w:abstractNum w:abstractNumId="55">
    <w:nsid w:val="10233C99"/>
    <w:multiLevelType w:val="hybridMultilevel"/>
    <w:lvl w:ilvl="0">
      <w:lvlJc w:val="left"/>
      <w:lvlText w:val="%1."/>
      <w:numFmt w:val="decimal"/>
      <w:start w:val="14"/>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decimal"/>
      <w:start w:val="7"/>
    </w:lvl>
  </w:abstractNum>
  <w:abstractNum w:abstractNumId="58">
    <w:nsid w:val="7E0C57B1"/>
    <w:multiLevelType w:val="hybridMultilevel"/>
    <w:lvl w:ilvl="0">
      <w:lvlJc w:val="left"/>
      <w:lvlText w:val="(%1)"/>
      <w:numFmt w:val="decimal"/>
      <w:start w:val="13"/>
    </w:lvl>
  </w:abstractNum>
  <w:abstractNum w:abstractNumId="59">
    <w:nsid w:val="77AE35EB"/>
    <w:multiLevelType w:val="hybridMultilevel"/>
    <w:lvl w:ilvl="0">
      <w:lvlJc w:val="left"/>
      <w:lvlText w:val="(%1)"/>
      <w:numFmt w:val="decimal"/>
      <w:start w:val="19"/>
    </w:lvl>
    <w:lvl w:ilvl="1">
      <w:lvlJc w:val="left"/>
      <w:lvlText w:val="(%2)"/>
      <w:numFmt w:val="lowerLetter"/>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7"/>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Roman"/>
      <w:start w:val="1"/>
    </w:lvl>
  </w:abstractNum>
  <w:abstractNum w:abstractNumId="64">
    <w:nsid w:val="25A70BF7"/>
    <w:multiLevelType w:val="hybridMultilevel"/>
    <w:lvl w:ilvl="0">
      <w:lvlJc w:val="left"/>
      <w:lvlText w:val="(%1)"/>
      <w:numFmt w:val="lowerRoman"/>
      <w:start w:val="1"/>
    </w:lvl>
  </w:abstractNum>
  <w:abstractNum w:abstractNumId="65">
    <w:nsid w:val="1DBABF0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2019-12-08T10:50:37Z</dcterms:created>
  <dcterms:modified xsi:type="dcterms:W3CDTF">2019-12-08T10:50:37Z</dcterms:modified>
</cp:coreProperties>
</file>