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ind w:left="1000" w:right="460"/>
        <w:spacing w:after="0" w:line="266"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80" w:type="dxa"/>
            <w:vAlign w:val="bottom"/>
          </w:tcPr>
          <w:p>
            <w:pPr>
              <w:spacing w:after="0"/>
              <w:rPr>
                <w:sz w:val="20"/>
                <w:szCs w:val="20"/>
                <w:color w:val="auto"/>
              </w:rPr>
            </w:pPr>
            <w:r>
              <w:rPr>
                <w:rFonts w:ascii="Arial" w:cs="Arial" w:eastAsia="Arial" w:hAnsi="Arial"/>
                <w:sz w:val="18"/>
                <w:szCs w:val="18"/>
                <w:color w:val="auto"/>
              </w:rPr>
              <w:t>For the month of July 2021</w:t>
            </w:r>
          </w:p>
        </w:tc>
        <w:tc>
          <w:tcPr>
            <w:tcW w:w="640" w:type="dxa"/>
            <w:vAlign w:val="bottom"/>
          </w:tcPr>
          <w:p>
            <w:pPr>
              <w:spacing w:after="0"/>
              <w:rPr>
                <w:sz w:val="20"/>
                <w:szCs w:val="20"/>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640" w:type="dxa"/>
            <w:vAlign w:val="bottom"/>
          </w:tcPr>
          <w:p>
            <w:pPr>
              <w:spacing w:after="0"/>
              <w:rPr>
                <w:sz w:val="24"/>
                <w:szCs w:val="24"/>
                <w:color w:val="auto"/>
              </w:rPr>
            </w:pPr>
          </w:p>
        </w:tc>
      </w:tr>
      <w:tr>
        <w:trPr>
          <w:trHeight w:val="377"/>
        </w:trPr>
        <w:tc>
          <w:tcPr>
            <w:tcW w:w="9280" w:type="dxa"/>
            <w:vAlign w:val="bottom"/>
          </w:tcPr>
          <w:p>
            <w:pPr>
              <w:jc w:val="center"/>
              <w:ind w:left="550"/>
              <w:spacing w:after="0"/>
              <w:rPr>
                <w:sz w:val="20"/>
                <w:szCs w:val="20"/>
                <w:color w:val="auto"/>
              </w:rPr>
            </w:pPr>
            <w:r>
              <w:rPr>
                <w:rFonts w:ascii="Arial" w:cs="Arial" w:eastAsia="Arial" w:hAnsi="Arial"/>
                <w:sz w:val="18"/>
                <w:szCs w:val="18"/>
                <w:b w:val="1"/>
                <w:bCs w:val="1"/>
                <w:color w:val="auto"/>
                <w:w w:val="92"/>
              </w:rPr>
              <w:t>GasLog Partners LP</w:t>
            </w:r>
          </w:p>
        </w:tc>
        <w:tc>
          <w:tcPr>
            <w:tcW w:w="640" w:type="dxa"/>
            <w:vAlign w:val="bottom"/>
          </w:tcPr>
          <w:p>
            <w:pPr>
              <w:spacing w:after="0"/>
              <w:rPr>
                <w:sz w:val="24"/>
                <w:szCs w:val="24"/>
                <w:color w:val="auto"/>
              </w:rPr>
            </w:pPr>
          </w:p>
        </w:tc>
      </w:tr>
      <w:tr>
        <w:trPr>
          <w:trHeight w:val="230"/>
        </w:trPr>
        <w:tc>
          <w:tcPr>
            <w:tcW w:w="9280" w:type="dxa"/>
            <w:vAlign w:val="bottom"/>
          </w:tcPr>
          <w:p>
            <w:pPr>
              <w:jc w:val="center"/>
              <w:ind w:left="550"/>
              <w:spacing w:after="0"/>
              <w:rPr>
                <w:sz w:val="20"/>
                <w:szCs w:val="20"/>
                <w:color w:val="auto"/>
              </w:rPr>
            </w:pPr>
            <w:r>
              <w:rPr>
                <w:rFonts w:ascii="Arial" w:cs="Arial" w:eastAsia="Arial" w:hAnsi="Arial"/>
                <w:sz w:val="18"/>
                <w:szCs w:val="18"/>
                <w:color w:val="auto"/>
                <w:w w:val="91"/>
              </w:rPr>
              <w:t>(Translation of registrant’s name into English)</w:t>
            </w:r>
          </w:p>
        </w:tc>
        <w:tc>
          <w:tcPr>
            <w:tcW w:w="640" w:type="dxa"/>
            <w:vAlign w:val="bottom"/>
          </w:tcPr>
          <w:p>
            <w:pPr>
              <w:spacing w:after="0"/>
              <w:rPr>
                <w:sz w:val="20"/>
                <w:szCs w:val="20"/>
                <w:color w:val="auto"/>
              </w:rPr>
            </w:pPr>
          </w:p>
        </w:tc>
      </w:tr>
      <w:tr>
        <w:trPr>
          <w:trHeight w:val="377"/>
        </w:trPr>
        <w:tc>
          <w:tcPr>
            <w:tcW w:w="9280" w:type="dxa"/>
            <w:vAlign w:val="bottom"/>
          </w:tcPr>
          <w:p>
            <w:pPr>
              <w:jc w:val="center"/>
              <w:ind w:left="550"/>
              <w:spacing w:after="0"/>
              <w:rPr>
                <w:sz w:val="20"/>
                <w:szCs w:val="20"/>
                <w:color w:val="auto"/>
              </w:rPr>
            </w:pPr>
            <w:r>
              <w:rPr>
                <w:rFonts w:ascii="Arial" w:cs="Arial" w:eastAsia="Arial" w:hAnsi="Arial"/>
                <w:sz w:val="18"/>
                <w:szCs w:val="18"/>
                <w:color w:val="auto"/>
                <w:w w:val="92"/>
              </w:rPr>
              <w:t>c/o GasLog LNG Services Ltd.</w:t>
            </w:r>
          </w:p>
        </w:tc>
        <w:tc>
          <w:tcPr>
            <w:tcW w:w="640" w:type="dxa"/>
            <w:vAlign w:val="bottom"/>
          </w:tcPr>
          <w:p>
            <w:pPr>
              <w:spacing w:after="0"/>
              <w:rPr>
                <w:sz w:val="24"/>
                <w:szCs w:val="24"/>
                <w:color w:val="auto"/>
              </w:rPr>
            </w:pPr>
          </w:p>
        </w:tc>
      </w:tr>
      <w:tr>
        <w:trPr>
          <w:trHeight w:val="203"/>
        </w:trPr>
        <w:tc>
          <w:tcPr>
            <w:tcW w:w="928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95"/>
              </w:rPr>
              <w:t>69 Akti Miaouli, 18537</w:t>
            </w:r>
          </w:p>
        </w:tc>
        <w:tc>
          <w:tcPr>
            <w:tcW w:w="640" w:type="dxa"/>
            <w:vAlign w:val="bottom"/>
          </w:tcPr>
          <w:p>
            <w:pPr>
              <w:spacing w:after="0"/>
              <w:rPr>
                <w:sz w:val="17"/>
                <w:szCs w:val="17"/>
                <w:color w:val="auto"/>
              </w:rPr>
            </w:pPr>
          </w:p>
        </w:tc>
      </w:tr>
      <w:tr>
        <w:trPr>
          <w:trHeight w:val="203"/>
        </w:trPr>
        <w:tc>
          <w:tcPr>
            <w:tcW w:w="928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86"/>
              </w:rPr>
              <w:t>Piraeus, Greece</w:t>
            </w:r>
          </w:p>
        </w:tc>
        <w:tc>
          <w:tcPr>
            <w:tcW w:w="640" w:type="dxa"/>
            <w:vAlign w:val="bottom"/>
          </w:tcPr>
          <w:p>
            <w:pPr>
              <w:spacing w:after="0"/>
              <w:rPr>
                <w:sz w:val="17"/>
                <w:szCs w:val="17"/>
                <w:color w:val="auto"/>
              </w:rPr>
            </w:pPr>
          </w:p>
        </w:tc>
      </w:tr>
      <w:tr>
        <w:trPr>
          <w:trHeight w:val="230"/>
        </w:trPr>
        <w:tc>
          <w:tcPr>
            <w:tcW w:w="9280" w:type="dxa"/>
            <w:vAlign w:val="bottom"/>
          </w:tcPr>
          <w:p>
            <w:pPr>
              <w:jc w:val="center"/>
              <w:ind w:left="610"/>
              <w:spacing w:after="0"/>
              <w:rPr>
                <w:sz w:val="20"/>
                <w:szCs w:val="20"/>
                <w:color w:val="auto"/>
              </w:rPr>
            </w:pPr>
            <w:r>
              <w:rPr>
                <w:rFonts w:ascii="Arial" w:cs="Arial" w:eastAsia="Arial" w:hAnsi="Arial"/>
                <w:sz w:val="18"/>
                <w:szCs w:val="18"/>
                <w:color w:val="auto"/>
                <w:w w:val="92"/>
              </w:rPr>
              <w:t>(Address of principal executive office)</w:t>
            </w:r>
          </w:p>
        </w:tc>
        <w:tc>
          <w:tcPr>
            <w:tcW w:w="640" w:type="dxa"/>
            <w:vAlign w:val="bottom"/>
          </w:tcPr>
          <w:p>
            <w:pPr>
              <w:spacing w:after="0"/>
              <w:rPr>
                <w:sz w:val="20"/>
                <w:szCs w:val="20"/>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640" w:type="dxa"/>
            <w:vAlign w:val="bottom"/>
          </w:tcPr>
          <w:p>
            <w:pPr>
              <w:spacing w:after="0"/>
              <w:rPr>
                <w:sz w:val="24"/>
                <w:szCs w:val="24"/>
                <w:color w:val="auto"/>
              </w:rPr>
            </w:pPr>
          </w:p>
        </w:tc>
      </w:tr>
      <w:tr>
        <w:trPr>
          <w:trHeight w:val="425"/>
        </w:trPr>
        <w:tc>
          <w:tcPr>
            <w:tcW w:w="92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r>
      <w:tr>
        <w:trPr>
          <w:trHeight w:val="418"/>
        </w:trPr>
        <w:tc>
          <w:tcPr>
            <w:tcW w:w="928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101(b)(1):</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928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101(b)(7):</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82"/>
        </w:trPr>
        <w:tc>
          <w:tcPr>
            <w:tcW w:w="9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r>
      <w:tr>
        <w:trPr>
          <w:trHeight w:val="817"/>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85" w:right="999" w:bottom="1440" w:gutter="0" w:footer="0" w:header="0"/>
        </w:sectPr>
      </w:pPr>
    </w:p>
    <w:bookmarkStart w:id="1" w:name="page2"/>
    <w:bookmarkEnd w:id="1"/>
    <w:p>
      <w:pPr>
        <w:ind w:right="260" w:firstLine="376"/>
        <w:spacing w:after="0" w:line="275" w:lineRule="auto"/>
        <w:rPr>
          <w:sz w:val="20"/>
          <w:szCs w:val="20"/>
          <w:color w:val="auto"/>
        </w:rPr>
      </w:pPr>
      <w:r>
        <w:rPr>
          <w:rFonts w:ascii="Arial" w:cs="Arial" w:eastAsia="Arial" w:hAnsi="Arial"/>
          <w:sz w:val="16"/>
          <w:szCs w:val="16"/>
          <w:color w:val="auto"/>
        </w:rPr>
        <w:t>The press release issued by GasLog Partners LP on July 27, 2021 relating to its results for the three-month period ended June 30, 2021 and the related financial report are attached hereto as Exhibits 99.1 and 99.2 – 99.3, respectively.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INCORPORATION BY REFERENCE</w:t>
      </w:r>
    </w:p>
    <w:p>
      <w:pPr>
        <w:spacing w:after="0" w:line="194" w:lineRule="exact"/>
        <w:rPr>
          <w:sz w:val="20"/>
          <w:szCs w:val="20"/>
          <w:color w:val="auto"/>
        </w:rPr>
      </w:pPr>
    </w:p>
    <w:p>
      <w:pPr>
        <w:ind w:firstLine="376"/>
        <w:spacing w:after="0" w:line="292" w:lineRule="auto"/>
        <w:rPr>
          <w:rFonts w:ascii="Arial" w:cs="Arial" w:eastAsia="Arial" w:hAnsi="Arial"/>
          <w:sz w:val="14"/>
          <w:szCs w:val="14"/>
          <w:color w:val="0000EE"/>
        </w:rPr>
      </w:pPr>
      <w:hyperlink r:id="rId10">
        <w:r>
          <w:rPr>
            <w:rFonts w:ascii="Arial" w:cs="Arial" w:eastAsia="Arial" w:hAnsi="Arial"/>
            <w:sz w:val="14"/>
            <w:szCs w:val="14"/>
            <w:color w:val="auto"/>
          </w:rPr>
          <w:t xml:space="preserve">Exhibits 99.2 and 99.3 to this Report on Form 6-K shall be incorporated by reference into our registration statement on Form </w:t>
        </w:r>
        <w:r>
          <w:rPr>
            <w:rFonts w:ascii="Arial" w:cs="Arial" w:eastAsia="Arial" w:hAnsi="Arial"/>
            <w:sz w:val="14"/>
            <w:szCs w:val="14"/>
            <w:u w:val="single" w:color="auto"/>
            <w:color w:val="0000EE"/>
          </w:rPr>
          <w:t>F-3 (File No. 333-</w:t>
        </w:r>
      </w:hyperlink>
      <w:hyperlink r:id="rId11">
        <w:r>
          <w:rPr>
            <w:rFonts w:ascii="Arial" w:cs="Arial" w:eastAsia="Arial" w:hAnsi="Arial"/>
            <w:sz w:val="14"/>
            <w:szCs w:val="14"/>
            <w:u w:val="single" w:color="auto"/>
            <w:color w:val="0000EE"/>
          </w:rPr>
          <w:t>249399),</w:t>
        </w:r>
        <w:r>
          <w:rPr>
            <w:rFonts w:ascii="Arial" w:cs="Arial" w:eastAsia="Arial" w:hAnsi="Arial"/>
            <w:sz w:val="14"/>
            <w:szCs w:val="14"/>
            <w:color w:val="0000EE"/>
          </w:rPr>
          <w:t xml:space="preserve"> </w:t>
        </w:r>
        <w:r>
          <w:rPr>
            <w:rFonts w:ascii="Arial" w:cs="Arial" w:eastAsia="Arial" w:hAnsi="Arial"/>
            <w:sz w:val="14"/>
            <w:szCs w:val="14"/>
            <w:color w:val="000000"/>
          </w:rPr>
          <w:t>filed with the Securities and Exchange Commission (the “SEC”) on October 9, 2020 and the registration statement on</w:t>
        </w:r>
        <w:r>
          <w:rPr>
            <w:rFonts w:ascii="Arial" w:cs="Arial" w:eastAsia="Arial" w:hAnsi="Arial"/>
            <w:sz w:val="14"/>
            <w:szCs w:val="14"/>
            <w:color w:val="0000EE"/>
          </w:rPr>
          <w:t xml:space="preserve"> </w:t>
        </w:r>
        <w:r>
          <w:rPr>
            <w:rFonts w:ascii="Arial" w:cs="Arial" w:eastAsia="Arial" w:hAnsi="Arial"/>
            <w:sz w:val="14"/>
            <w:szCs w:val="14"/>
            <w:u w:val="single" w:color="auto"/>
            <w:color w:val="0000EE"/>
          </w:rPr>
          <w:t>Form S-8 (File No. 333-</w:t>
        </w:r>
      </w:hyperlink>
    </w:p>
    <w:p>
      <w:pPr>
        <w:jc w:val="both"/>
        <w:ind w:right="100"/>
        <w:spacing w:after="0" w:line="251" w:lineRule="auto"/>
        <w:rPr>
          <w:rFonts w:ascii="Arial" w:cs="Arial" w:eastAsia="Arial" w:hAnsi="Arial"/>
          <w:sz w:val="16"/>
          <w:szCs w:val="16"/>
          <w:color w:val="0000EE"/>
        </w:rPr>
      </w:pPr>
      <w:hyperlink r:id="rId11">
        <w:r>
          <w:rPr>
            <w:rFonts w:ascii="Arial" w:cs="Arial" w:eastAsia="Arial" w:hAnsi="Arial"/>
            <w:sz w:val="16"/>
            <w:szCs w:val="16"/>
            <w:u w:val="single" w:color="auto"/>
            <w:color w:val="0000EE"/>
          </w:rPr>
          <w:t>203139),</w:t>
        </w:r>
        <w:r>
          <w:rPr>
            <w:rFonts w:ascii="Arial" w:cs="Arial" w:eastAsia="Arial" w:hAnsi="Arial"/>
            <w:sz w:val="16"/>
            <w:szCs w:val="16"/>
            <w:color w:val="0000EE"/>
          </w:rPr>
          <w:t xml:space="preserve"> </w:t>
        </w:r>
        <w:r>
          <w:rPr>
            <w:rFonts w:ascii="Arial" w:cs="Arial" w:eastAsia="Arial" w:hAnsi="Arial"/>
            <w:sz w:val="16"/>
            <w:szCs w:val="16"/>
            <w:color w:val="000000"/>
          </w:rPr>
          <w:t>filed with the SEC on March 31, 2015, in each case to the extent not superseded by information subsequently filed or furnished (to the extent</w:t>
        </w:r>
      </w:hyperlink>
      <w:r>
        <w:rPr>
          <w:rFonts w:ascii="Arial" w:cs="Arial" w:eastAsia="Arial" w:hAnsi="Arial"/>
          <w:sz w:val="16"/>
          <w:szCs w:val="16"/>
          <w:color w:val="0000EE"/>
        </w:rPr>
        <w:t xml:space="preserve"> </w:t>
      </w:r>
      <w:r>
        <w:rPr>
          <w:rFonts w:ascii="Arial" w:cs="Arial" w:eastAsia="Arial" w:hAnsi="Arial"/>
          <w:sz w:val="16"/>
          <w:szCs w:val="16"/>
          <w:color w:val="000000"/>
        </w:rPr>
        <w:t>we expressly state that we incorporate such furnished information by reference) by us under the Securities Act of 1933 or the Securities Exchange Act of 1934, in each case as amended.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560" w:type="dxa"/>
            <w:vAlign w:val="bottom"/>
            <w:gridSpan w:val="3"/>
          </w:tcPr>
          <w:p>
            <w:pPr>
              <w:ind w:left="1340"/>
              <w:spacing w:after="0"/>
              <w:rPr>
                <w:sz w:val="20"/>
                <w:szCs w:val="20"/>
                <w:color w:val="auto"/>
              </w:rPr>
            </w:pPr>
            <w:r>
              <w:rPr>
                <w:rFonts w:ascii="Arial" w:cs="Arial" w:eastAsia="Arial" w:hAnsi="Arial"/>
                <w:sz w:val="16"/>
                <w:szCs w:val="16"/>
                <w:color w:val="auto"/>
              </w:rPr>
              <w:t>EXHIBIT LIST</w:t>
            </w:r>
          </w:p>
        </w:tc>
      </w:tr>
      <w:tr>
        <w:trPr>
          <w:trHeight w:val="392"/>
        </w:trPr>
        <w:tc>
          <w:tcPr>
            <w:tcW w:w="900" w:type="dxa"/>
            <w:vAlign w:val="bottom"/>
          </w:tcPr>
          <w:p>
            <w:pPr>
              <w:spacing w:after="0"/>
              <w:rPr>
                <w:sz w:val="20"/>
                <w:szCs w:val="20"/>
                <w:color w:val="auto"/>
              </w:rPr>
            </w:pPr>
            <w:r>
              <w:rPr>
                <w:rFonts w:ascii="Arial" w:cs="Arial" w:eastAsia="Arial" w:hAnsi="Arial"/>
                <w:sz w:val="16"/>
                <w:szCs w:val="16"/>
                <w:color w:val="auto"/>
              </w:rPr>
              <w:t>Exhibit</w:t>
            </w:r>
          </w:p>
        </w:tc>
        <w:tc>
          <w:tcPr>
            <w:tcW w:w="5760" w:type="dxa"/>
            <w:vAlign w:val="bottom"/>
            <w:gridSpan w:val="4"/>
          </w:tcPr>
          <w:p>
            <w:pPr>
              <w:spacing w:after="0"/>
              <w:rPr>
                <w:sz w:val="20"/>
                <w:szCs w:val="20"/>
                <w:color w:val="auto"/>
              </w:rPr>
            </w:pPr>
            <w:r>
              <w:rPr>
                <w:rFonts w:ascii="Arial" w:cs="Arial" w:eastAsia="Arial" w:hAnsi="Arial"/>
                <w:sz w:val="16"/>
                <w:szCs w:val="16"/>
                <w:color w:val="auto"/>
              </w:rPr>
              <w:t>Description</w:t>
            </w:r>
          </w:p>
        </w:tc>
      </w:tr>
      <w:tr>
        <w:trPr>
          <w:trHeight w:val="424"/>
        </w:trPr>
        <w:tc>
          <w:tcPr>
            <w:tcW w:w="900" w:type="dxa"/>
            <w:vAlign w:val="bottom"/>
          </w:tcPr>
          <w:p>
            <w:pPr>
              <w:spacing w:after="0"/>
              <w:rPr>
                <w:sz w:val="20"/>
                <w:szCs w:val="20"/>
                <w:color w:val="auto"/>
              </w:rPr>
            </w:pPr>
            <w:r>
              <w:rPr>
                <w:rFonts w:ascii="Arial" w:cs="Arial" w:eastAsia="Arial" w:hAnsi="Arial"/>
                <w:sz w:val="16"/>
                <w:szCs w:val="16"/>
                <w:color w:val="auto"/>
              </w:rPr>
              <w:t>99.1</w:t>
            </w:r>
          </w:p>
        </w:tc>
        <w:tc>
          <w:tcPr>
            <w:tcW w:w="2200" w:type="dxa"/>
            <w:vAlign w:val="bottom"/>
            <w:tcBorders>
              <w:bottom w:val="single" w:sz="8" w:color="0000EE"/>
            </w:tcBorders>
          </w:tcPr>
          <w:p>
            <w:pPr>
              <w:spacing w:after="0"/>
              <w:rPr>
                <w:rFonts w:ascii="Arial" w:cs="Arial" w:eastAsia="Arial" w:hAnsi="Arial"/>
                <w:sz w:val="16"/>
                <w:szCs w:val="16"/>
                <w:color w:val="0000EE"/>
                <w:w w:val="87"/>
              </w:rPr>
            </w:pPr>
            <w:hyperlink w:anchor="page4">
              <w:r>
                <w:rPr>
                  <w:rFonts w:ascii="Arial" w:cs="Arial" w:eastAsia="Arial" w:hAnsi="Arial"/>
                  <w:sz w:val="16"/>
                  <w:szCs w:val="16"/>
                  <w:color w:val="0000EE"/>
                  <w:w w:val="87"/>
                </w:rPr>
                <w:t>Press Release dated July 27, 2021</w:t>
              </w:r>
            </w:hyperlink>
          </w:p>
        </w:tc>
        <w:tc>
          <w:tcPr>
            <w:tcW w:w="3560" w:type="dxa"/>
            <w:vAlign w:val="bottom"/>
            <w:gridSpan w:val="3"/>
          </w:tcPr>
          <w:p>
            <w:pPr>
              <w:spacing w:after="0"/>
              <w:rPr>
                <w:sz w:val="24"/>
                <w:szCs w:val="24"/>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6"/>
                <w:szCs w:val="16"/>
                <w:color w:val="auto"/>
              </w:rPr>
              <w:t>99.2</w:t>
            </w:r>
          </w:p>
        </w:tc>
        <w:tc>
          <w:tcPr>
            <w:tcW w:w="444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14">
              <w:r>
                <w:rPr>
                  <w:rFonts w:ascii="Arial" w:cs="Arial" w:eastAsia="Arial" w:hAnsi="Arial"/>
                  <w:sz w:val="16"/>
                  <w:szCs w:val="16"/>
                  <w:color w:val="0000EE"/>
                  <w:w w:val="91"/>
                </w:rPr>
                <w:t>Financial Report for the Three and Six Months Ended June 30, 2021</w:t>
              </w:r>
            </w:hyperlink>
          </w:p>
        </w:tc>
        <w:tc>
          <w:tcPr>
            <w:tcW w:w="132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576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14">
              <w:r>
                <w:rPr>
                  <w:rFonts w:ascii="Arial" w:cs="Arial" w:eastAsia="Arial" w:hAnsi="Arial"/>
                  <w:sz w:val="16"/>
                  <w:szCs w:val="16"/>
                  <w:color w:val="0000EE"/>
                  <w:w w:val="92"/>
                </w:rPr>
                <w:t>Management’s Discussion and Analysis of Financial Condition and Results of Operation</w:t>
              </w:r>
            </w:hyperlink>
          </w:p>
        </w:tc>
      </w:tr>
      <w:tr>
        <w:trPr>
          <w:trHeight w:val="439"/>
        </w:trPr>
        <w:tc>
          <w:tcPr>
            <w:tcW w:w="900" w:type="dxa"/>
            <w:vAlign w:val="bottom"/>
          </w:tcPr>
          <w:p>
            <w:pPr>
              <w:ind w:left="60"/>
              <w:spacing w:after="0"/>
              <w:rPr>
                <w:sz w:val="20"/>
                <w:szCs w:val="20"/>
                <w:color w:val="auto"/>
              </w:rPr>
            </w:pPr>
            <w:r>
              <w:rPr>
                <w:rFonts w:ascii="Arial" w:cs="Arial" w:eastAsia="Arial" w:hAnsi="Arial"/>
                <w:sz w:val="16"/>
                <w:szCs w:val="16"/>
                <w:color w:val="auto"/>
              </w:rPr>
              <w:t>99.3</w:t>
            </w:r>
          </w:p>
        </w:tc>
        <w:tc>
          <w:tcPr>
            <w:tcW w:w="5760" w:type="dxa"/>
            <w:vAlign w:val="bottom"/>
            <w:gridSpan w:val="4"/>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Unaudited Condensed Consolidated Financial Statements</w:t>
              </w:r>
            </w:hyperlink>
          </w:p>
        </w:tc>
      </w:tr>
      <w:tr>
        <w:trPr>
          <w:trHeight w:val="474"/>
        </w:trPr>
        <w:tc>
          <w:tcPr>
            <w:tcW w:w="900" w:type="dxa"/>
            <w:vAlign w:val="bottom"/>
          </w:tcPr>
          <w:p>
            <w:pPr>
              <w:spacing w:after="0"/>
              <w:rPr>
                <w:sz w:val="20"/>
                <w:szCs w:val="20"/>
                <w:color w:val="auto"/>
              </w:rPr>
            </w:pPr>
            <w:r>
              <w:rPr>
                <w:rFonts w:ascii="Arial" w:cs="Arial" w:eastAsia="Arial" w:hAnsi="Arial"/>
                <w:sz w:val="16"/>
                <w:szCs w:val="16"/>
                <w:color w:val="auto"/>
              </w:rPr>
              <w:t>101.INS</w:t>
            </w:r>
          </w:p>
        </w:tc>
        <w:tc>
          <w:tcPr>
            <w:tcW w:w="372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rPr>
              <w:t>XBRL Instance Document</w:t>
            </w:r>
          </w:p>
        </w:tc>
        <w:tc>
          <w:tcPr>
            <w:tcW w:w="2040" w:type="dxa"/>
            <w:vAlign w:val="bottom"/>
            <w:gridSpan w:val="2"/>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6"/>
                <w:szCs w:val="16"/>
                <w:color w:val="auto"/>
              </w:rPr>
              <w:t>101.SCH</w:t>
            </w:r>
          </w:p>
        </w:tc>
        <w:tc>
          <w:tcPr>
            <w:tcW w:w="5760" w:type="dxa"/>
            <w:vAlign w:val="bottom"/>
            <w:gridSpan w:val="4"/>
          </w:tcPr>
          <w:p>
            <w:pPr>
              <w:spacing w:after="0"/>
              <w:rPr>
                <w:sz w:val="20"/>
                <w:szCs w:val="20"/>
                <w:color w:val="auto"/>
              </w:rPr>
            </w:pPr>
            <w:r>
              <w:rPr>
                <w:rFonts w:ascii="Arial" w:cs="Arial" w:eastAsia="Arial" w:hAnsi="Arial"/>
                <w:sz w:val="16"/>
                <w:szCs w:val="16"/>
                <w:color w:val="auto"/>
              </w:rPr>
              <w:t>XBRL Taxonomy Extension Schema</w:t>
            </w:r>
          </w:p>
        </w:tc>
      </w:tr>
      <w:tr>
        <w:trPr>
          <w:trHeight w:val="459"/>
        </w:trPr>
        <w:tc>
          <w:tcPr>
            <w:tcW w:w="900" w:type="dxa"/>
            <w:vAlign w:val="bottom"/>
          </w:tcPr>
          <w:p>
            <w:pPr>
              <w:spacing w:after="0"/>
              <w:rPr>
                <w:sz w:val="20"/>
                <w:szCs w:val="20"/>
                <w:color w:val="auto"/>
              </w:rPr>
            </w:pPr>
            <w:r>
              <w:rPr>
                <w:rFonts w:ascii="Arial" w:cs="Arial" w:eastAsia="Arial" w:hAnsi="Arial"/>
                <w:sz w:val="16"/>
                <w:szCs w:val="16"/>
                <w:color w:val="auto"/>
              </w:rPr>
              <w:t>101.CAL</w:t>
            </w:r>
          </w:p>
        </w:tc>
        <w:tc>
          <w:tcPr>
            <w:tcW w:w="5760" w:type="dxa"/>
            <w:vAlign w:val="bottom"/>
            <w:gridSpan w:val="4"/>
          </w:tcPr>
          <w:p>
            <w:pPr>
              <w:spacing w:after="0"/>
              <w:rPr>
                <w:sz w:val="20"/>
                <w:szCs w:val="20"/>
                <w:color w:val="auto"/>
              </w:rPr>
            </w:pPr>
            <w:r>
              <w:rPr>
                <w:rFonts w:ascii="Arial" w:cs="Arial" w:eastAsia="Arial" w:hAnsi="Arial"/>
                <w:sz w:val="16"/>
                <w:szCs w:val="16"/>
                <w:color w:val="auto"/>
              </w:rPr>
              <w:t>XBRL Taxonomy Extension Scheme Calculation Linkbase</w:t>
            </w:r>
          </w:p>
        </w:tc>
      </w:tr>
      <w:tr>
        <w:trPr>
          <w:trHeight w:val="459"/>
        </w:trPr>
        <w:tc>
          <w:tcPr>
            <w:tcW w:w="900" w:type="dxa"/>
            <w:vAlign w:val="bottom"/>
          </w:tcPr>
          <w:p>
            <w:pPr>
              <w:spacing w:after="0"/>
              <w:rPr>
                <w:sz w:val="20"/>
                <w:szCs w:val="20"/>
                <w:color w:val="auto"/>
              </w:rPr>
            </w:pPr>
            <w:r>
              <w:rPr>
                <w:rFonts w:ascii="Arial" w:cs="Arial" w:eastAsia="Arial" w:hAnsi="Arial"/>
                <w:sz w:val="16"/>
                <w:szCs w:val="16"/>
                <w:color w:val="auto"/>
              </w:rPr>
              <w:t>101.DEF</w:t>
            </w:r>
          </w:p>
        </w:tc>
        <w:tc>
          <w:tcPr>
            <w:tcW w:w="5760" w:type="dxa"/>
            <w:vAlign w:val="bottom"/>
            <w:gridSpan w:val="4"/>
          </w:tcPr>
          <w:p>
            <w:pPr>
              <w:spacing w:after="0"/>
              <w:rPr>
                <w:sz w:val="20"/>
                <w:szCs w:val="20"/>
                <w:color w:val="auto"/>
              </w:rPr>
            </w:pPr>
            <w:r>
              <w:rPr>
                <w:rFonts w:ascii="Arial" w:cs="Arial" w:eastAsia="Arial" w:hAnsi="Arial"/>
                <w:sz w:val="16"/>
                <w:szCs w:val="16"/>
                <w:color w:val="auto"/>
              </w:rPr>
              <w:t>XBRL Taxonomy Extension Scheme Definition Linkbase</w:t>
            </w:r>
          </w:p>
        </w:tc>
      </w:tr>
      <w:tr>
        <w:trPr>
          <w:trHeight w:val="459"/>
        </w:trPr>
        <w:tc>
          <w:tcPr>
            <w:tcW w:w="900" w:type="dxa"/>
            <w:vAlign w:val="bottom"/>
          </w:tcPr>
          <w:p>
            <w:pPr>
              <w:spacing w:after="0"/>
              <w:rPr>
                <w:sz w:val="20"/>
                <w:szCs w:val="20"/>
                <w:color w:val="auto"/>
              </w:rPr>
            </w:pPr>
            <w:r>
              <w:rPr>
                <w:rFonts w:ascii="Arial" w:cs="Arial" w:eastAsia="Arial" w:hAnsi="Arial"/>
                <w:sz w:val="16"/>
                <w:szCs w:val="16"/>
                <w:color w:val="auto"/>
              </w:rPr>
              <w:t>101.LAB</w:t>
            </w:r>
          </w:p>
        </w:tc>
        <w:tc>
          <w:tcPr>
            <w:tcW w:w="5760" w:type="dxa"/>
            <w:vAlign w:val="bottom"/>
            <w:gridSpan w:val="4"/>
          </w:tcPr>
          <w:p>
            <w:pPr>
              <w:spacing w:after="0"/>
              <w:rPr>
                <w:sz w:val="20"/>
                <w:szCs w:val="20"/>
                <w:color w:val="auto"/>
              </w:rPr>
            </w:pPr>
            <w:r>
              <w:rPr>
                <w:rFonts w:ascii="Arial" w:cs="Arial" w:eastAsia="Arial" w:hAnsi="Arial"/>
                <w:sz w:val="16"/>
                <w:szCs w:val="16"/>
                <w:color w:val="auto"/>
              </w:rPr>
              <w:t>XBRL Taxonomy Extension Scheme Label Linkbase</w:t>
            </w:r>
          </w:p>
        </w:tc>
      </w:tr>
      <w:tr>
        <w:trPr>
          <w:trHeight w:val="459"/>
        </w:trPr>
        <w:tc>
          <w:tcPr>
            <w:tcW w:w="900" w:type="dxa"/>
            <w:vAlign w:val="bottom"/>
          </w:tcPr>
          <w:p>
            <w:pPr>
              <w:spacing w:after="0"/>
              <w:rPr>
                <w:sz w:val="20"/>
                <w:szCs w:val="20"/>
                <w:color w:val="auto"/>
              </w:rPr>
            </w:pPr>
            <w:r>
              <w:rPr>
                <w:rFonts w:ascii="Arial" w:cs="Arial" w:eastAsia="Arial" w:hAnsi="Arial"/>
                <w:sz w:val="16"/>
                <w:szCs w:val="16"/>
                <w:color w:val="auto"/>
              </w:rPr>
              <w:t>101.PRE</w:t>
            </w:r>
          </w:p>
        </w:tc>
        <w:tc>
          <w:tcPr>
            <w:tcW w:w="5760" w:type="dxa"/>
            <w:vAlign w:val="bottom"/>
            <w:gridSpan w:val="4"/>
          </w:tcPr>
          <w:p>
            <w:pPr>
              <w:spacing w:after="0"/>
              <w:rPr>
                <w:sz w:val="20"/>
                <w:szCs w:val="20"/>
                <w:color w:val="auto"/>
              </w:rPr>
            </w:pPr>
            <w:r>
              <w:rPr>
                <w:rFonts w:ascii="Arial" w:cs="Arial" w:eastAsia="Arial" w:hAnsi="Arial"/>
                <w:sz w:val="16"/>
                <w:szCs w:val="16"/>
                <w:color w:val="auto"/>
              </w:rPr>
              <w:t>XBRL Taxonomy Extension Scheme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30" w:right="10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6"/>
          <w:szCs w:val="16"/>
          <w:color w:val="auto"/>
        </w:rPr>
        <w:t>SIGNATURES</w:t>
      </w:r>
    </w:p>
    <w:p>
      <w:pPr>
        <w:spacing w:after="0" w:line="194" w:lineRule="exact"/>
        <w:rPr>
          <w:sz w:val="20"/>
          <w:szCs w:val="20"/>
          <w:color w:val="auto"/>
        </w:rPr>
      </w:pPr>
    </w:p>
    <w:p>
      <w:pPr>
        <w:ind w:firstLine="376"/>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2021</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GASLOG PARTNERS LP</w:t>
      </w:r>
    </w:p>
    <w:p>
      <w:pPr>
        <w:spacing w:after="0" w:line="19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6350</wp:posOffset>
            </wp:positionV>
            <wp:extent cx="241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Paul Wogan</w:t>
      </w:r>
    </w:p>
    <w:p>
      <w:pPr>
        <w:ind w:left="61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130" w:right="12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June 30, 2021 and Declares Cash Distribution</w:t>
      </w:r>
    </w:p>
    <w:p>
      <w:pPr>
        <w:spacing w:after="0" w:line="167" w:lineRule="exact"/>
        <w:rPr>
          <w:sz w:val="20"/>
          <w:szCs w:val="20"/>
          <w:color w:val="auto"/>
        </w:rPr>
      </w:pPr>
    </w:p>
    <w:p>
      <w:pPr>
        <w:ind w:right="400"/>
        <w:spacing w:after="0" w:line="334" w:lineRule="auto"/>
        <w:rPr>
          <w:sz w:val="20"/>
          <w:szCs w:val="20"/>
          <w:color w:val="auto"/>
        </w:rPr>
      </w:pPr>
      <w:r>
        <w:rPr>
          <w:rFonts w:ascii="Arial" w:cs="Arial" w:eastAsia="Arial" w:hAnsi="Arial"/>
          <w:sz w:val="15"/>
          <w:szCs w:val="15"/>
          <w:b w:val="1"/>
          <w:bCs w:val="1"/>
          <w:color w:val="auto"/>
        </w:rPr>
        <w:t xml:space="preserve">Piraeus, Greece, July 27, 2021, GasLog Partners LP (“GasLog Partners” or the “Partnership”) (NYSE: GLOP), </w:t>
      </w:r>
      <w:r>
        <w:rPr>
          <w:rFonts w:ascii="Arial" w:cs="Arial" w:eastAsia="Arial" w:hAnsi="Arial"/>
          <w:sz w:val="15"/>
          <w:szCs w:val="15"/>
          <w:color w:val="auto"/>
        </w:rPr>
        <w:t>an international owner and</w:t>
      </w:r>
      <w:r>
        <w:rPr>
          <w:rFonts w:ascii="Arial" w:cs="Arial" w:eastAsia="Arial" w:hAnsi="Arial"/>
          <w:sz w:val="15"/>
          <w:szCs w:val="15"/>
          <w:b w:val="1"/>
          <w:bCs w:val="1"/>
          <w:color w:val="auto"/>
        </w:rPr>
        <w:t xml:space="preserve"> </w:t>
      </w:r>
      <w:r>
        <w:rPr>
          <w:rFonts w:ascii="Arial" w:cs="Arial" w:eastAsia="Arial" w:hAnsi="Arial"/>
          <w:sz w:val="15"/>
          <w:szCs w:val="15"/>
          <w:color w:val="auto"/>
        </w:rPr>
        <w:t>operator of liquefied natural gas (“LNG”) carriers, today reported its financial results for the three-month period ended June 30,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171" w:lineRule="exact"/>
        <w:rPr>
          <w:sz w:val="20"/>
          <w:szCs w:val="20"/>
          <w:color w:val="auto"/>
        </w:rPr>
      </w:pPr>
    </w:p>
    <w:p>
      <w:pPr>
        <w:jc w:val="both"/>
        <w:ind w:left="340" w:right="60" w:hanging="332"/>
        <w:spacing w:after="0" w:line="30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Announced three new time charter agreements: a one-year charter for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with a subsidiary of TotalEnergies SE (“TotalEnergies”), an eight-month charter for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with a subsidiary of Royal Dutch Shell plc (“Shell”) and a charter with a minimum duration of one year (and a maximum of three years) for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with a wholly owned subsidiary of Cheniere Energy, Inc. (“Cheniere”).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Post quarter-end signed a new one-year time charter agreement for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with TotalEnergies</w:t>
      </w:r>
      <w:r>
        <w:rPr>
          <w:rFonts w:ascii="Arial" w:cs="Arial" w:eastAsia="Arial" w:hAnsi="Arial"/>
          <w:sz w:val="16"/>
          <w:szCs w:val="16"/>
          <w:i w:val="1"/>
          <w:iCs w:val="1"/>
          <w:color w:val="auto"/>
        </w:rPr>
        <w:t>.</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Repaid $18.8 million of debt during the second quarter of 2021, or $54.8 million of debt in the first six months of 2021.</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Published the Partnership’s Sustainability Report for 2020 on July 20, 2021.</w:t>
      </w:r>
    </w:p>
    <w:p>
      <w:pPr>
        <w:spacing w:after="0" w:line="18" w:lineRule="exact"/>
        <w:rPr>
          <w:rFonts w:ascii="Arial" w:cs="Arial" w:eastAsia="Arial" w:hAnsi="Arial"/>
          <w:sz w:val="16"/>
          <w:szCs w:val="16"/>
          <w:color w:val="auto"/>
        </w:rPr>
      </w:pPr>
    </w:p>
    <w:p>
      <w:pPr>
        <w:ind w:left="340" w:right="8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Announced the appointment of Paolo Enoizi, currently Chief Operating Officer of GasLog Ltd. (“GasLog”), as a director of the Partnership and as Chief Executive Officer of the Partnership, effective August 1, 2021.</w:t>
      </w:r>
    </w:p>
    <w:p>
      <w:pPr>
        <w:ind w:left="340" w:right="22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Executed scheduled dry-dockings for three of our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resulting in a total of 82 scheduled off-hire days during the quarter (compared to nil in the second quarter in 2020).</w:t>
      </w:r>
    </w:p>
    <w:p>
      <w:pPr>
        <w:ind w:left="340" w:right="740" w:hanging="332"/>
        <w:spacing w:after="0" w:line="21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Revenues, Profit, Adjusted Profit</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and Adjusted EBITDA</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$70.4 million, $14.7 million, $12.7 million and $45.0 million, respectively.</w:t>
      </w:r>
    </w:p>
    <w:p>
      <w:pPr>
        <w:ind w:left="340" w:hanging="332"/>
        <w:spacing w:after="0" w:line="18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Earnings per unit (“EPU”) of $0.14 and Adjusted EPU</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$0.10.</w:t>
      </w:r>
    </w:p>
    <w:p>
      <w:pPr>
        <w:spacing w:after="0" w:line="1" w:lineRule="exact"/>
        <w:rPr>
          <w:rFonts w:ascii="Arial" w:cs="Arial" w:eastAsia="Arial" w:hAnsi="Arial"/>
          <w:sz w:val="16"/>
          <w:szCs w:val="16"/>
          <w:color w:val="auto"/>
        </w:rPr>
      </w:pPr>
    </w:p>
    <w:p>
      <w:pPr>
        <w:ind w:left="340" w:hanging="332"/>
        <w:spacing w:after="0" w:line="22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Declared cash distribution of $0.01 per common unit for the second quarter of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Paul Wogan, Chief Executive Officer, commented: “The Partnership’s fleet performed strongly in the second quarter of 2021, with uptime of close to 100%, allowing us to safely deliver nearly one million tonnes (“mt”) of LNG to customers around the world. We also repaid $18.8 million of debt, bringing the total amount of debt retired in 2021 to $54.8 million. In addition, within the last month we took advantage of a strong LNG shipping market and booked four new multi-month charters with leading customers at attractive rates, that also allowed us to lock in 100.0% charter coverage for the remainder of 2021 and 69.2% for 2022. This fixed charter coverage along with the cash flows generated during the first half of 2021 more than covers all the Partnership’s operating, overhead, dry-docking and debt service requirements for 2021 and 2022.</w:t>
      </w:r>
    </w:p>
    <w:p>
      <w:pPr>
        <w:spacing w:after="0" w:line="163"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Our capital allocation for 2021 will continue to prioritize debt repayment to reduce further our breakeven costs over time. We also expect continued reductions to our operating and overhead expenses. With these ongoing improvements to our cost base and continued high levels of service and reliability, we believe that the Partnership continues to position itself to be a leader in the short-term market for LNG shipping.”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 xml:space="preserve">During the second quarter of 2021, GasLog Partners entered into a one-year time charter agreement with TotalEnergies for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 155,000 cubic meter (“cbm”) tri-fuel diesel electric (“TFDE”) LNG carrier, built in 2013. In addition, following the conclusion of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initial multi-year time charter with Shell in late July 2021, its contract was extended for approximately eight months, through the end of the first quarter of 2022.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is a 155,000 cbm TFDE LNG carrier built in 2014. Finally, a new time charter agreement was signed with Cheniere for the </w:t>
      </w:r>
      <w:r>
        <w:rPr>
          <w:rFonts w:ascii="Arial" w:cs="Arial" w:eastAsia="Arial" w:hAnsi="Arial"/>
          <w:sz w:val="15"/>
          <w:szCs w:val="15"/>
          <w:i w:val="1"/>
          <w:iCs w:val="1"/>
          <w:color w:val="auto"/>
        </w:rPr>
        <w:t>Methane</w:t>
      </w:r>
      <w:r>
        <w:rPr>
          <w:rFonts w:ascii="Arial" w:cs="Arial" w:eastAsia="Arial" w:hAnsi="Arial"/>
          <w:sz w:val="15"/>
          <w:szCs w:val="15"/>
          <w:color w:val="auto"/>
        </w:rPr>
        <w:t xml:space="preserve"> </w:t>
      </w:r>
      <w:r>
        <w:rPr>
          <w:rFonts w:ascii="Arial" w:cs="Arial" w:eastAsia="Arial" w:hAnsi="Arial"/>
          <w:sz w:val="15"/>
          <w:szCs w:val="15"/>
          <w:i w:val="1"/>
          <w:iCs w:val="1"/>
          <w:color w:val="auto"/>
        </w:rPr>
        <w:t>Heather Sally</w:t>
      </w:r>
      <w:r>
        <w:rPr>
          <w:rFonts w:ascii="Arial" w:cs="Arial" w:eastAsia="Arial" w:hAnsi="Arial"/>
          <w:sz w:val="15"/>
          <w:szCs w:val="15"/>
          <w:color w:val="auto"/>
        </w:rPr>
        <w:t>, a 145,000 cbm steam turbine propulsion (“Steam”) LNG carrier built in 2007. The charter has a minimum duration of one year, with</w:t>
      </w:r>
      <w:r>
        <w:rPr>
          <w:rFonts w:ascii="Arial" w:cs="Arial" w:eastAsia="Arial" w:hAnsi="Arial"/>
          <w:sz w:val="15"/>
          <w:szCs w:val="15"/>
          <w:i w:val="1"/>
          <w:iCs w:val="1"/>
          <w:color w:val="auto"/>
        </w:rPr>
        <w:t xml:space="preserve"> </w:t>
      </w:r>
      <w:r>
        <w:rPr>
          <w:rFonts w:ascii="Arial" w:cs="Arial" w:eastAsia="Arial" w:hAnsi="Arial"/>
          <w:sz w:val="15"/>
          <w:szCs w:val="15"/>
          <w:color w:val="auto"/>
        </w:rPr>
        <w:t>Cheniere having the option, until late August, to extend the charter for an additional one or two years at varying rates.</w:t>
      </w:r>
    </w:p>
    <w:p>
      <w:pPr>
        <w:spacing w:after="0" w:line="163"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Post quarter-end, in July 2021, GasLog Partners rechartered an additional vessel with TotalEnergies, the 155,000 cbm TFDE vessel </w:t>
      </w:r>
      <w:r>
        <w:rPr>
          <w:rFonts w:ascii="Arial" w:cs="Arial" w:eastAsia="Arial" w:hAnsi="Arial"/>
          <w:sz w:val="16"/>
          <w:szCs w:val="16"/>
          <w:i w:val="1"/>
          <w:iCs w:val="1"/>
          <w:color w:val="auto"/>
        </w:rPr>
        <w:t>GasLog Seattle</w:t>
      </w:r>
      <w:r>
        <w:rPr>
          <w:rFonts w:ascii="Arial" w:cs="Arial" w:eastAsia="Arial" w:hAnsi="Arial"/>
          <w:sz w:val="16"/>
          <w:szCs w:val="16"/>
          <w:color w:val="auto"/>
        </w:rPr>
        <w:t>, built in 2013, again for a period of approximately twelve months.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Financial Summary</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30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00" w:type="dxa"/>
            <w:vAlign w:val="bottom"/>
            <w:gridSpan w:val="3"/>
            <w:vMerge w:val="restart"/>
          </w:tcPr>
          <w:p>
            <w:pPr>
              <w:ind w:left="100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b w:val="1"/>
                <w:bCs w:val="1"/>
                <w:i w:val="1"/>
                <w:iCs w:val="1"/>
                <w:color w:val="auto"/>
                <w:w w:val="92"/>
              </w:rPr>
              <w:t>All amounts expressed in thousands of U.S. dollars, except per</w:t>
            </w:r>
          </w:p>
        </w:tc>
        <w:tc>
          <w:tcPr>
            <w:tcW w:w="230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500" w:type="dxa"/>
            <w:vAlign w:val="bottom"/>
            <w:gridSpan w:val="3"/>
            <w:vMerge w:val="continue"/>
          </w:tcPr>
          <w:p>
            <w:pPr>
              <w:spacing w:after="0"/>
              <w:rPr>
                <w:sz w:val="17"/>
                <w:szCs w:val="1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2020</w:t>
            </w:r>
          </w:p>
        </w:tc>
        <w:tc>
          <w:tcPr>
            <w:tcW w:w="1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1140" w:type="dxa"/>
            <w:vAlign w:val="bottom"/>
            <w:gridSpan w:val="2"/>
            <w:vMerge w:val="restart"/>
          </w:tcPr>
          <w:p>
            <w:pPr>
              <w:jc w:val="right"/>
              <w:ind w:right="224"/>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50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auto"/>
              </w:rPr>
              <w:t>unit amounts</w:t>
            </w:r>
            <w:r>
              <w:rPr>
                <w:rFonts w:ascii="Arial" w:cs="Arial" w:eastAsia="Arial" w:hAnsi="Arial"/>
                <w:sz w:val="16"/>
                <w:szCs w:val="16"/>
                <w:color w:val="auto"/>
              </w:rPr>
              <w:t>)</w:t>
            </w:r>
          </w:p>
        </w:tc>
        <w:tc>
          <w:tcPr>
            <w:tcW w:w="114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84,448</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70,352</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Profit</w:t>
            </w:r>
          </w:p>
        </w:tc>
        <w:tc>
          <w:tcPr>
            <w:tcW w:w="940" w:type="dxa"/>
            <w:vAlign w:val="bottom"/>
          </w:tcPr>
          <w:p>
            <w:pPr>
              <w:jc w:val="right"/>
              <w:spacing w:after="0"/>
              <w:rPr>
                <w:sz w:val="20"/>
                <w:szCs w:val="20"/>
                <w:color w:val="auto"/>
              </w:rPr>
            </w:pPr>
            <w:r>
              <w:rPr>
                <w:rFonts w:ascii="Arial" w:cs="Arial" w:eastAsia="Arial" w:hAnsi="Arial"/>
                <w:sz w:val="16"/>
                <w:szCs w:val="16"/>
                <w:color w:val="auto"/>
              </w:rPr>
              <w:t>8,213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14,663</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EPU, common (basic)</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6"/>
                <w:szCs w:val="16"/>
                <w:color w:val="auto"/>
              </w:rPr>
              <w:t>Adjusted Profit</w:t>
            </w:r>
            <w:r>
              <w:rPr>
                <w:rFonts w:ascii="Arial" w:cs="Arial" w:eastAsia="Arial" w:hAnsi="Arial"/>
                <w:sz w:val="23"/>
                <w:szCs w:val="23"/>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25,619</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12,701</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44,968</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500" w:type="dxa"/>
            <w:vAlign w:val="bottom"/>
            <w:gridSpan w:val="2"/>
          </w:tcPr>
          <w:p>
            <w:pPr>
              <w:spacing w:after="0" w:line="202" w:lineRule="exact"/>
              <w:rPr>
                <w:sz w:val="20"/>
                <w:szCs w:val="20"/>
                <w:color w:val="auto"/>
              </w:rPr>
            </w:pPr>
            <w:r>
              <w:rPr>
                <w:rFonts w:ascii="Arial" w:cs="Arial" w:eastAsia="Arial" w:hAnsi="Arial"/>
                <w:sz w:val="16"/>
                <w:szCs w:val="16"/>
                <w:color w:val="auto"/>
              </w:rPr>
              <w:t>Adjusted EPU, common (basic)</w:t>
            </w:r>
            <w:r>
              <w:rPr>
                <w:rFonts w:ascii="Arial" w:cs="Arial" w:eastAsia="Arial" w:hAnsi="Arial"/>
                <w:sz w:val="23"/>
                <w:szCs w:val="23"/>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0.38</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0.10</w:t>
            </w: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distributions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6,022</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 w:name="page5"/>
    <w:bookmarkEnd w:id="4"/>
    <w:p>
      <w:pPr>
        <w:ind w:right="140"/>
        <w:spacing w:after="0" w:line="278" w:lineRule="auto"/>
        <w:rPr>
          <w:sz w:val="20"/>
          <w:szCs w:val="20"/>
          <w:color w:val="auto"/>
        </w:rPr>
      </w:pPr>
      <w:r>
        <w:rPr>
          <w:rFonts w:ascii="Arial" w:cs="Arial" w:eastAsia="Arial" w:hAnsi="Arial"/>
          <w:sz w:val="16"/>
          <w:szCs w:val="16"/>
          <w:color w:val="auto"/>
        </w:rPr>
        <w:t>There were 1,283 available days for the three months ended June 30, 2021, as compared to 1,365 available days for the three months ended June 30, 2020. The year-over-year decrease in available days is attributable to 82 off-hire days due to the scheduled dry-dockings of three vessels in the second quarter of 2021 (compared to nil in the second quarter of 2020).</w:t>
      </w:r>
    </w:p>
    <w:p>
      <w:pPr>
        <w:spacing w:after="0" w:line="171" w:lineRule="exact"/>
        <w:rPr>
          <w:sz w:val="20"/>
          <w:szCs w:val="20"/>
          <w:color w:val="auto"/>
        </w:rPr>
      </w:pPr>
    </w:p>
    <w:p>
      <w:pPr>
        <w:ind w:right="120"/>
        <w:spacing w:after="0" w:line="335" w:lineRule="auto"/>
        <w:rPr>
          <w:sz w:val="20"/>
          <w:szCs w:val="20"/>
          <w:color w:val="auto"/>
        </w:rPr>
      </w:pPr>
      <w:r>
        <w:rPr>
          <w:rFonts w:ascii="Arial" w:cs="Arial" w:eastAsia="Arial" w:hAnsi="Arial"/>
          <w:sz w:val="14"/>
          <w:szCs w:val="14"/>
          <w:color w:val="auto"/>
        </w:rPr>
        <w:t>Management classifies the Partnership’s vessels from a commercial point of view into two categories: (a) spot fleet and (b) long-term fleet. The spot fleet includes all vessels under charter party agreements with an initial duration of less than (or equal to) five years (excluding optional periods), while the long-term fleet comprises all vessels with charter party agreements of an initial duration of more than five years (excluding optional periods).</w:t>
      </w:r>
    </w:p>
    <w:p>
      <w:pPr>
        <w:spacing w:after="0" w:line="8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For the three months ended June 30, 2020 and 2021, an analysis of available days, revenues and voyage expenses and commissions per category is presented below:</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For the three months ended</w:t>
            </w:r>
          </w:p>
        </w:tc>
        <w:tc>
          <w:tcPr>
            <w:tcW w:w="220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For the three months ended</w:t>
            </w:r>
          </w:p>
        </w:tc>
      </w:tr>
      <w:tr>
        <w:trPr>
          <w:trHeight w:val="210"/>
        </w:trPr>
        <w:tc>
          <w:tcPr>
            <w:tcW w:w="3400" w:type="dxa"/>
            <w:vAlign w:val="bottom"/>
          </w:tcPr>
          <w:p>
            <w:pPr>
              <w:spacing w:after="0"/>
              <w:rPr>
                <w:sz w:val="18"/>
                <w:szCs w:val="18"/>
                <w:color w:val="auto"/>
              </w:rPr>
            </w:pPr>
          </w:p>
        </w:tc>
        <w:tc>
          <w:tcPr>
            <w:tcW w:w="23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2020</w:t>
            </w:r>
          </w:p>
        </w:tc>
        <w:tc>
          <w:tcPr>
            <w:tcW w:w="22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June 30, 2021</w:t>
            </w:r>
          </w:p>
        </w:tc>
      </w:tr>
      <w:tr>
        <w:trPr>
          <w:trHeight w:val="202"/>
        </w:trPr>
        <w:tc>
          <w:tcPr>
            <w:tcW w:w="340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Spot fleet</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Long-term fleet</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Spot fleet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Long-term fleet</w:t>
            </w:r>
          </w:p>
        </w:tc>
      </w:tr>
      <w:tr>
        <w:trPr>
          <w:trHeight w:val="196"/>
        </w:trPr>
        <w:tc>
          <w:tcPr>
            <w:tcW w:w="34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5"/>
                <w:szCs w:val="15"/>
                <w:color w:val="auto"/>
              </w:rPr>
              <w:t xml:space="preserve">Available days </w:t>
            </w:r>
            <w:r>
              <w:rPr>
                <w:rFonts w:ascii="Arial" w:cs="Arial" w:eastAsia="Arial" w:hAnsi="Arial"/>
                <w:sz w:val="22"/>
                <w:szCs w:val="22"/>
                <w:color w:val="auto"/>
                <w:vertAlign w:val="superscript"/>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Revenues</w:t>
            </w:r>
          </w:p>
        </w:tc>
        <w:tc>
          <w:tcPr>
            <w:tcW w:w="880" w:type="dxa"/>
            <w:vAlign w:val="bottom"/>
          </w:tcPr>
          <w:p>
            <w:pPr>
              <w:jc w:val="right"/>
              <w:spacing w:after="0"/>
              <w:rPr>
                <w:sz w:val="20"/>
                <w:szCs w:val="20"/>
                <w:color w:val="auto"/>
              </w:rPr>
            </w:pPr>
            <w:r>
              <w:rPr>
                <w:rFonts w:ascii="Arial" w:cs="Arial" w:eastAsia="Arial" w:hAnsi="Arial"/>
                <w:sz w:val="16"/>
                <w:szCs w:val="16"/>
                <w:color w:val="auto"/>
              </w:rPr>
              <w:t>20,523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63,925</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27,471</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42,881</w:t>
            </w:r>
          </w:p>
        </w:tc>
      </w:tr>
      <w:tr>
        <w:trPr>
          <w:trHeight w:val="203"/>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r>
    </w:tbl>
    <w:p>
      <w:pPr>
        <w:spacing w:after="0" w:line="193" w:lineRule="exact"/>
        <w:rPr>
          <w:sz w:val="20"/>
          <w:szCs w:val="20"/>
          <w:color w:val="auto"/>
        </w:rPr>
      </w:pPr>
    </w:p>
    <w:p>
      <w:pPr>
        <w:ind w:right="200" w:firstLine="8"/>
        <w:spacing w:after="0" w:line="213" w:lineRule="auto"/>
        <w:tabs>
          <w:tab w:leader="none" w:pos="182" w:val="left"/>
        </w:tabs>
        <w:numPr>
          <w:ilvl w:val="0"/>
          <w:numId w:val="2"/>
        </w:numPr>
        <w:rPr>
          <w:rFonts w:ascii="Arial" w:cs="Arial" w:eastAsia="Arial" w:hAnsi="Arial"/>
          <w:sz w:val="24"/>
          <w:szCs w:val="24"/>
          <w:color w:val="auto"/>
          <w:vertAlign w:val="superscript"/>
        </w:rPr>
      </w:pPr>
      <w:r>
        <w:rPr>
          <w:rFonts w:ascii="Arial" w:cs="Arial" w:eastAsia="Arial" w:hAnsi="Arial"/>
          <w:sz w:val="16"/>
          <w:szCs w:val="16"/>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199"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Revenues decreased by $14.0 million, from $84.4 million for the quarter ended June 30, 2020, to $70.4 million for the same period in 2021. The decrease is mainly attributable to the expirations of the initial multi-year time charters of three of our Steam vessels with Shell in 2020 and early 2021 (which were at higher rates compared to their current re-contracted rates) and a decrease in revenues resulting from the 82 off-hire days due to the scheduled dry-dockings of three of our vessels in the second quarter of 2021 (compared to none in the same period in 2020).</w:t>
      </w:r>
    </w:p>
    <w:p>
      <w:pPr>
        <w:spacing w:after="0" w:line="15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Vessel operating costs increased by $3.1 million, from $16.9 million for the quarter ended June 30, 2020, to $20.0 million for the same period in 2021. The increase in vessel operating costs is mainly attributable to an increase of $1.7 million in technical maintenance expenses primarily in connection with the dry-dockings of three of our vessels in the second quarter of 2021 (compared to none in the same period in 2020) and an increase of $0.9 million in crew costs, mainly as a result of COVID-19 restrictions (increased costs for travelling and quarantines) and the unfavorable movement of the EUR/USD exchange rate compared to the same period in 2020.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 charterers) increased from $13,261 per day for the three-month period ended June 30, 2020 to $15,734 per day for the three-month period ended June 30, 2021, which includes dry-docking related costs of $1,109 per day in the three-month period ended June 30, 2021.</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General and administrative expenses decreased by $0.9 million, from $4.4 million for the three-month period ended June 30, 2020, to $3.5 million for the same period in 2021. The decrease in general and administrative expenses is mainly attributable to a decrease of $0.8 million in administrative services fees, in connection with the decrease of the annual fee payable to GasLog in 2021 by approximately $0.2 million per vessel per year. The decrease in the annual fee was driven by organizational changes and corporate savings at GasLog. As a result, daily general and administrative expenses decreased from $3,238 per vessel ownership day for the quarter ended June 30, 2020, to $2,554 per vessel ownership day for the quarter ended June 30, 2021.</w:t>
      </w:r>
    </w:p>
    <w:p>
      <w:pPr>
        <w:spacing w:after="0" w:line="180" w:lineRule="exact"/>
        <w:rPr>
          <w:sz w:val="20"/>
          <w:szCs w:val="20"/>
          <w:color w:val="auto"/>
        </w:rPr>
      </w:pPr>
    </w:p>
    <w:p>
      <w:pPr>
        <w:ind w:right="160"/>
        <w:spacing w:after="0" w:line="228" w:lineRule="auto"/>
        <w:rPr>
          <w:sz w:val="20"/>
          <w:szCs w:val="20"/>
          <w:color w:val="auto"/>
        </w:rPr>
      </w:pPr>
      <w:r>
        <w:rPr>
          <w:rFonts w:ascii="Arial" w:cs="Arial" w:eastAsia="Arial" w:hAnsi="Arial"/>
          <w:sz w:val="16"/>
          <w:szCs w:val="16"/>
          <w:color w:val="auto"/>
        </w:rPr>
        <w:t>The decrease in Adjusted EBITDA</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$15.4 million, from $60.4 million in the second quarter of 2020 as compared to $45.0 million in the same period in 2021, is attributable to the decrease in revenues of $14.0 million and increased operating expenses of $3.1 million described above, partially offset by an aggregate decrease of $1.8 million in voyage and general and administrative expenses.</w:t>
      </w:r>
    </w:p>
    <w:p>
      <w:pPr>
        <w:spacing w:after="0" w:line="19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Financial costs decreased by $4.0 million, from $13.1 million for the quarter ended June 30, 2020, to $9.1 million for the same period in 2021. The decrease in financial costs is mainly attributable to a decrease of $3.8 million in interest expense on loans, due to the lower London Interbank Offered Rate (“LIBOR”) rates in the three months ended June 30, 2020, as compared to the same period in 2021, as well as the reduced debt balances year-over-year. During the three-month period ended June 30, 2020, we had an average of $1,346.2 million of outstanding indebtedness with a weighted average interest rate of 3.4%, compared to an average of $1,261.1 million of outstanding indebtedness with a weighted average interest rate of 2.4% during the three-month period ended June 30, 2021.</w:t>
      </w:r>
    </w:p>
    <w:p>
      <w:pPr>
        <w:spacing w:after="0" w:line="18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Gain on derivatives decreased by $0.8 million, from a gain of $0.4 million for the three-month period ended June 30, 2020 to a loss of $0.4 million for the same period in 2021. The decrease is attributable to a net increase of $1.3 million in realized loss on derivatives held for trading (in 2021, interest rate swaps only), partially offset by a net increase of $0.5 million in unrealized gain from the mark-to-market valuation of derivatives held for trading which were carried at fair value through profit or loss.</w:t>
      </w:r>
    </w:p>
    <w:p>
      <w:pPr>
        <w:spacing w:after="0" w:line="17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increase in profit of $6.5 million from $8.2 million in the second quarter of 2020 to $14.7 million in the second quarter of 2021 is mainly attributable to an impairment loss of $18.8 million recorded in the three months ended June 30, 2020 and the aforementioned decrease of $4.0 million in financial costs, partially offset by the decrease in Adjusted EBITDA</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described above.</w:t>
      </w:r>
    </w:p>
    <w:p>
      <w:pPr>
        <w:spacing w:after="0" w:line="58" w:lineRule="exact"/>
        <w:rPr>
          <w:sz w:val="20"/>
          <w:szCs w:val="20"/>
          <w:color w:val="auto"/>
        </w:rPr>
      </w:pPr>
    </w:p>
    <w:p>
      <w:pPr>
        <w:jc w:val="both"/>
        <w:ind w:right="140"/>
        <w:spacing w:after="0" w:line="275" w:lineRule="auto"/>
        <w:rPr>
          <w:sz w:val="20"/>
          <w:szCs w:val="20"/>
          <w:color w:val="auto"/>
        </w:rPr>
      </w:pPr>
      <w:r>
        <w:rPr>
          <w:rFonts w:ascii="Arial" w:cs="Arial" w:eastAsia="Arial" w:hAnsi="Arial"/>
          <w:sz w:val="14"/>
          <w:szCs w:val="14"/>
          <w:color w:val="auto"/>
        </w:rPr>
        <w:t>The decrease in Adjusted Profit</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of $12.9 million, from $25.6 million in the second quarter of 2020 to $12.7 million in the second quarter of 2021, is attributable to the decrease in Adjusted EBITDA</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described above, partially offset by the aforementioned decrease of $4.0 million in financial costs.</w:t>
      </w:r>
    </w:p>
    <w:p>
      <w:pPr>
        <w:sectPr>
          <w:pgSz w:w="11900" w:h="16838" w:orient="portrait"/>
          <w:cols w:equalWidth="0" w:num="1">
            <w:col w:w="9880"/>
          </w:cols>
          <w:pgMar w:left="980" w:top="278" w:right="1039" w:bottom="1440" w:gutter="0" w:footer="0" w:header="0"/>
        </w:sectPr>
      </w:pP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278" w:right="1039" w:bottom="1440" w:gutter="0" w:footer="0" w:header="0"/>
          <w:type w:val="continuous"/>
        </w:sectPr>
      </w:pPr>
    </w:p>
    <w:bookmarkStart w:id="5" w:name="page6"/>
    <w:bookmarkEnd w:id="5"/>
    <w:p>
      <w:pPr>
        <w:jc w:val="both"/>
        <w:spacing w:after="0" w:line="278" w:lineRule="auto"/>
        <w:rPr>
          <w:sz w:val="20"/>
          <w:szCs w:val="20"/>
          <w:color w:val="auto"/>
        </w:rPr>
      </w:pPr>
      <w:r>
        <w:rPr>
          <w:rFonts w:ascii="Arial" w:cs="Arial" w:eastAsia="Arial" w:hAnsi="Arial"/>
          <w:sz w:val="16"/>
          <w:szCs w:val="16"/>
          <w:color w:val="auto"/>
        </w:rPr>
        <w:t>As of June 30, 2021, we had $119.8 million of cash and cash equivalents, out of which $62.9 million was held in current accounts and $56.9 million was held in time deposits with an original duration of less than three months. An additional amount of $2.5 million of time deposits with an original duration greater than three months was classified under short-term investments.</w:t>
      </w:r>
    </w:p>
    <w:p>
      <w:pPr>
        <w:spacing w:after="0" w:line="171"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As of June 30, 2021, we had an aggregate of $1,233.1 million of borrowings outstanding under our credit facilities, of which $105.1 million was repayable within one year.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of June 30, 2021, our current assets totaled $141.6 million and current liabilities totaled $183.2 million, resulting in a negative working capital position of $41.6 million. Current liabilities include $25.3 million of unearned revenue in relation to hires received in advance (which represents a non-cash liability that will be recognized as revenues in July 2021 as the services are rendered). 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We anticipate that our primary sources of funds for at least twelve months from the date of this report will be available cash, cash from operations and existing debt facilities. We believe that these anticipated sources of funds, as well as our ability to access the capital markets if needed, will be sufficient to meet our liquidity needs and comply with our banking covenants for at least twelve months from the date of this report.</w:t>
      </w:r>
    </w:p>
    <w:p>
      <w:pPr>
        <w:spacing w:after="0" w:line="103" w:lineRule="exact"/>
        <w:rPr>
          <w:sz w:val="20"/>
          <w:szCs w:val="20"/>
          <w:color w:val="auto"/>
        </w:rPr>
      </w:pPr>
    </w:p>
    <w:p>
      <w:pPr>
        <w:jc w:val="both"/>
        <w:ind w:left="340" w:right="140" w:hanging="332"/>
        <w:spacing w:after="0" w:line="264" w:lineRule="auto"/>
        <w:tabs>
          <w:tab w:leader="none" w:pos="340" w:val="left"/>
        </w:tabs>
        <w:numPr>
          <w:ilvl w:val="0"/>
          <w:numId w:val="3"/>
        </w:numPr>
        <w:rPr>
          <w:rFonts w:ascii="Arial" w:cs="Arial" w:eastAsia="Arial" w:hAnsi="Arial"/>
          <w:sz w:val="10"/>
          <w:szCs w:val="10"/>
          <w:color w:val="auto"/>
        </w:rPr>
      </w:pPr>
      <w:r>
        <w:rPr>
          <w:rFonts w:ascii="Arial" w:cs="Arial" w:eastAsia="Arial" w:hAnsi="Arial"/>
          <w:sz w:val="13"/>
          <w:szCs w:val="13"/>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25"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LNG demand was 95 mt in the second quarter of 2021, according to Poten, compared to 86 mt in the second quarter of 2020, an increase of approximately 11%. Demand growth was particularly strong in Asia and South America. Specifically, demand increased, year-over-year, in China (+4 mt, or 25%), Japan (+1 mt, or 7%) and South Korea (+1 mt, or 9%), the three largest end markets for LNG, as these countries rebuilt inventories following a colder than average winter ahead of summer cooling demand. In addition, demand from Argentina, Brazil and Chile together grew by approximately 3 mt (or 116%) year-over-year due to lower hydroelectric output from the region. Growth from these regions was offset by a decline of approximately 2 mt (or 35%) from the Middle East.</w:t>
      </w:r>
    </w:p>
    <w:p>
      <w:pPr>
        <w:spacing w:after="0" w:line="180"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Global LNG supply was approximately 96 mt in the second quarter of 2021, growing by 8 mt (or 9%) year-over-year, according to Poten. Supply growth in the second quarter was particularly strong in the United States (“U.S.”) which increased production by 7 mt (or 61%) year-over-year, due to higher utilization from existing liquefaction trains as well as the ramp-up of production at the third trains at Freeport LNG, Cameron LNG and Corpus Christi LNG. The resumption of LNG exports from Egypt helped grow supply from the Middle East by approximately 2 mt (or 32%) while increased utilization of existing facilities saw Russian LNG production grow by approximately 1 mt (or 17%). Growth from these three regions offset declines from Trinidad and Norway. Looking ahead, approximately 125 mt of new LNG capacity is currently under construction and scheduled to come online between 2021 and 2026.</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Headline spot rates for TFDE LNG carriers, as reported by Clarksons, averaged $58,000 per day in the second quarter of 2021, a 61% increase over the $36,000 per day average in the second quarter of 2020. Headline spot rates for Steam vessels averaged $45,000 per day in the second quarter of 2021, 96% higher than the average of $23,000 per day in the second quarter of 2020. Headline spot rates in the second quarter benefited from LNG demand growth from Asia combined with LNG supply growth in the US as detailed above.</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As of July 23, 2021, Clarksons assessed headline spot rates for TFDE and Steam LNG carriers at $56,000 per day and $39,000 per day, respectively. Forward assessments for LNG carrier spot rates indicate rising spot rates through the remainder of the year. However, the magnitude and pace of any sustained upward movement in spot rates will depend on both the continued recovery of LNG demand and LNG price differentials between the major export and import regions, whilst the forecasted growth of the global LNG carrier fleet combined with any slow-down in demand could create volatility in the spot and short-term markets over the near and medium-term.</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of July 23, 2021, Poten estimated that the orderbook totaled 126 dedicated LNG carriers (&gt;100,000 cbm), representing 19% of the on-the-water fleet. Of these, 106 vessels (or 84%) have multi-year charters. 31 orders have been placed for newbuild LNG carriers in 2021 as of July 23, 2021 compared with 34 for all of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25"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color w:val="auto"/>
        </w:rPr>
        <w:t>During the second quarter of 2021, GasLog Partners issued and received payment for 3,195,401 common units at a weighted average price of $3.19 per common unit for total gross proceeds of $10.2 million and net proceeds of $10.0 million, after broker commissions. During this period, the Partnership also issued 56,158 general partner units to its general partner in order for GasLog to retain its 2.0% general partner interest. The net proceeds from the issuance of the general partner units were $0.2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171"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auto"/>
        </w:rPr>
        <w:t>On July 26, 2021,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are payable on September 15, 2021 to all unitholders of record as of September 8, 2021.</w:t>
      </w:r>
    </w:p>
    <w:p>
      <w:pPr>
        <w:sectPr>
          <w:pgSz w:w="11900" w:h="16838" w:orient="portrait"/>
          <w:cols w:equalWidth="0" w:num="1">
            <w:col w:w="9900"/>
          </w:cols>
          <w:pgMar w:left="980" w:top="130" w:right="1019" w:bottom="1440" w:gutter="0" w:footer="0" w:header="0"/>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30" w:right="10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171" w:lineRule="exact"/>
        <w:rPr>
          <w:sz w:val="20"/>
          <w:szCs w:val="20"/>
          <w:color w:val="auto"/>
        </w:rPr>
      </w:pPr>
    </w:p>
    <w:p>
      <w:pPr>
        <w:ind w:right="420"/>
        <w:spacing w:after="0" w:line="328" w:lineRule="auto"/>
        <w:rPr>
          <w:sz w:val="20"/>
          <w:szCs w:val="20"/>
          <w:color w:val="auto"/>
        </w:rPr>
      </w:pPr>
      <w:r>
        <w:rPr>
          <w:rFonts w:ascii="Arial" w:cs="Arial" w:eastAsia="Arial" w:hAnsi="Arial"/>
          <w:sz w:val="15"/>
          <w:szCs w:val="15"/>
          <w:color w:val="auto"/>
        </w:rPr>
        <w:t>On July 26, 2021, the board of directors of GasLog Partners approved and declared a quarterly cash distribution of $0.01 per common unit for the quarter ended June 30, 2021. The cash distribution is payable on August 12, 2021 to all unitholders of record as of August 9, 2021.</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GasLog Partners will host a conference call to discuss its results for the second quarter of 2021 at 8.30 a.m. EDT (3.30 p.m. EEST) on Tuesday, July 27, 2021. The Partnership’s senior management will review the operational and financial performance for the period. Management’s presentation will be followed by a Q&amp;A session.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Conference ID: 6766434</w:t>
      </w:r>
    </w:p>
    <w:p>
      <w:pPr>
        <w:spacing w:after="0" w:line="221" w:lineRule="exact"/>
        <w:rPr>
          <w:sz w:val="20"/>
          <w:szCs w:val="20"/>
          <w:color w:val="auto"/>
        </w:rPr>
      </w:pPr>
    </w:p>
    <w:p>
      <w:pPr>
        <w:ind w:right="2280"/>
        <w:spacing w:after="0" w:line="293" w:lineRule="auto"/>
        <w:rPr>
          <w:sz w:val="20"/>
          <w:szCs w:val="20"/>
          <w:color w:val="auto"/>
        </w:rPr>
      </w:pPr>
      <w:r>
        <w:rPr>
          <w:rFonts w:ascii="Arial" w:cs="Arial" w:eastAsia="Arial" w:hAnsi="Arial"/>
          <w:sz w:val="16"/>
          <w:szCs w:val="16"/>
          <w:color w:val="auto"/>
        </w:rPr>
        <w:t>A live webcast of the conference call will be available on the Investor Relations page of the GasLog Partners website (http://www.gaslogmlp.com/investors).</w:t>
      </w:r>
    </w:p>
    <w:p>
      <w:pPr>
        <w:spacing w:after="0" w:line="15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 of the GasLog Partners website (http://www.gaslogmlp.com/investors).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5"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181" w:lineRule="exact"/>
        <w:rPr>
          <w:sz w:val="20"/>
          <w:szCs w:val="20"/>
          <w:color w:val="auto"/>
        </w:rPr>
      </w:pPr>
    </w:p>
    <w:p>
      <w:pPr>
        <w:ind w:left="660" w:right="20" w:hanging="328"/>
        <w:spacing w:after="0" w:line="255"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100" w:hanging="328"/>
        <w:spacing w:after="0" w:line="255"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5"/>
          <w:szCs w:val="15"/>
          <w:color w:val="auto"/>
        </w:rPr>
        <w:t>number of off-hire days and dry-docking requirements, including our ability to complete scheduled dry-dockings on time and within budget;</w:t>
      </w:r>
    </w:p>
    <w:p>
      <w:pPr>
        <w:spacing w:after="0" w:line="19"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6" w:lineRule="exact"/>
        <w:rPr>
          <w:rFonts w:ascii="Arial" w:cs="Arial" w:eastAsia="Arial" w:hAnsi="Arial"/>
          <w:sz w:val="18"/>
          <w:szCs w:val="18"/>
          <w:color w:val="auto"/>
        </w:rPr>
      </w:pPr>
    </w:p>
    <w:p>
      <w:pPr>
        <w:ind w:left="660" w:right="38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disruptions resulting from measures taken to reduce the spread of COVID-19, including possible delays due to the quarantine of vessels and crew, as well as government-imposed shutdowns;</w:t>
      </w:r>
    </w:p>
    <w:p>
      <w:pPr>
        <w:spacing w:after="0" w:line="3"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7" w:name="page8"/>
    <w:bookmarkEnd w:id="7"/>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the Euro;</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ability of GasLog to maintain long-term relationships with major energy companies and major LNG producers, marketers and consumers;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11" w:lineRule="exact"/>
        <w:rPr>
          <w:rFonts w:ascii="Arial" w:cs="Arial" w:eastAsia="Arial" w:hAnsi="Arial"/>
          <w:sz w:val="18"/>
          <w:szCs w:val="18"/>
          <w:color w:val="auto"/>
        </w:rPr>
      </w:pPr>
    </w:p>
    <w:p>
      <w:pPr>
        <w:jc w:val="both"/>
        <w:ind w:left="660" w:right="280" w:hanging="328"/>
        <w:spacing w:after="0" w:line="255"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4"/>
          <w:szCs w:val="14"/>
          <w:color w:val="auto"/>
        </w:rPr>
        <w:t>future, pending or recent acquisitions of ships or other assets, business strategy, areas of possible expansion and expected capital spending;</w:t>
      </w:r>
    </w:p>
    <w:p>
      <w:pPr>
        <w:spacing w:after="0" w:line="31" w:lineRule="exact"/>
        <w:rPr>
          <w:rFonts w:ascii="Arial" w:cs="Arial" w:eastAsia="Arial" w:hAnsi="Arial"/>
          <w:sz w:val="16"/>
          <w:szCs w:val="16"/>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impact on us and the shipping industry of environmental concerns, including climate change;</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any malfunction or disruption of information technology systems and networks that our operations rely on or any impact of a possible cybersecurity event;</w:t>
      </w:r>
    </w:p>
    <w:p>
      <w:pPr>
        <w:spacing w:after="0" w:line="11" w:lineRule="exact"/>
        <w:rPr>
          <w:rFonts w:ascii="Arial" w:cs="Arial" w:eastAsia="Arial" w:hAnsi="Arial"/>
          <w:sz w:val="18"/>
          <w:szCs w:val="18"/>
          <w:color w:val="auto"/>
        </w:rPr>
      </w:pPr>
    </w:p>
    <w:p>
      <w:pPr>
        <w:ind w:left="660" w:hanging="328"/>
        <w:spacing w:after="0" w:line="271"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5"/>
          <w:szCs w:val="15"/>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60" w:right="280" w:hanging="328"/>
        <w:spacing w:after="0" w:line="263"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other risks and uncertainties described in the Partnership’s Annual Report on Form 20-F filed with the SEC on March 2, 2021, available at http://www.sec.gov.</w:t>
      </w:r>
    </w:p>
    <w:p>
      <w:pPr>
        <w:spacing w:after="0" w:line="125" w:lineRule="exact"/>
        <w:rPr>
          <w:sz w:val="20"/>
          <w:szCs w:val="20"/>
          <w:color w:val="auto"/>
        </w:rPr>
      </w:pPr>
    </w:p>
    <w:p>
      <w:pPr>
        <w:jc w:val="both"/>
        <w:ind w:right="20"/>
        <w:spacing w:after="0" w:line="324" w:lineRule="auto"/>
        <w:rPr>
          <w:sz w:val="20"/>
          <w:szCs w:val="20"/>
          <w:color w:val="auto"/>
        </w:rPr>
      </w:pPr>
      <w:r>
        <w:rPr>
          <w:rFonts w:ascii="Arial" w:cs="Arial" w:eastAsia="Arial" w:hAnsi="Arial"/>
          <w:sz w:val="14"/>
          <w:szCs w:val="14"/>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E-mail: ir@gaslogmlp.com</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43" w:right="10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1"/>
        </w:trPr>
        <w:tc>
          <w:tcPr>
            <w:tcW w:w="75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b w:val="1"/>
                <w:bCs w:val="1"/>
                <w:color w:val="auto"/>
              </w:rPr>
              <w:t>As of December 31, 2020 and June 30, 2021</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7"/>
        </w:trPr>
        <w:tc>
          <w:tcPr>
            <w:tcW w:w="75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5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02"/>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Tangible fixed assets</w:t>
            </w:r>
          </w:p>
        </w:tc>
        <w:tc>
          <w:tcPr>
            <w:tcW w:w="1060" w:type="dxa"/>
            <w:vAlign w:val="bottom"/>
          </w:tcPr>
          <w:p>
            <w:pPr>
              <w:jc w:val="right"/>
              <w:spacing w:after="0"/>
              <w:rPr>
                <w:sz w:val="20"/>
                <w:szCs w:val="20"/>
                <w:color w:val="auto"/>
              </w:rPr>
            </w:pPr>
            <w:r>
              <w:rPr>
                <w:rFonts w:ascii="Arial" w:cs="Arial" w:eastAsia="Arial" w:hAnsi="Arial"/>
                <w:sz w:val="16"/>
                <w:szCs w:val="16"/>
                <w:color w:val="auto"/>
              </w:rPr>
              <w:t>2,206,618</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2,174,891</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2,175,581</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060" w:type="dxa"/>
            <w:vAlign w:val="bottom"/>
          </w:tcPr>
          <w:p>
            <w:pPr>
              <w:jc w:val="right"/>
              <w:spacing w:after="0"/>
              <w:rPr>
                <w:sz w:val="20"/>
                <w:szCs w:val="20"/>
                <w:color w:val="auto"/>
              </w:rPr>
            </w:pPr>
            <w:r>
              <w:rPr>
                <w:rFonts w:ascii="Arial" w:cs="Arial" w:eastAsia="Arial" w:hAnsi="Arial"/>
                <w:sz w:val="16"/>
                <w:szCs w:val="16"/>
                <w:color w:val="auto"/>
              </w:rPr>
              <w:t>16,265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13,948</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jc w:val="right"/>
              <w:spacing w:after="0"/>
              <w:rPr>
                <w:sz w:val="20"/>
                <w:szCs w:val="20"/>
                <w:color w:val="auto"/>
              </w:rPr>
            </w:pPr>
            <w:r>
              <w:rPr>
                <w:rFonts w:ascii="Arial" w:cs="Arial" w:eastAsia="Arial" w:hAnsi="Arial"/>
                <w:sz w:val="16"/>
                <w:szCs w:val="16"/>
                <w:color w:val="auto"/>
              </w:rPr>
              <w:t>2,691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2,171</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03"/>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103,736</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119,816</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125,728</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141,581</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2,333,048</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2,317,162</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w w:val="96"/>
              </w:rPr>
              <w:t>Common unitholders (47,517,824 units issued and outstanding as of December 31, 2020 and 50,722,201 units</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issued and outstanding as of June 30, 2021)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637,843</w:t>
            </w:r>
          </w:p>
        </w:tc>
      </w:tr>
      <w:tr>
        <w:trPr>
          <w:trHeight w:val="193"/>
        </w:trPr>
        <w:tc>
          <w:tcPr>
            <w:tcW w:w="7540" w:type="dxa"/>
            <w:vAlign w:val="bottom"/>
          </w:tcPr>
          <w:p>
            <w:pPr>
              <w:spacing w:after="0"/>
              <w:rPr>
                <w:sz w:val="20"/>
                <w:szCs w:val="20"/>
                <w:color w:val="auto"/>
              </w:rPr>
            </w:pPr>
            <w:r>
              <w:rPr>
                <w:rFonts w:ascii="Arial" w:cs="Arial" w:eastAsia="Arial" w:hAnsi="Arial"/>
                <w:sz w:val="16"/>
                <w:szCs w:val="16"/>
                <w:color w:val="auto"/>
                <w:w w:val="96"/>
              </w:rPr>
              <w:t>General partner (1,021,336 units issued and outstanding as of December 31, 2020 and 1,077,494 units issued</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7540" w:type="dxa"/>
            <w:vAlign w:val="bottom"/>
          </w:tcPr>
          <w:p>
            <w:pPr>
              <w:ind w:left="140"/>
              <w:spacing w:after="0"/>
              <w:rPr>
                <w:sz w:val="20"/>
                <w:szCs w:val="20"/>
                <w:color w:val="auto"/>
              </w:rPr>
            </w:pPr>
            <w:r>
              <w:rPr>
                <w:rFonts w:ascii="Arial" w:cs="Arial" w:eastAsia="Arial" w:hAnsi="Arial"/>
                <w:sz w:val="16"/>
                <w:szCs w:val="16"/>
                <w:color w:val="auto"/>
              </w:rPr>
              <w:t>and outstanding as of June 30, 2021)</w:t>
            </w:r>
          </w:p>
        </w:tc>
        <w:tc>
          <w:tcPr>
            <w:tcW w:w="1060" w:type="dxa"/>
            <w:vAlign w:val="bottom"/>
          </w:tcPr>
          <w:p>
            <w:pPr>
              <w:jc w:val="right"/>
              <w:spacing w:after="0"/>
              <w:rPr>
                <w:sz w:val="20"/>
                <w:szCs w:val="20"/>
                <w:color w:val="auto"/>
              </w:rPr>
            </w:pPr>
            <w:r>
              <w:rPr>
                <w:rFonts w:ascii="Arial" w:cs="Arial" w:eastAsia="Arial" w:hAnsi="Arial"/>
                <w:sz w:val="16"/>
                <w:szCs w:val="16"/>
                <w:color w:val="auto"/>
              </w:rPr>
              <w:t>11,028</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11,949</w:t>
            </w:r>
          </w:p>
        </w:tc>
      </w:tr>
      <w:tr>
        <w:trPr>
          <w:trHeight w:val="199"/>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Preference unitholders (5,750,000 Series A Preference Units, 4,600,000 Series B Preference Units and</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4,000,000 Series C Preference Units issued and outstanding as of December 31, 2020 and June 30,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347,889</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347,889</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953,818</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997,681</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060" w:type="dxa"/>
            <w:vAlign w:val="bottom"/>
          </w:tcPr>
          <w:p>
            <w:pPr>
              <w:jc w:val="right"/>
              <w:spacing w:after="0"/>
              <w:rPr>
                <w:sz w:val="20"/>
                <w:szCs w:val="20"/>
                <w:color w:val="auto"/>
              </w:rPr>
            </w:pPr>
            <w:r>
              <w:rPr>
                <w:rFonts w:ascii="Arial" w:cs="Arial" w:eastAsia="Arial" w:hAnsi="Arial"/>
                <w:sz w:val="16"/>
                <w:szCs w:val="16"/>
                <w:color w:val="auto"/>
              </w:rPr>
              <w:t>13,578</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13,222</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Derivative financial instruments-current portion</w:t>
            </w:r>
          </w:p>
        </w:tc>
        <w:tc>
          <w:tcPr>
            <w:tcW w:w="1060" w:type="dxa"/>
            <w:vAlign w:val="bottom"/>
          </w:tcPr>
          <w:p>
            <w:pPr>
              <w:jc w:val="right"/>
              <w:spacing w:after="0"/>
              <w:rPr>
                <w:sz w:val="20"/>
                <w:szCs w:val="20"/>
                <w:color w:val="auto"/>
              </w:rPr>
            </w:pPr>
            <w:r>
              <w:rPr>
                <w:rFonts w:ascii="Arial" w:cs="Arial" w:eastAsia="Arial" w:hAnsi="Arial"/>
                <w:sz w:val="16"/>
                <w:szCs w:val="16"/>
                <w:color w:val="auto"/>
              </w:rPr>
              <w:t>8,185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7,632</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accruals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55,447</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1060" w:type="dxa"/>
            <w:vAlign w:val="bottom"/>
          </w:tcPr>
          <w:p>
            <w:pPr>
              <w:jc w:val="right"/>
              <w:spacing w:after="0"/>
              <w:rPr>
                <w:sz w:val="20"/>
                <w:szCs w:val="20"/>
                <w:color w:val="auto"/>
              </w:rPr>
            </w:pPr>
            <w:r>
              <w:rPr>
                <w:rFonts w:ascii="Arial" w:cs="Arial" w:eastAsia="Arial" w:hAnsi="Arial"/>
                <w:sz w:val="16"/>
                <w:szCs w:val="16"/>
                <w:color w:val="auto"/>
              </w:rPr>
              <w:t>104,908</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105,065</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liabilities—current portion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185,207</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183,195</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1060" w:type="dxa"/>
            <w:vAlign w:val="bottom"/>
          </w:tcPr>
          <w:p>
            <w:pPr>
              <w:jc w:val="right"/>
              <w:spacing w:after="0"/>
              <w:rPr>
                <w:sz w:val="20"/>
                <w:szCs w:val="20"/>
                <w:color w:val="auto"/>
              </w:rPr>
            </w:pPr>
            <w:r>
              <w:rPr>
                <w:rFonts w:ascii="Arial" w:cs="Arial" w:eastAsia="Arial" w:hAnsi="Arial"/>
                <w:sz w:val="16"/>
                <w:szCs w:val="16"/>
                <w:color w:val="auto"/>
              </w:rPr>
              <w:t>12,152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7,136</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Borrowings—non-current portion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1,180,635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1,128,079</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1060" w:type="dxa"/>
            <w:vAlign w:val="bottom"/>
          </w:tcPr>
          <w:p>
            <w:pPr>
              <w:jc w:val="right"/>
              <w:spacing w:after="0"/>
              <w:rPr>
                <w:sz w:val="20"/>
                <w:szCs w:val="20"/>
                <w:color w:val="auto"/>
              </w:rPr>
            </w:pPr>
            <w:r>
              <w:rPr>
                <w:rFonts w:ascii="Arial" w:cs="Arial" w:eastAsia="Arial" w:hAnsi="Arial"/>
                <w:sz w:val="16"/>
                <w:szCs w:val="16"/>
                <w:color w:val="auto"/>
              </w:rPr>
              <w:t>112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1,194,023</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1,136,286</w:t>
            </w:r>
          </w:p>
        </w:tc>
      </w:tr>
      <w:tr>
        <w:trPr>
          <w:trHeight w:val="19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2,333,048</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2,317,162</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2420" w:type="dxa"/>
            <w:vAlign w:val="bottom"/>
            <w:gridSpan w:val="4"/>
          </w:tcPr>
          <w:p>
            <w:pPr>
              <w:ind w:left="34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June 30, 2020</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June 30, 2021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84,448</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70,352</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175,801</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(2,782)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(1,852)</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(6,670)</w:t>
            </w:r>
          </w:p>
        </w:tc>
        <w:tc>
          <w:tcPr>
            <w:tcW w:w="1080" w:type="dxa"/>
            <w:vAlign w:val="bottom"/>
          </w:tcPr>
          <w:p>
            <w:pPr>
              <w:jc w:val="right"/>
              <w:spacing w:after="0"/>
              <w:rPr>
                <w:sz w:val="20"/>
                <w:szCs w:val="20"/>
                <w:color w:val="auto"/>
              </w:rPr>
            </w:pPr>
            <w:r>
              <w:rPr>
                <w:rFonts w:ascii="Arial" w:cs="Arial" w:eastAsia="Arial" w:hAnsi="Arial"/>
                <w:sz w:val="16"/>
                <w:szCs w:val="16"/>
                <w:color w:val="auto"/>
              </w:rPr>
              <w:t>(3,931)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(16,895)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(20,044)</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(35,988)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Depreciation</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(20,675)</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(20,798)</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(41,273)</w:t>
            </w:r>
          </w:p>
        </w:tc>
        <w:tc>
          <w:tcPr>
            <w:tcW w:w="1080" w:type="dxa"/>
            <w:vAlign w:val="bottom"/>
          </w:tcPr>
          <w:p>
            <w:pPr>
              <w:jc w:val="right"/>
              <w:spacing w:after="0"/>
              <w:rPr>
                <w:sz w:val="20"/>
                <w:szCs w:val="20"/>
                <w:color w:val="auto"/>
              </w:rPr>
            </w:pPr>
            <w:r>
              <w:rPr>
                <w:rFonts w:ascii="Arial" w:cs="Arial" w:eastAsia="Arial" w:hAnsi="Arial"/>
                <w:sz w:val="16"/>
                <w:szCs w:val="16"/>
                <w:color w:val="auto"/>
              </w:rPr>
              <w:t>(41,484)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(4,421)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(3,488)</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(8,592)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(18,841)</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(18,841)</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from operations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20,834</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24,170</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64,437</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060" w:type="dxa"/>
            <w:vAlign w:val="bottom"/>
          </w:tcPr>
          <w:p>
            <w:pPr>
              <w:jc w:val="right"/>
              <w:spacing w:after="0"/>
              <w:rPr>
                <w:sz w:val="20"/>
                <w:szCs w:val="20"/>
                <w:color w:val="auto"/>
              </w:rPr>
            </w:pPr>
            <w:r>
              <w:rPr>
                <w:rFonts w:ascii="Arial" w:cs="Arial" w:eastAsia="Arial" w:hAnsi="Arial"/>
                <w:sz w:val="16"/>
                <w:szCs w:val="16"/>
                <w:color w:val="auto"/>
              </w:rPr>
              <w:t>(13,067)</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(9,115)</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(28,580)</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060" w:type="dxa"/>
            <w:vAlign w:val="bottom"/>
          </w:tcPr>
          <w:p>
            <w:pPr>
              <w:jc w:val="right"/>
              <w:spacing w:after="0"/>
              <w:rPr>
                <w:sz w:val="20"/>
                <w:szCs w:val="20"/>
                <w:color w:val="auto"/>
              </w:rPr>
            </w:pPr>
            <w:r>
              <w:rPr>
                <w:rFonts w:ascii="Arial" w:cs="Arial" w:eastAsia="Arial" w:hAnsi="Arial"/>
                <w:sz w:val="16"/>
                <w:szCs w:val="16"/>
                <w:color w:val="auto"/>
              </w:rPr>
              <w:t>369</w:t>
            </w:r>
          </w:p>
        </w:tc>
        <w:tc>
          <w:tcPr>
            <w:tcW w:w="2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(403)</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(13,751)</w:t>
            </w:r>
          </w:p>
        </w:tc>
        <w:tc>
          <w:tcPr>
            <w:tcW w:w="1080" w:type="dxa"/>
            <w:vAlign w:val="bottom"/>
          </w:tcPr>
          <w:p>
            <w:pPr>
              <w:jc w:val="right"/>
              <w:spacing w:after="0"/>
              <w:rPr>
                <w:sz w:val="20"/>
                <w:szCs w:val="20"/>
                <w:color w:val="auto"/>
              </w:rPr>
            </w:pPr>
            <w:r>
              <w:rPr>
                <w:rFonts w:ascii="Arial" w:cs="Arial" w:eastAsia="Arial" w:hAnsi="Arial"/>
                <w:sz w:val="16"/>
                <w:szCs w:val="16"/>
                <w:color w:val="auto"/>
              </w:rPr>
              <w:t>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(12,621)</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(9,507)</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(42,055)</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8,213</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14,663</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22,382</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Common unit, basic</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6"/>
                <w:szCs w:val="16"/>
                <w:color w:val="auto"/>
              </w:rPr>
              <w:t>Common unit, diluted</w:t>
            </w: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0.14</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0.14</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23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For the six months ended</w:t>
            </w:r>
          </w:p>
        </w:tc>
      </w:tr>
      <w:tr>
        <w:trPr>
          <w:trHeight w:val="203"/>
        </w:trPr>
        <w:tc>
          <w:tcPr>
            <w:tcW w:w="7540" w:type="dxa"/>
            <w:vAlign w:val="bottom"/>
          </w:tcPr>
          <w:p>
            <w:pPr>
              <w:spacing w:after="0"/>
              <w:rPr>
                <w:sz w:val="17"/>
                <w:szCs w:val="17"/>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5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202"/>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Profit for the period</w:t>
            </w:r>
          </w:p>
        </w:tc>
        <w:tc>
          <w:tcPr>
            <w:tcW w:w="1060" w:type="dxa"/>
            <w:vAlign w:val="bottom"/>
          </w:tcPr>
          <w:p>
            <w:pPr>
              <w:jc w:val="right"/>
              <w:spacing w:after="0"/>
              <w:rPr>
                <w:sz w:val="20"/>
                <w:szCs w:val="20"/>
                <w:color w:val="auto"/>
              </w:rPr>
            </w:pPr>
            <w:r>
              <w:rPr>
                <w:rFonts w:ascii="Arial" w:cs="Arial" w:eastAsia="Arial" w:hAnsi="Arial"/>
                <w:sz w:val="16"/>
                <w:szCs w:val="16"/>
                <w:color w:val="auto"/>
              </w:rPr>
              <w:t>22,382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50,023</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Depreciation</w:t>
            </w:r>
          </w:p>
        </w:tc>
        <w:tc>
          <w:tcPr>
            <w:tcW w:w="1060" w:type="dxa"/>
            <w:vAlign w:val="bottom"/>
          </w:tcPr>
          <w:p>
            <w:pPr>
              <w:jc w:val="right"/>
              <w:spacing w:after="0"/>
              <w:rPr>
                <w:sz w:val="20"/>
                <w:szCs w:val="20"/>
                <w:color w:val="auto"/>
              </w:rPr>
            </w:pPr>
            <w:r>
              <w:rPr>
                <w:rFonts w:ascii="Arial" w:cs="Arial" w:eastAsia="Arial" w:hAnsi="Arial"/>
                <w:sz w:val="16"/>
                <w:szCs w:val="16"/>
                <w:color w:val="auto"/>
              </w:rPr>
              <w:t>41,273</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41,484</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Financial costs</w:t>
            </w:r>
          </w:p>
        </w:tc>
        <w:tc>
          <w:tcPr>
            <w:tcW w:w="1060" w:type="dxa"/>
            <w:vAlign w:val="bottom"/>
          </w:tcPr>
          <w:p>
            <w:pPr>
              <w:jc w:val="right"/>
              <w:spacing w:after="0"/>
              <w:rPr>
                <w:sz w:val="20"/>
                <w:szCs w:val="20"/>
                <w:color w:val="auto"/>
              </w:rPr>
            </w:pPr>
            <w:r>
              <w:rPr>
                <w:rFonts w:ascii="Arial" w:cs="Arial" w:eastAsia="Arial" w:hAnsi="Arial"/>
                <w:sz w:val="16"/>
                <w:szCs w:val="16"/>
                <w:color w:val="auto"/>
              </w:rPr>
              <w:t>28,580</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18,531</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Loss/(gain) on derivatives (excluding realized loss on forward foreign exchange contracts held for trading)</w:t>
            </w:r>
          </w:p>
        </w:tc>
        <w:tc>
          <w:tcPr>
            <w:tcW w:w="1060" w:type="dxa"/>
            <w:vAlign w:val="bottom"/>
          </w:tcPr>
          <w:p>
            <w:pPr>
              <w:jc w:val="right"/>
              <w:spacing w:after="0"/>
              <w:rPr>
                <w:sz w:val="20"/>
                <w:szCs w:val="20"/>
                <w:color w:val="auto"/>
              </w:rPr>
            </w:pPr>
            <w:r>
              <w:rPr>
                <w:rFonts w:ascii="Arial" w:cs="Arial" w:eastAsia="Arial" w:hAnsi="Arial"/>
                <w:sz w:val="16"/>
                <w:szCs w:val="16"/>
                <w:color w:val="auto"/>
              </w:rPr>
              <w:t>13,342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196"/>
        </w:trPr>
        <w:tc>
          <w:tcPr>
            <w:tcW w:w="7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124,801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109,266</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(14,743)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110,058</w:t>
            </w:r>
          </w:p>
        </w:tc>
        <w:tc>
          <w:tcPr>
            <w:tcW w:w="2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113,017</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Payments for tangible fixed assets additions</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(12,027)</w:t>
            </w:r>
          </w:p>
        </w:tc>
        <w:tc>
          <w:tcPr>
            <w:tcW w:w="1080" w:type="dxa"/>
            <w:vAlign w:val="bottom"/>
          </w:tcPr>
          <w:p>
            <w:pPr>
              <w:jc w:val="right"/>
              <w:spacing w:after="0"/>
              <w:rPr>
                <w:sz w:val="20"/>
                <w:szCs w:val="20"/>
                <w:color w:val="auto"/>
              </w:rPr>
            </w:pPr>
            <w:r>
              <w:rPr>
                <w:rFonts w:ascii="Arial" w:cs="Arial" w:eastAsia="Arial" w:hAnsi="Arial"/>
                <w:sz w:val="16"/>
                <w:szCs w:val="16"/>
                <w:color w:val="auto"/>
              </w:rPr>
              <w:t>(12,241)</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received</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19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(11,720)</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(14,718)</w:t>
            </w:r>
          </w:p>
        </w:tc>
      </w:tr>
      <w:tr>
        <w:trPr>
          <w:trHeight w:val="190"/>
        </w:trPr>
        <w:tc>
          <w:tcPr>
            <w:tcW w:w="75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8"/>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Borrowings drawdowns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Borrowings repayments</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(55,805)</w:t>
            </w:r>
          </w:p>
        </w:tc>
        <w:tc>
          <w:tcPr>
            <w:tcW w:w="1080" w:type="dxa"/>
            <w:vAlign w:val="bottom"/>
          </w:tcPr>
          <w:p>
            <w:pPr>
              <w:jc w:val="right"/>
              <w:spacing w:after="0"/>
              <w:rPr>
                <w:sz w:val="20"/>
                <w:szCs w:val="20"/>
                <w:color w:val="auto"/>
              </w:rPr>
            </w:pPr>
            <w:r>
              <w:rPr>
                <w:rFonts w:ascii="Arial" w:cs="Arial" w:eastAsia="Arial" w:hAnsi="Arial"/>
                <w:sz w:val="16"/>
                <w:szCs w:val="16"/>
                <w:color w:val="auto"/>
              </w:rPr>
              <w:t>(54,838)</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(28,834)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(21,384)</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Payments of cash collateral for interest rate swaps</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(15,000)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(189)</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w w:val="99"/>
              </w:rPr>
              <w:t>Proceeds from public offerings of common units and issuances of general partner units (net of underwriting</w:t>
            </w: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discounts and commissions)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(996)</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Payment of offering costs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7540" w:type="dxa"/>
            <w:vAlign w:val="bottom"/>
          </w:tcPr>
          <w:p>
            <w:pPr>
              <w:spacing w:after="0"/>
              <w:rPr>
                <w:sz w:val="20"/>
                <w:szCs w:val="20"/>
                <w:color w:val="auto"/>
              </w:rPr>
            </w:pPr>
            <w:r>
              <w:rPr>
                <w:rFonts w:ascii="Arial" w:cs="Arial" w:eastAsia="Arial" w:hAnsi="Arial"/>
                <w:sz w:val="16"/>
                <w:szCs w:val="16"/>
                <w:color w:val="auto"/>
              </w:rPr>
              <w:t>Distributions paid</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(47,885)</w:t>
            </w:r>
          </w:p>
        </w:tc>
        <w:tc>
          <w:tcPr>
            <w:tcW w:w="1080" w:type="dxa"/>
            <w:vAlign w:val="bottom"/>
          </w:tcPr>
          <w:p>
            <w:pPr>
              <w:jc w:val="right"/>
              <w:spacing w:after="0"/>
              <w:rPr>
                <w:sz w:val="20"/>
                <w:szCs w:val="20"/>
                <w:color w:val="auto"/>
              </w:rPr>
            </w:pPr>
            <w:r>
              <w:rPr>
                <w:rFonts w:ascii="Arial" w:cs="Arial" w:eastAsia="Arial" w:hAnsi="Arial"/>
                <w:sz w:val="16"/>
                <w:szCs w:val="16"/>
                <w:color w:val="auto"/>
              </w:rPr>
              <w:t>(16,134)</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Payments for lease liabilities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(123,012)</w:t>
            </w:r>
          </w:p>
        </w:tc>
        <w:tc>
          <w:tcPr>
            <w:tcW w:w="2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(82,219)</w:t>
            </w:r>
          </w:p>
        </w:tc>
      </w:tr>
      <w:tr>
        <w:trPr>
          <w:trHeight w:val="196"/>
        </w:trPr>
        <w:tc>
          <w:tcPr>
            <w:tcW w:w="7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(24,674)</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16,080</w:t>
            </w:r>
          </w:p>
        </w:tc>
      </w:tr>
      <w:tr>
        <w:trPr>
          <w:trHeight w:val="196"/>
        </w:trPr>
        <w:tc>
          <w:tcPr>
            <w:tcW w:w="7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103,736</w:t>
            </w:r>
          </w:p>
        </w:tc>
      </w:tr>
      <w:tr>
        <w:trPr>
          <w:trHeight w:val="19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72,210</w:t>
            </w: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119,816</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5"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color w:val="auto"/>
        </w:rPr>
        <w:t>EBITDA is defined as earnings before financial income and costs, gain/loss on derivatives, taxes, depreciation and amortization. Adjusted EBITDA is defined as EBITDA before impairment loss on vessels and restructuring costs. Adjusted Profit represents earnings before (a) non-cash gain/loss on derivatives that includes unrealized gain/loss on derivatives held for trading, (b) write-off and accelerated amortization of unamortized loan fees,</w:t>
      </w:r>
    </w:p>
    <w:p>
      <w:pPr>
        <w:spacing w:after="0" w:line="1" w:lineRule="exact"/>
        <w:rPr>
          <w:sz w:val="20"/>
          <w:szCs w:val="20"/>
          <w:color w:val="auto"/>
        </w:rPr>
      </w:pPr>
    </w:p>
    <w:p>
      <w:pPr>
        <w:ind w:right="20" w:firstLine="8"/>
        <w:spacing w:after="0" w:line="284"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impairment loss on vessels and (d) restructuring costs. Adjusted EPU, represents Adjusted Profit (as defined above), after deducting preference unit distributions,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Profit and Adjusted EPU, non-cash gain/loss on derivatives, write-off and accelerated amortization of unamortized loan fees,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 and Adjusted EBITDA:</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1"/>
        </w:trPr>
        <w:tc>
          <w:tcPr>
            <w:tcW w:w="49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7"/>
        </w:trPr>
        <w:tc>
          <w:tcPr>
            <w:tcW w:w="4960" w:type="dxa"/>
            <w:vAlign w:val="bottom"/>
          </w:tcPr>
          <w:p>
            <w:pPr>
              <w:spacing w:after="0"/>
              <w:rPr>
                <w:sz w:val="24"/>
                <w:szCs w:val="24"/>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24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49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4"/>
              </w:rPr>
              <w:t>June 30, 2021</w:t>
            </w:r>
          </w:p>
        </w:tc>
      </w:tr>
      <w:tr>
        <w:trPr>
          <w:trHeight w:val="19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14,663</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22,382</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50,023</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Depreciation</w:t>
            </w:r>
          </w:p>
        </w:tc>
        <w:tc>
          <w:tcPr>
            <w:tcW w:w="1060" w:type="dxa"/>
            <w:vAlign w:val="bottom"/>
          </w:tcPr>
          <w:p>
            <w:pPr>
              <w:jc w:val="right"/>
              <w:spacing w:after="0"/>
              <w:rPr>
                <w:sz w:val="20"/>
                <w:szCs w:val="20"/>
                <w:color w:val="auto"/>
              </w:rPr>
            </w:pPr>
            <w:r>
              <w:rPr>
                <w:rFonts w:ascii="Arial" w:cs="Arial" w:eastAsia="Arial" w:hAnsi="Arial"/>
                <w:sz w:val="16"/>
                <w:szCs w:val="16"/>
                <w:color w:val="auto"/>
              </w:rPr>
              <w:t>20,675</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20,798</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41,273</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41,484</w:t>
            </w: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13,067</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9,115</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28,580</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18,531</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Financial income</w:t>
            </w: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2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13,751</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196"/>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EBITDA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41,509</w:t>
            </w:r>
          </w:p>
        </w:tc>
        <w:tc>
          <w:tcPr>
            <w:tcW w:w="2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44,968</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105,710</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109,099</w:t>
            </w: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2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2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196"/>
        </w:trPr>
        <w:tc>
          <w:tcPr>
            <w:tcW w:w="49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60,350</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44,968</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124,551</w:t>
            </w: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109,099</w:t>
            </w:r>
          </w:p>
        </w:tc>
      </w:tr>
      <w:tr>
        <w:trPr>
          <w:trHeight w:val="20"/>
        </w:trPr>
        <w:tc>
          <w:tcPr>
            <w:tcW w:w="4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9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960" w:type="dxa"/>
            <w:vAlign w:val="bottom"/>
          </w:tcPr>
          <w:p>
            <w:pPr>
              <w:spacing w:after="0"/>
              <w:rPr>
                <w:sz w:val="24"/>
                <w:szCs w:val="24"/>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24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June 30, 2020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4"/>
              </w:rPr>
              <w:t>June 30, 2021</w:t>
            </w:r>
          </w:p>
        </w:tc>
        <w:tc>
          <w:tcPr>
            <w:tcW w:w="0" w:type="dxa"/>
            <w:vAlign w:val="bottom"/>
          </w:tcPr>
          <w:p>
            <w:pPr>
              <w:spacing w:after="0"/>
              <w:rPr>
                <w:sz w:val="1"/>
                <w:szCs w:val="1"/>
                <w:color w:val="auto"/>
              </w:rPr>
            </w:pPr>
          </w:p>
        </w:tc>
      </w:tr>
      <w:tr>
        <w:trPr>
          <w:trHeight w:val="19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Profit for the period</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8,213</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14,663</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22,382</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50,023</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060" w:type="dxa"/>
            <w:vAlign w:val="bottom"/>
          </w:tcPr>
          <w:p>
            <w:pPr>
              <w:jc w:val="right"/>
              <w:spacing w:after="0"/>
              <w:rPr>
                <w:sz w:val="20"/>
                <w:szCs w:val="20"/>
                <w:color w:val="auto"/>
              </w:rPr>
            </w:pPr>
            <w:r>
              <w:rPr>
                <w:rFonts w:ascii="Arial" w:cs="Arial" w:eastAsia="Arial" w:hAnsi="Arial"/>
                <w:sz w:val="16"/>
                <w:szCs w:val="16"/>
                <w:color w:val="auto"/>
              </w:rPr>
              <w:t>(1,435)</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(1,962)</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12,217</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25,619</w:t>
            </w:r>
          </w:p>
        </w:tc>
        <w:tc>
          <w:tcPr>
            <w:tcW w:w="2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12,701</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53,440</w:t>
            </w:r>
          </w:p>
        </w:tc>
        <w:tc>
          <w:tcPr>
            <w:tcW w:w="2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44,454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Profit to EPU and Adjusted EPU:</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96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b w:val="1"/>
                <w:bCs w:val="1"/>
                <w:i w:val="1"/>
                <w:iCs w:val="1"/>
                <w:color w:val="auto"/>
              </w:rPr>
              <w:t>except unit and per unit amounts)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4960" w:type="dxa"/>
            <w:vAlign w:val="bottom"/>
          </w:tcPr>
          <w:p>
            <w:pPr>
              <w:spacing w:after="0"/>
              <w:rPr>
                <w:sz w:val="24"/>
                <w:szCs w:val="24"/>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24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June 30, 2020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4"/>
              </w:rPr>
              <w:t>June 30, 2021</w:t>
            </w:r>
          </w:p>
        </w:tc>
        <w:tc>
          <w:tcPr>
            <w:tcW w:w="0" w:type="dxa"/>
            <w:vAlign w:val="bottom"/>
          </w:tcPr>
          <w:p>
            <w:pPr>
              <w:spacing w:after="0"/>
              <w:rPr>
                <w:sz w:val="1"/>
                <w:szCs w:val="1"/>
                <w:color w:val="auto"/>
              </w:rPr>
            </w:pPr>
          </w:p>
        </w:tc>
      </w:tr>
      <w:tr>
        <w:trPr>
          <w:trHeight w:val="202"/>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8,213</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14,663</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50,023</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Adjustment for:</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Paid and accrued preference unit distributions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(7,582)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(7,582)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(15,164)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22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7,081</w:t>
            </w:r>
          </w:p>
        </w:tc>
        <w:tc>
          <w:tcPr>
            <w:tcW w:w="2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7,218</w:t>
            </w:r>
          </w:p>
        </w:tc>
        <w:tc>
          <w:tcPr>
            <w:tcW w:w="2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34,859</w:t>
            </w:r>
          </w:p>
        </w:tc>
        <w:tc>
          <w:tcPr>
            <w:tcW w:w="0" w:type="dxa"/>
            <w:vAlign w:val="bottom"/>
          </w:tcPr>
          <w:p>
            <w:pPr>
              <w:spacing w:after="0"/>
              <w:rPr>
                <w:sz w:val="1"/>
                <w:szCs w:val="1"/>
                <w:color w:val="auto"/>
              </w:rPr>
            </w:pPr>
          </w:p>
        </w:tc>
      </w:tr>
      <w:tr>
        <w:trPr>
          <w:trHeight w:val="183"/>
        </w:trPr>
        <w:tc>
          <w:tcPr>
            <w:tcW w:w="49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Common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7,063</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34,127</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Common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46,713,991</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48,161,285</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46,739,034</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47,841,332</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1,021,953</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1,021,646</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b w:val="1"/>
                <w:bCs w:val="1"/>
                <w:color w:val="auto"/>
              </w:rPr>
              <w:t>EPU (basic)</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Common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0.14</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347"/>
        </w:trPr>
        <w:tc>
          <w:tcPr>
            <w:tcW w:w="4960" w:type="dxa"/>
            <w:vAlign w:val="bottom"/>
          </w:tcPr>
          <w:p>
            <w:pPr>
              <w:spacing w:after="0"/>
              <w:rPr>
                <w:sz w:val="24"/>
                <w:szCs w:val="24"/>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24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June 30, 2020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4"/>
              </w:rPr>
              <w:t>June 30, 2021</w:t>
            </w:r>
          </w:p>
        </w:tc>
        <w:tc>
          <w:tcPr>
            <w:tcW w:w="0" w:type="dxa"/>
            <w:vAlign w:val="bottom"/>
          </w:tcPr>
          <w:p>
            <w:pPr>
              <w:spacing w:after="0"/>
              <w:rPr>
                <w:sz w:val="1"/>
                <w:szCs w:val="1"/>
                <w:color w:val="auto"/>
              </w:rPr>
            </w:pPr>
          </w:p>
        </w:tc>
      </w:tr>
      <w:tr>
        <w:trPr>
          <w:trHeight w:val="202"/>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8,213</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14,663</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50,023</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Adjustment for:</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Paid and accrued preference unit distributions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(7,582)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(7,582)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(15,164)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Partnership’s profit used in EPU calculation</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2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7,081</w:t>
            </w:r>
          </w:p>
        </w:tc>
        <w:tc>
          <w:tcPr>
            <w:tcW w:w="2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7,218</w:t>
            </w:r>
          </w:p>
        </w:tc>
        <w:tc>
          <w:tcPr>
            <w:tcW w:w="2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34,859</w:t>
            </w:r>
          </w:p>
        </w:tc>
        <w:tc>
          <w:tcPr>
            <w:tcW w:w="0" w:type="dxa"/>
            <w:vAlign w:val="bottom"/>
          </w:tcPr>
          <w:p>
            <w:pPr>
              <w:spacing w:after="0"/>
              <w:rPr>
                <w:sz w:val="1"/>
                <w:szCs w:val="1"/>
                <w:color w:val="auto"/>
              </w:rPr>
            </w:pP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Non-cash (gain)/loss on derivatives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12,217</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060" w:type="dxa"/>
            <w:vAlign w:val="bottom"/>
          </w:tcPr>
          <w:p>
            <w:pPr>
              <w:jc w:val="right"/>
              <w:spacing w:after="0"/>
              <w:rPr>
                <w:sz w:val="20"/>
                <w:szCs w:val="20"/>
                <w:color w:val="auto"/>
              </w:rPr>
            </w:pPr>
            <w:r>
              <w:rPr>
                <w:rFonts w:ascii="Arial" w:cs="Arial" w:eastAsia="Arial" w:hAnsi="Arial"/>
                <w:sz w:val="16"/>
                <w:szCs w:val="16"/>
                <w:color w:val="auto"/>
              </w:rPr>
              <w:t>18,841</w:t>
            </w:r>
          </w:p>
        </w:tc>
        <w:tc>
          <w:tcPr>
            <w:tcW w:w="22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18,841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9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9"/>
              </w:rPr>
              <w:t>Adjusted Partnership’s profit used in EPU calculation attributable</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18,037</w:t>
            </w:r>
          </w:p>
        </w:tc>
        <w:tc>
          <w:tcPr>
            <w:tcW w:w="2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5,119</w:t>
            </w:r>
          </w:p>
        </w:tc>
        <w:tc>
          <w:tcPr>
            <w:tcW w:w="2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38,276</w:t>
            </w:r>
          </w:p>
        </w:tc>
        <w:tc>
          <w:tcPr>
            <w:tcW w:w="2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29,290</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w:t>
            </w: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6"/>
                <w:szCs w:val="16"/>
                <w:color w:val="auto"/>
              </w:rPr>
              <w:t>Common units</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17,650</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5,013</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37,455</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28,675</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Common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46,713,991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48,161,285</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46,739,034</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47,841,332</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General partner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1,021,336</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1,021,953</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1,021,336</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1,021,646</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EPU (basic)</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Common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0.10</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0.80</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Six Months Ended June 30, 2021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171" w:lineRule="exact"/>
        <w:rPr>
          <w:sz w:val="20"/>
          <w:szCs w:val="20"/>
          <w:color w:val="auto"/>
        </w:rPr>
      </w:pPr>
    </w:p>
    <w:p>
      <w:pPr>
        <w:ind w:firstLine="401"/>
        <w:spacing w:after="0" w:line="288" w:lineRule="auto"/>
        <w:rPr>
          <w:sz w:val="20"/>
          <w:szCs w:val="20"/>
          <w:color w:val="auto"/>
        </w:rPr>
      </w:pPr>
      <w:r>
        <w:rPr>
          <w:rFonts w:ascii="Arial" w:cs="Arial" w:eastAsia="Arial" w:hAnsi="Arial"/>
          <w:sz w:val="15"/>
          <w:szCs w:val="15"/>
          <w:color w:val="auto"/>
        </w:rPr>
        <w:t>The following is a discussion of our financial condition and results of operations for the three-and six-month periods ended June 30, 2021 and June 30, 2020.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2, 2021.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58" w:lineRule="exact"/>
        <w:rPr>
          <w:sz w:val="20"/>
          <w:szCs w:val="20"/>
          <w:color w:val="auto"/>
        </w:rPr>
      </w:pPr>
    </w:p>
    <w:p>
      <w:pPr>
        <w:ind w:right="40" w:firstLine="401"/>
        <w:spacing w:after="0" w:line="267"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changes to our cash distributions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154" w:lineRule="exact"/>
        <w:rPr>
          <w:sz w:val="20"/>
          <w:szCs w:val="20"/>
          <w:color w:val="auto"/>
        </w:rPr>
      </w:pPr>
    </w:p>
    <w:p>
      <w:pPr>
        <w:ind w:left="660" w:right="100" w:hanging="328"/>
        <w:spacing w:after="0" w:line="255"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60" w:right="140" w:hanging="328"/>
        <w:spacing w:after="0" w:line="255"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5"/>
          <w:szCs w:val="15"/>
          <w:color w:val="auto"/>
        </w:rPr>
        <w:t>number of off-hire days and dry-docking requirements, including our ability to complete scheduled dry-dockings on time and within budget;</w:t>
      </w:r>
    </w:p>
    <w:p>
      <w:pPr>
        <w:spacing w:after="0" w:line="19" w:lineRule="exact"/>
        <w:rPr>
          <w:rFonts w:ascii="Arial" w:cs="Arial" w:eastAsia="Arial" w:hAnsi="Arial"/>
          <w:sz w:val="17"/>
          <w:szCs w:val="17"/>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the Euro;</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Ltd. (“GasLog”) or by acquiring other assets from third parties;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4"/>
          <w:szCs w:val="14"/>
          <w:color w:val="auto"/>
        </w:rPr>
        <w:t>the ability of GasLog to maintain long-term relationships with major energy companies and major LNG producers, marketers and consumers;</w:t>
      </w:r>
    </w:p>
    <w:p>
      <w:pPr>
        <w:spacing w:after="0" w:line="32" w:lineRule="exact"/>
        <w:rPr>
          <w:rFonts w:ascii="Arial" w:cs="Arial" w:eastAsia="Arial" w:hAnsi="Arial"/>
          <w:sz w:val="16"/>
          <w:szCs w:val="16"/>
          <w:color w:val="auto"/>
        </w:rPr>
      </w:pPr>
    </w:p>
    <w:p>
      <w:pPr>
        <w:ind w:left="660" w:right="6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11" w:lineRule="exact"/>
        <w:rPr>
          <w:rFonts w:ascii="Arial" w:cs="Arial" w:eastAsia="Arial" w:hAnsi="Arial"/>
          <w:sz w:val="18"/>
          <w:szCs w:val="18"/>
          <w:color w:val="auto"/>
        </w:rPr>
      </w:pPr>
    </w:p>
    <w:p>
      <w:pPr>
        <w:jc w:val="both"/>
        <w:ind w:left="660" w:right="320" w:hanging="328"/>
        <w:spacing w:after="0" w:line="255"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4"/>
          <w:szCs w:val="14"/>
          <w:color w:val="auto"/>
        </w:rPr>
        <w:t>future, pending or recent acquisitions of ships or other assets, business strategy, areas of possible expansion and expected capital spending;</w:t>
      </w:r>
    </w:p>
    <w:p>
      <w:pPr>
        <w:spacing w:after="0" w:line="31"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6"/>
          <w:szCs w:val="16"/>
          <w:color w:val="auto"/>
        </w:rPr>
        <w:t>the impact on us and the shipping industry of environmental concerns, including climate change;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5" w:right="999" w:bottom="1440" w:gutter="0" w:footer="0" w:header="0"/>
        </w:sectPr>
      </w:pPr>
    </w:p>
    <w:bookmarkStart w:id="14" w:name="page15"/>
    <w:bookmarkEnd w:id="14"/>
    <w:p>
      <w:pPr>
        <w:ind w:left="660" w:right="620" w:hanging="328"/>
        <w:spacing w:after="0" w:line="250"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6"/>
          <w:szCs w:val="16"/>
          <w:color w:val="auto"/>
        </w:rPr>
        <w:t>any malfunction or disruption of information technology systems and networks that our operations rely on or any impact of a possible cybersecurity event;</w:t>
      </w:r>
    </w:p>
    <w:p>
      <w:pPr>
        <w:spacing w:after="0" w:line="11" w:lineRule="exact"/>
        <w:rPr>
          <w:rFonts w:ascii="Arial" w:cs="Arial" w:eastAsia="Arial" w:hAnsi="Arial"/>
          <w:sz w:val="18"/>
          <w:szCs w:val="18"/>
          <w:color w:val="auto"/>
        </w:rPr>
      </w:pPr>
    </w:p>
    <w:p>
      <w:pPr>
        <w:ind w:left="660" w:right="40" w:hanging="328"/>
        <w:spacing w:after="0" w:line="271" w:lineRule="auto"/>
        <w:tabs>
          <w:tab w:leader="none" w:pos="633" w:val="left"/>
        </w:tabs>
        <w:numPr>
          <w:ilvl w:val="0"/>
          <w:numId w:val="8"/>
        </w:numPr>
        <w:rPr>
          <w:rFonts w:ascii="Arial" w:cs="Arial" w:eastAsia="Arial" w:hAnsi="Arial"/>
          <w:sz w:val="17"/>
          <w:szCs w:val="17"/>
          <w:color w:val="auto"/>
        </w:rPr>
      </w:pPr>
      <w:r>
        <w:rPr>
          <w:rFonts w:ascii="Arial" w:cs="Arial" w:eastAsia="Arial" w:hAnsi="Arial"/>
          <w:sz w:val="15"/>
          <w:szCs w:val="15"/>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60" w:right="320" w:hanging="328"/>
        <w:spacing w:after="0" w:line="263" w:lineRule="auto"/>
        <w:tabs>
          <w:tab w:leader="none" w:pos="633" w:val="left"/>
        </w:tabs>
        <w:numPr>
          <w:ilvl w:val="0"/>
          <w:numId w:val="8"/>
        </w:numPr>
        <w:rPr>
          <w:rFonts w:ascii="Arial" w:cs="Arial" w:eastAsia="Arial" w:hAnsi="Arial"/>
          <w:sz w:val="18"/>
          <w:szCs w:val="18"/>
          <w:color w:val="auto"/>
        </w:rPr>
      </w:pPr>
      <w:r>
        <w:rPr>
          <w:rFonts w:ascii="Arial" w:cs="Arial" w:eastAsia="Arial" w:hAnsi="Arial"/>
          <w:sz w:val="16"/>
          <w:szCs w:val="16"/>
          <w:color w:val="auto"/>
        </w:rPr>
        <w:t>other risks and uncertainties described in the Partnership’s Annual Report on Form 20-F filed with the SEC on March 2, 2021, available at http://www.sec.gov.</w:t>
      </w:r>
    </w:p>
    <w:p>
      <w:pPr>
        <w:spacing w:after="0" w:line="98" w:lineRule="exact"/>
        <w:rPr>
          <w:sz w:val="20"/>
          <w:szCs w:val="20"/>
          <w:color w:val="auto"/>
        </w:rPr>
      </w:pPr>
    </w:p>
    <w:p>
      <w:pPr>
        <w:jc w:val="both"/>
        <w:ind w:right="200" w:firstLine="324"/>
        <w:spacing w:after="0" w:line="278" w:lineRule="auto"/>
        <w:rPr>
          <w:sz w:val="20"/>
          <w:szCs w:val="20"/>
          <w:color w:val="auto"/>
        </w:rPr>
      </w:pPr>
      <w:r>
        <w:rPr>
          <w:rFonts w:ascii="Arial" w:cs="Arial" w:eastAsia="Arial" w:hAnsi="Arial"/>
          <w:sz w:val="16"/>
          <w:szCs w:val="16"/>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57" w:lineRule="exact"/>
        <w:rPr>
          <w:sz w:val="20"/>
          <w:szCs w:val="20"/>
          <w:color w:val="auto"/>
        </w:rPr>
      </w:pPr>
    </w:p>
    <w:p>
      <w:pPr>
        <w:ind w:right="120" w:firstLine="324"/>
        <w:spacing w:after="0" w:line="324" w:lineRule="auto"/>
        <w:rPr>
          <w:sz w:val="20"/>
          <w:szCs w:val="20"/>
          <w:color w:val="auto"/>
        </w:rPr>
      </w:pPr>
      <w:r>
        <w:rPr>
          <w:rFonts w:ascii="Arial" w:cs="Arial" w:eastAsia="Arial" w:hAnsi="Arial"/>
          <w:sz w:val="14"/>
          <w:szCs w:val="14"/>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198" w:lineRule="exact"/>
        <w:rPr>
          <w:sz w:val="20"/>
          <w:szCs w:val="20"/>
          <w:color w:val="auto"/>
        </w:rPr>
      </w:pPr>
    </w:p>
    <w:p>
      <w:pPr>
        <w:ind w:right="80" w:firstLine="383"/>
        <w:spacing w:after="0" w:line="305" w:lineRule="auto"/>
        <w:rPr>
          <w:sz w:val="20"/>
          <w:szCs w:val="20"/>
          <w:color w:val="auto"/>
        </w:rPr>
      </w:pPr>
      <w:r>
        <w:rPr>
          <w:rFonts w:ascii="Arial" w:cs="Arial" w:eastAsia="Arial" w:hAnsi="Arial"/>
          <w:sz w:val="15"/>
          <w:szCs w:val="15"/>
          <w:color w:val="auto"/>
        </w:rPr>
        <w:t>On July 26, 2021, the board of directors of GasLog Partners approved and declared a quarterly cash distribution of $0.01 per common unit for the quarter ended June 30, 2021. The cash distribution is payable on August 12, 2021 to all unitholders of record as of August 9, 2021. The aggregate amount of the declared distribution will be $0.5 million based on the number of units issued and outstanding as of June 30, 2021.</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8" w:lineRule="exact"/>
        <w:rPr>
          <w:sz w:val="20"/>
          <w:szCs w:val="20"/>
          <w:color w:val="auto"/>
        </w:rPr>
      </w:pPr>
    </w:p>
    <w:p>
      <w:pPr>
        <w:jc w:val="both"/>
        <w:ind w:right="360" w:firstLine="427"/>
        <w:spacing w:after="0" w:line="273" w:lineRule="auto"/>
        <w:rPr>
          <w:sz w:val="20"/>
          <w:szCs w:val="20"/>
          <w:color w:val="auto"/>
        </w:rPr>
      </w:pPr>
      <w:r>
        <w:rPr>
          <w:rFonts w:ascii="Arial" w:cs="Arial" w:eastAsia="Arial" w:hAnsi="Arial"/>
          <w:sz w:val="16"/>
          <w:szCs w:val="16"/>
          <w:color w:val="auto"/>
        </w:rPr>
        <w:t>Since our initial public offering (“IPO”) in May 2014, we have been a growth-oriented limited partnership focused on acquiring, owning and operating LNG carriers engaged in LNG transportation under multi-year charters, growing our fleet from three vessels at the time of our IPO to 15 today. We are now focusing our capital allocation on debt repayment, prioritizing balance sheet strength for 2021, in order to lower our cash break-evens, reduce our cost of capital and further enhance the Partnership’s competitive positioning.</w:t>
      </w:r>
    </w:p>
    <w:p>
      <w:pPr>
        <w:spacing w:after="0" w:line="148" w:lineRule="exact"/>
        <w:rPr>
          <w:sz w:val="20"/>
          <w:szCs w:val="20"/>
          <w:color w:val="auto"/>
        </w:rPr>
      </w:pPr>
    </w:p>
    <w:p>
      <w:pPr>
        <w:ind w:right="220" w:firstLine="427"/>
        <w:spacing w:after="0" w:line="291" w:lineRule="auto"/>
        <w:rPr>
          <w:sz w:val="20"/>
          <w:szCs w:val="20"/>
          <w:color w:val="auto"/>
        </w:rPr>
      </w:pPr>
      <w:r>
        <w:rPr>
          <w:rFonts w:ascii="Arial" w:cs="Arial" w:eastAsia="Arial" w:hAnsi="Arial"/>
          <w:sz w:val="15"/>
          <w:szCs w:val="15"/>
          <w:color w:val="auto"/>
        </w:rPr>
        <w:t>As of June 30, 2021, our fleet consisted of ten vessels with tri-fuel diesel electric (“TFDE”) propulsion and five steam turbine propulsion (“Steam”) vessels. We also have options and other rights under which we may acquire additional LNG carriers from GasLog.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acquisition or that, as a consequence, we will successfully grow our distributions per common unit. Among other things, our ability to acquire any additional LNG carriers or other LNG infrastructure assets may be dependent upon our ability to raise additional equity and debt financing.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Cargo</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Capacity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Charterer (for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(cubic meters</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contracts of more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Charter</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Year Built</w:t>
            </w: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“cbm”)</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than six months)</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Propulsion</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Expiration</w:t>
            </w:r>
          </w:p>
        </w:tc>
        <w:tc>
          <w:tcPr>
            <w:tcW w:w="1180" w:type="dxa"/>
            <w:vAlign w:val="bottom"/>
          </w:tcPr>
          <w:p>
            <w:pPr>
              <w:ind w:left="40"/>
              <w:spacing w:after="0"/>
              <w:rPr>
                <w:sz w:val="20"/>
                <w:szCs w:val="20"/>
                <w:color w:val="auto"/>
              </w:rPr>
            </w:pPr>
            <w:r>
              <w:rPr>
                <w:rFonts w:ascii="Arial" w:cs="Arial" w:eastAsia="Arial" w:hAnsi="Arial"/>
                <w:sz w:val="16"/>
                <w:szCs w:val="16"/>
                <w:b w:val="1"/>
                <w:bCs w:val="1"/>
                <w:color w:val="auto"/>
                <w:w w:val="93"/>
              </w:rPr>
              <w:t>Optional Period</w:t>
            </w:r>
          </w:p>
        </w:tc>
        <w:tc>
          <w:tcPr>
            <w:tcW w:w="0" w:type="dxa"/>
            <w:vAlign w:val="bottom"/>
          </w:tcPr>
          <w:p>
            <w:pPr>
              <w:spacing w:after="0"/>
              <w:rPr>
                <w:sz w:val="1"/>
                <w:szCs w:val="1"/>
                <w:color w:val="auto"/>
              </w:rPr>
            </w:pPr>
          </w:p>
        </w:tc>
      </w:tr>
      <w:tr>
        <w:trPr>
          <w:trHeight w:val="202"/>
        </w:trPr>
        <w:tc>
          <w:tcPr>
            <w:tcW w:w="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90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GasLog Santiago</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6"/>
                <w:szCs w:val="16"/>
                <w:color w:val="auto"/>
                <w:w w:val="89"/>
              </w:rPr>
              <w:t xml:space="preserve">Trafigura </w:t>
            </w:r>
            <w:r>
              <w:rPr>
                <w:rFonts w:ascii="Arial" w:cs="Arial" w:eastAsia="Arial" w:hAnsi="Arial"/>
                <w:sz w:val="23"/>
                <w:szCs w:val="23"/>
                <w:color w:val="auto"/>
                <w:w w:val="89"/>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TFDE</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December 2021</w:t>
            </w: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6"/>
                <w:szCs w:val="16"/>
                <w:color w:val="auto"/>
                <w:w w:val="88"/>
              </w:rPr>
              <w:t xml:space="preserve">2022–2028 </w:t>
            </w:r>
            <w:r>
              <w:rPr>
                <w:rFonts w:ascii="Arial" w:cs="Arial" w:eastAsia="Arial" w:hAnsi="Arial"/>
                <w:sz w:val="21"/>
                <w:szCs w:val="21"/>
                <w:color w:val="auto"/>
                <w:w w:val="88"/>
                <w:vertAlign w:val="superscript"/>
              </w:rPr>
              <w:t>(1)</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Methane Rita Andrea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6"/>
                <w:szCs w:val="16"/>
                <w:color w:val="auto"/>
                <w:w w:val="87"/>
              </w:rPr>
              <w:t xml:space="preserve">Gunvor </w:t>
            </w:r>
            <w:r>
              <w:rPr>
                <w:rFonts w:ascii="Arial" w:cs="Arial" w:eastAsia="Arial" w:hAnsi="Arial"/>
                <w:sz w:val="23"/>
                <w:szCs w:val="23"/>
                <w:color w:val="auto"/>
                <w:w w:val="87"/>
                <w:vertAlign w:val="superscript"/>
              </w:rPr>
              <w:t>(2)</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Steam</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March 2022</w:t>
            </w:r>
          </w:p>
        </w:tc>
        <w:tc>
          <w:tcPr>
            <w:tcW w:w="1180" w:type="dxa"/>
            <w:vAlign w:val="bottom"/>
          </w:tcPr>
          <w:p>
            <w:pPr>
              <w:jc w:val="center"/>
              <w:spacing w:after="0" w:line="202"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3"/>
                <w:szCs w:val="23"/>
                <w:color w:val="auto"/>
                <w:w w:val="84"/>
                <w:vertAlign w:val="superscript"/>
              </w:rPr>
              <w:t>(2)</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Solaris</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20"/>
              <w:spacing w:after="0" w:line="203" w:lineRule="exact"/>
              <w:rPr>
                <w:sz w:val="20"/>
                <w:szCs w:val="20"/>
                <w:color w:val="auto"/>
              </w:rPr>
            </w:pPr>
            <w:r>
              <w:rPr>
                <w:rFonts w:ascii="Arial" w:cs="Arial" w:eastAsia="Arial" w:hAnsi="Arial"/>
                <w:sz w:val="16"/>
                <w:szCs w:val="16"/>
                <w:color w:val="auto"/>
                <w:w w:val="87"/>
              </w:rPr>
              <w:t xml:space="preserve">Shell </w:t>
            </w:r>
            <w:r>
              <w:rPr>
                <w:rFonts w:ascii="Arial" w:cs="Arial" w:eastAsia="Arial" w:hAnsi="Arial"/>
                <w:sz w:val="21"/>
                <w:szCs w:val="21"/>
                <w:color w:val="auto"/>
                <w:w w:val="87"/>
                <w:vertAlign w:val="superscript"/>
              </w:rPr>
              <w:t>(3)</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March 2022</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3"/>
                <w:szCs w:val="23"/>
                <w:color w:val="auto"/>
                <w:w w:val="84"/>
                <w:vertAlign w:val="superscript"/>
              </w:rPr>
              <w:t>(3)</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4</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Methane Heather Sally</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6"/>
                <w:szCs w:val="16"/>
                <w:color w:val="auto"/>
                <w:w w:val="88"/>
              </w:rPr>
              <w:t xml:space="preserve">Cheniere </w:t>
            </w:r>
            <w:r>
              <w:rPr>
                <w:rFonts w:ascii="Arial" w:cs="Arial" w:eastAsia="Arial" w:hAnsi="Arial"/>
                <w:sz w:val="23"/>
                <w:szCs w:val="23"/>
                <w:color w:val="auto"/>
                <w:w w:val="88"/>
                <w:vertAlign w:val="superscript"/>
              </w:rPr>
              <w:t>(4)</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Steam</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June 2022</w:t>
            </w:r>
          </w:p>
        </w:tc>
        <w:tc>
          <w:tcPr>
            <w:tcW w:w="1180" w:type="dxa"/>
            <w:vAlign w:val="bottom"/>
          </w:tcPr>
          <w:p>
            <w:pPr>
              <w:jc w:val="center"/>
              <w:spacing w:after="0" w:line="202" w:lineRule="exact"/>
              <w:rPr>
                <w:sz w:val="20"/>
                <w:szCs w:val="20"/>
                <w:color w:val="auto"/>
              </w:rPr>
            </w:pPr>
            <w:r>
              <w:rPr>
                <w:rFonts w:ascii="Arial" w:cs="Arial" w:eastAsia="Arial" w:hAnsi="Arial"/>
                <w:sz w:val="16"/>
                <w:szCs w:val="16"/>
                <w:color w:val="auto"/>
                <w:w w:val="90"/>
              </w:rPr>
              <w:t xml:space="preserve">2023-2024 </w:t>
            </w:r>
            <w:r>
              <w:rPr>
                <w:rFonts w:ascii="Arial" w:cs="Arial" w:eastAsia="Arial" w:hAnsi="Arial"/>
                <w:sz w:val="23"/>
                <w:szCs w:val="23"/>
                <w:color w:val="auto"/>
                <w:w w:val="90"/>
                <w:vertAlign w:val="superscript"/>
              </w:rPr>
              <w:t>(4)</w:t>
            </w: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GasLog Sydney</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3"/>
                <w:szCs w:val="23"/>
                <w:color w:val="auto"/>
                <w:w w:val="86"/>
                <w:vertAlign w:val="superscript"/>
              </w:rPr>
              <w:t>(5)</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June 2022</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GasLog Seattle</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TotalEnergies</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June 2022</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Methane Shirley Elisabeth</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2007</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6"/>
                <w:szCs w:val="16"/>
                <w:color w:val="auto"/>
                <w:w w:val="86"/>
              </w:rPr>
              <w:t xml:space="preserve">JOVO </w:t>
            </w:r>
            <w:r>
              <w:rPr>
                <w:rFonts w:ascii="Arial" w:cs="Arial" w:eastAsia="Arial" w:hAnsi="Arial"/>
                <w:sz w:val="23"/>
                <w:szCs w:val="23"/>
                <w:color w:val="auto"/>
                <w:w w:val="86"/>
                <w:vertAlign w:val="superscript"/>
              </w:rPr>
              <w:t>(6)</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Steam</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August 2022</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8</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GasLog Shanghai</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Gunvor</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November 2022</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Methane Jane Elizabeth</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9"/>
              </w:rPr>
              <w:t>Cheniere</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Steam</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March 2023</w:t>
            </w:r>
          </w:p>
        </w:tc>
        <w:tc>
          <w:tcPr>
            <w:tcW w:w="1180" w:type="dxa"/>
            <w:vAlign w:val="bottom"/>
            <w:shd w:val="clear" w:color="auto" w:fill="CCEEFF"/>
          </w:tcPr>
          <w:p>
            <w:pPr>
              <w:jc w:val="center"/>
              <w:spacing w:after="0" w:line="203" w:lineRule="exact"/>
              <w:rPr>
                <w:sz w:val="20"/>
                <w:szCs w:val="20"/>
                <w:color w:val="auto"/>
              </w:rPr>
            </w:pPr>
            <w:r>
              <w:rPr>
                <w:rFonts w:ascii="Arial" w:cs="Arial" w:eastAsia="Arial" w:hAnsi="Arial"/>
                <w:sz w:val="16"/>
                <w:szCs w:val="16"/>
                <w:color w:val="auto"/>
                <w:w w:val="88"/>
              </w:rPr>
              <w:t xml:space="preserve">2024–2025 </w:t>
            </w:r>
            <w:r>
              <w:rPr>
                <w:rFonts w:ascii="Arial" w:cs="Arial" w:eastAsia="Arial" w:hAnsi="Arial"/>
                <w:sz w:val="21"/>
                <w:szCs w:val="21"/>
                <w:color w:val="auto"/>
                <w:w w:val="88"/>
                <w:vertAlign w:val="superscript"/>
              </w:rPr>
              <w:t>(7)</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10</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GasLog Geneva</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Shell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September 2023</w:t>
            </w:r>
          </w:p>
        </w:tc>
        <w:tc>
          <w:tcPr>
            <w:tcW w:w="1180" w:type="dxa"/>
            <w:vAlign w:val="bottom"/>
          </w:tcPr>
          <w:p>
            <w:pPr>
              <w:jc w:val="center"/>
              <w:spacing w:after="0" w:line="202" w:lineRule="exact"/>
              <w:rPr>
                <w:sz w:val="20"/>
                <w:szCs w:val="20"/>
                <w:color w:val="auto"/>
              </w:rPr>
            </w:pPr>
            <w:r>
              <w:rPr>
                <w:rFonts w:ascii="Arial" w:cs="Arial" w:eastAsia="Arial" w:hAnsi="Arial"/>
                <w:sz w:val="16"/>
                <w:szCs w:val="16"/>
                <w:color w:val="auto"/>
                <w:w w:val="87"/>
              </w:rPr>
              <w:t xml:space="preserve">2028–2031 </w:t>
            </w:r>
            <w:r>
              <w:rPr>
                <w:rFonts w:ascii="Arial" w:cs="Arial" w:eastAsia="Arial" w:hAnsi="Arial"/>
                <w:sz w:val="23"/>
                <w:szCs w:val="23"/>
                <w:color w:val="auto"/>
                <w:w w:val="87"/>
                <w:vertAlign w:val="superscript"/>
              </w:rPr>
              <w:t>(8)</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11</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Methane Alison Victoria</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2007</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6"/>
                <w:szCs w:val="16"/>
                <w:color w:val="auto"/>
                <w:w w:val="93"/>
              </w:rPr>
              <w:t xml:space="preserve">CNTIC VPower </w:t>
            </w:r>
            <w:r>
              <w:rPr>
                <w:rFonts w:ascii="Arial" w:cs="Arial" w:eastAsia="Arial" w:hAnsi="Arial"/>
                <w:sz w:val="23"/>
                <w:szCs w:val="23"/>
                <w:color w:val="auto"/>
                <w:w w:val="93"/>
                <w:vertAlign w:val="superscript"/>
              </w:rPr>
              <w:t>(9)</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6"/>
              </w:rPr>
              <w:t>Steam</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0"/>
              </w:rPr>
              <w:t>October 2023</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7"/>
              </w:rPr>
              <w:t xml:space="preserve">2024–2025 </w:t>
            </w:r>
            <w:r>
              <w:rPr>
                <w:rFonts w:ascii="Arial" w:cs="Arial" w:eastAsia="Arial" w:hAnsi="Arial"/>
                <w:sz w:val="23"/>
                <w:szCs w:val="23"/>
                <w:color w:val="auto"/>
                <w:w w:val="87"/>
                <w:vertAlign w:val="superscript"/>
              </w:rPr>
              <w:t>(9)</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12</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GasLog Gibraltar</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Shell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October 2023</w:t>
            </w:r>
          </w:p>
        </w:tc>
        <w:tc>
          <w:tcPr>
            <w:tcW w:w="1180" w:type="dxa"/>
            <w:vAlign w:val="bottom"/>
          </w:tcPr>
          <w:p>
            <w:pPr>
              <w:jc w:val="center"/>
              <w:spacing w:after="0" w:line="202" w:lineRule="exact"/>
              <w:rPr>
                <w:sz w:val="20"/>
                <w:szCs w:val="20"/>
                <w:color w:val="auto"/>
              </w:rPr>
            </w:pPr>
            <w:r>
              <w:rPr>
                <w:rFonts w:ascii="Arial" w:cs="Arial" w:eastAsia="Arial" w:hAnsi="Arial"/>
                <w:sz w:val="16"/>
                <w:szCs w:val="16"/>
                <w:color w:val="auto"/>
                <w:w w:val="87"/>
              </w:rPr>
              <w:t xml:space="preserve">2028–2031 </w:t>
            </w:r>
            <w:r>
              <w:rPr>
                <w:rFonts w:ascii="Arial" w:cs="Arial" w:eastAsia="Arial" w:hAnsi="Arial"/>
                <w:sz w:val="23"/>
                <w:szCs w:val="23"/>
                <w:color w:val="auto"/>
                <w:w w:val="87"/>
                <w:vertAlign w:val="superscript"/>
              </w:rPr>
              <w:t>(8)</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13</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Methane Becki Anne</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Shell</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March 2024</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7"/>
              </w:rPr>
              <w:t xml:space="preserve">2027–2029 </w:t>
            </w:r>
            <w:r>
              <w:rPr>
                <w:rFonts w:ascii="Arial" w:cs="Arial" w:eastAsia="Arial" w:hAnsi="Arial"/>
                <w:sz w:val="23"/>
                <w:szCs w:val="23"/>
                <w:color w:val="auto"/>
                <w:w w:val="87"/>
                <w:vertAlign w:val="superscript"/>
              </w:rPr>
              <w:t>(10)</w:t>
            </w:r>
          </w:p>
        </w:tc>
        <w:tc>
          <w:tcPr>
            <w:tcW w:w="0" w:type="dxa"/>
            <w:vAlign w:val="bottom"/>
          </w:tcPr>
          <w:p>
            <w:pPr>
              <w:spacing w:after="0"/>
              <w:rPr>
                <w:sz w:val="1"/>
                <w:szCs w:val="1"/>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14</w:t>
            </w:r>
          </w:p>
        </w:tc>
        <w:tc>
          <w:tcPr>
            <w:tcW w:w="2120" w:type="dxa"/>
            <w:vAlign w:val="bottom"/>
            <w:gridSpan w:val="3"/>
          </w:tcPr>
          <w:p>
            <w:pPr>
              <w:ind w:left="140"/>
              <w:spacing w:after="0"/>
              <w:rPr>
                <w:sz w:val="20"/>
                <w:szCs w:val="20"/>
                <w:color w:val="auto"/>
              </w:rPr>
            </w:pPr>
            <w:r>
              <w:rPr>
                <w:rFonts w:ascii="Arial" w:cs="Arial" w:eastAsia="Arial" w:hAnsi="Arial"/>
                <w:sz w:val="16"/>
                <w:szCs w:val="16"/>
                <w:i w:val="1"/>
                <w:iCs w:val="1"/>
                <w:color w:val="auto"/>
              </w:rPr>
              <w:t>GasLog Greece</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174,000</w:t>
            </w: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Shell</w:t>
            </w: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March 2026</w:t>
            </w:r>
          </w:p>
        </w:tc>
        <w:tc>
          <w:tcPr>
            <w:tcW w:w="1180" w:type="dxa"/>
            <w:vAlign w:val="bottom"/>
          </w:tcPr>
          <w:p>
            <w:pPr>
              <w:jc w:val="center"/>
              <w:spacing w:after="0" w:line="202" w:lineRule="exact"/>
              <w:rPr>
                <w:sz w:val="20"/>
                <w:szCs w:val="20"/>
                <w:color w:val="auto"/>
              </w:rPr>
            </w:pPr>
            <w:r>
              <w:rPr>
                <w:rFonts w:ascii="Arial" w:cs="Arial" w:eastAsia="Arial" w:hAnsi="Arial"/>
                <w:sz w:val="16"/>
                <w:szCs w:val="16"/>
                <w:color w:val="auto"/>
                <w:w w:val="83"/>
              </w:rPr>
              <w:t xml:space="preserve">2031 </w:t>
            </w:r>
            <w:r>
              <w:rPr>
                <w:rFonts w:ascii="Arial" w:cs="Arial" w:eastAsia="Arial" w:hAnsi="Arial"/>
                <w:sz w:val="23"/>
                <w:szCs w:val="23"/>
                <w:color w:val="auto"/>
                <w:w w:val="83"/>
                <w:vertAlign w:val="superscript"/>
              </w:rPr>
              <w:t>(11)</w:t>
            </w:r>
          </w:p>
        </w:tc>
        <w:tc>
          <w:tcPr>
            <w:tcW w:w="0" w:type="dxa"/>
            <w:vAlign w:val="bottom"/>
          </w:tcPr>
          <w:p>
            <w:pPr>
              <w:spacing w:after="0"/>
              <w:rPr>
                <w:sz w:val="1"/>
                <w:szCs w:val="1"/>
                <w:color w:val="auto"/>
              </w:rPr>
            </w:pPr>
          </w:p>
        </w:tc>
      </w:tr>
      <w:tr>
        <w:trPr>
          <w:trHeight w:val="203"/>
        </w:trPr>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15</w:t>
            </w:r>
          </w:p>
        </w:tc>
        <w:tc>
          <w:tcPr>
            <w:tcW w:w="21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GasLog Glasgow</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174,000</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Shell</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5"/>
              </w:rPr>
              <w:t>TFDE</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June 2026</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6"/>
                <w:szCs w:val="16"/>
                <w:color w:val="auto"/>
                <w:w w:val="83"/>
              </w:rPr>
              <w:t xml:space="preserve">2031 </w:t>
            </w:r>
            <w:r>
              <w:rPr>
                <w:rFonts w:ascii="Arial" w:cs="Arial" w:eastAsia="Arial" w:hAnsi="Arial"/>
                <w:sz w:val="23"/>
                <w:szCs w:val="23"/>
                <w:color w:val="auto"/>
                <w:w w:val="83"/>
                <w:vertAlign w:val="superscript"/>
              </w:rPr>
              <w:t>(11)</w:t>
            </w: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vMerge w:val="restart"/>
          </w:tcPr>
          <w:p>
            <w:pPr>
              <w:jc w:val="right"/>
              <w:ind w:right="90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0"/>
        </w:trPr>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43" w:right="999" w:bottom="1440" w:gutter="0" w:footer="0" w:header="0"/>
        </w:sectPr>
      </w:pPr>
    </w:p>
    <w:bookmarkStart w:id="15" w:name="page16"/>
    <w:bookmarkEnd w:id="15"/>
    <w:p>
      <w:pPr>
        <w:ind w:left="340" w:right="200" w:hanging="332"/>
        <w:spacing w:after="0" w:line="202"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The vessel is chartered to Trafigura Maritime Logistics PTE Ltd. (“Trafigura”). 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ind w:left="340" w:right="36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vessel is chartered to Clearlake Shipping Pte. Ltd., a subsidiary of Gunvor Group Ltd. (“Gunvor”). Charterers may extend the term of the time charter by an additional period of six months.</w:t>
      </w:r>
    </w:p>
    <w:p>
      <w:pPr>
        <w:ind w:left="340" w:right="44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vessel is chartered to a wholly owned subsidiary of Royal Dutch Shell plc, (“Shell”). Charterers have the option to extend the charter by an additional four months.</w:t>
      </w:r>
    </w:p>
    <w:p>
      <w:pPr>
        <w:ind w:left="340" w:right="12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vessel is chartered to Cheniere Marketing International LLP, a subsidiary of Cheniere Energy Inc. (“Cheniere”). Charterers have the option to declare one out of three firm periods of one, two and three years at varying rates.</w:t>
      </w:r>
    </w:p>
    <w:p>
      <w:pPr>
        <w:ind w:left="34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vessel is chartered to TotalEnergies Gas &amp; Power Limited, a wholly owned subsidiary of TotalEnergies SE (“TotalEnergies”).</w:t>
      </w:r>
    </w:p>
    <w:p>
      <w:pPr>
        <w:ind w:left="34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vessel is chartered to Singapore Carbon Hydrogen Energy Pte. Ltd., a wholly owned subsidiary of JOVO Group (“JOVO”).</w:t>
      </w:r>
    </w:p>
    <w:p>
      <w:pPr>
        <w:ind w:left="340" w:right="32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Charterers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right="10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26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100" w:hanging="332"/>
        <w:spacing w:after="0" w:line="221"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9"/>
        </w:numPr>
        <w:rPr>
          <w:rFonts w:ascii="Arial" w:cs="Arial" w:eastAsia="Arial" w:hAnsi="Arial"/>
          <w:sz w:val="11"/>
          <w:szCs w:val="11"/>
          <w:color w:val="auto"/>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194" w:lineRule="exact"/>
        <w:rPr>
          <w:sz w:val="20"/>
          <w:szCs w:val="20"/>
          <w:color w:val="auto"/>
        </w:rPr>
      </w:pPr>
    </w:p>
    <w:p>
      <w:pPr>
        <w:ind w:right="80" w:firstLine="383"/>
        <w:spacing w:after="0" w:line="27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results set forth below are derived from the unaudited condensed consolidated financial statements of the Partnership.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Three-month period ended June 30, 2020 compared to the three-month period ended June 30,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w w:val="90"/>
              </w:rPr>
              <w:t>June 30, 2021</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8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84,448</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70,352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(14,096)</w:t>
            </w:r>
          </w:p>
        </w:tc>
        <w:tc>
          <w:tcPr>
            <w:tcW w:w="0" w:type="dxa"/>
            <w:vAlign w:val="bottom"/>
          </w:tcPr>
          <w:p>
            <w:pPr>
              <w:spacing w:after="0"/>
              <w:rPr>
                <w:sz w:val="1"/>
                <w:szCs w:val="1"/>
                <w:color w:val="auto"/>
              </w:rPr>
            </w:pPr>
          </w:p>
        </w:tc>
      </w:tr>
      <w:tr>
        <w:trPr>
          <w:trHeight w:val="202"/>
        </w:trPr>
        <w:tc>
          <w:tcPr>
            <w:tcW w:w="688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(2,782)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(1,852)</w:t>
            </w:r>
          </w:p>
        </w:tc>
        <w:tc>
          <w:tcPr>
            <w:tcW w:w="800" w:type="dxa"/>
            <w:vAlign w:val="bottom"/>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(16,895)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(20,044)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Depreciation</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(20,675)</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(20,798)</w:t>
            </w: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(4,421)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(3,488)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(18,841)</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18,841</w:t>
            </w:r>
          </w:p>
        </w:tc>
        <w:tc>
          <w:tcPr>
            <w:tcW w:w="0" w:type="dxa"/>
            <w:vAlign w:val="bottom"/>
          </w:tcPr>
          <w:p>
            <w:pPr>
              <w:spacing w:after="0"/>
              <w:rPr>
                <w:sz w:val="1"/>
                <w:szCs w:val="1"/>
                <w:color w:val="auto"/>
              </w:rPr>
            </w:pPr>
          </w:p>
        </w:tc>
      </w:tr>
      <w:tr>
        <w:trPr>
          <w:trHeight w:val="196"/>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20,834</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24,170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3,336</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20"/>
                <w:szCs w:val="20"/>
                <w:color w:val="auto"/>
              </w:rPr>
            </w:pPr>
            <w:r>
              <w:rPr>
                <w:rFonts w:ascii="Arial" w:cs="Arial" w:eastAsia="Arial" w:hAnsi="Arial"/>
                <w:sz w:val="16"/>
                <w:szCs w:val="16"/>
                <w:color w:val="auto"/>
              </w:rPr>
              <w:t>Financial costs</w:t>
            </w:r>
          </w:p>
        </w:tc>
        <w:tc>
          <w:tcPr>
            <w:tcW w:w="960" w:type="dxa"/>
            <w:vAlign w:val="bottom"/>
          </w:tcPr>
          <w:p>
            <w:pPr>
              <w:jc w:val="right"/>
              <w:spacing w:after="0"/>
              <w:rPr>
                <w:sz w:val="20"/>
                <w:szCs w:val="20"/>
                <w:color w:val="auto"/>
              </w:rPr>
            </w:pPr>
            <w:r>
              <w:rPr>
                <w:rFonts w:ascii="Arial" w:cs="Arial" w:eastAsia="Arial" w:hAnsi="Arial"/>
                <w:sz w:val="16"/>
                <w:szCs w:val="16"/>
                <w:color w:val="auto"/>
              </w:rPr>
              <w:t>(13,067)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3,952</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960" w:type="dxa"/>
            <w:vAlign w:val="bottom"/>
          </w:tcPr>
          <w:p>
            <w:pPr>
              <w:jc w:val="right"/>
              <w:spacing w:after="0"/>
              <w:rPr>
                <w:sz w:val="20"/>
                <w:szCs w:val="20"/>
                <w:color w:val="auto"/>
              </w:rPr>
            </w:pPr>
            <w:r>
              <w:rPr>
                <w:rFonts w:ascii="Arial" w:cs="Arial" w:eastAsia="Arial" w:hAnsi="Arial"/>
                <w:sz w:val="16"/>
                <w:szCs w:val="16"/>
                <w:color w:val="auto"/>
              </w:rPr>
              <w:t>369</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(403)</w:t>
            </w:r>
          </w:p>
        </w:tc>
        <w:tc>
          <w:tcPr>
            <w:tcW w:w="80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96"/>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6,450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00" w:firstLine="401"/>
        <w:spacing w:after="0" w:line="273" w:lineRule="auto"/>
        <w:rPr>
          <w:sz w:val="20"/>
          <w:szCs w:val="20"/>
          <w:color w:val="auto"/>
        </w:rPr>
      </w:pPr>
      <w:r>
        <w:rPr>
          <w:rFonts w:ascii="Arial" w:cs="Arial" w:eastAsia="Arial" w:hAnsi="Arial"/>
          <w:sz w:val="16"/>
          <w:szCs w:val="16"/>
          <w:color w:val="auto"/>
        </w:rPr>
        <w:t>For the three-month period ended June 30, 2020, we had an average of 15.0 vessels operating in our owned fleet having 1,365 available days, while during the three-month period ended June 30, 2021, we had an average of 15.0 vessels operating in our owned fleet having 1,283 available days, due to increased off-hire days for scheduled dry-dockings (nil dry-docking off-hire days in the three-month period ended June 30, 2020 compared to 82 dry-docking off-hire days in the three-month period ended June 30, 2021).</w:t>
      </w:r>
    </w:p>
    <w:p>
      <w:pPr>
        <w:spacing w:after="0" w:line="162" w:lineRule="exact"/>
        <w:rPr>
          <w:sz w:val="20"/>
          <w:szCs w:val="20"/>
          <w:color w:val="auto"/>
        </w:rPr>
      </w:pPr>
    </w:p>
    <w:p>
      <w:pPr>
        <w:ind w:right="60" w:firstLine="427"/>
        <w:spacing w:after="0" w:line="273"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$14.0 million, or 16.6%, from $84.4 million for the three-month period ended June 30, 2020 to $70.4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2021. The decrease is mainly attributable to the expirations of the initial multi-year time charters of three of our Steam vessels with Shell in 2020 and early 2021 (which were at higher rates compared to their current re-contracted rates) and a decrease in revenues resulting from the 82 off-hire days due to the scheduled dry-dockings of three of our vessels in the second quarter of 2021 (compared to none in the same period in 2020). The average daily hire rate decreased from $64,073 for the three-month period ended June 30, 2020 to $57,383 for the three-month period ended June 30, 2021.</w:t>
      </w:r>
    </w:p>
    <w:p>
      <w:pPr>
        <w:spacing w:after="0" w:line="148" w:lineRule="exact"/>
        <w:rPr>
          <w:sz w:val="20"/>
          <w:szCs w:val="20"/>
          <w:color w:val="auto"/>
        </w:rPr>
      </w:pPr>
    </w:p>
    <w:p>
      <w:pPr>
        <w:ind w:firstLine="427"/>
        <w:spacing w:after="0" w:line="328" w:lineRule="auto"/>
        <w:rPr>
          <w:sz w:val="20"/>
          <w:szCs w:val="20"/>
          <w:color w:val="auto"/>
        </w:rPr>
      </w:pPr>
      <w:r>
        <w:rPr>
          <w:rFonts w:ascii="Arial" w:cs="Arial" w:eastAsia="Arial" w:hAnsi="Arial"/>
          <w:sz w:val="15"/>
          <w:szCs w:val="15"/>
          <w:b w:val="1"/>
          <w:bCs w:val="1"/>
          <w:i w:val="1"/>
          <w:iCs w:val="1"/>
          <w:color w:val="auto"/>
        </w:rPr>
        <w:t xml:space="preserve">Vessel Operating Costs: </w:t>
      </w:r>
      <w:r>
        <w:rPr>
          <w:rFonts w:ascii="Arial" w:cs="Arial" w:eastAsia="Arial" w:hAnsi="Arial"/>
          <w:sz w:val="15"/>
          <w:szCs w:val="15"/>
          <w:color w:val="auto"/>
        </w:rPr>
        <w:t>Vessel operating costs increased by $3.1 million, or 18.3%, from $16.9 million for the three-month period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2020 to $20.0 million for the same period in 2021. The increase in vessel operating costs is mainly attributable to an increase of $1.7</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242" w:right="99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16"/>
          <w:szCs w:val="16"/>
          <w:color w:val="auto"/>
        </w:rPr>
        <w:t xml:space="preserve">million in technical maintenance expenses primarily in connection with the dry-dockings of three of our vessels in the second quarter of 2021 (compared to none in the same period in 2020) and an increase of $0.9 million in crew costs, mainly as a result of COVID-19 restrictions (increased costs for travelling and quarantines) and the unfavorable movement of the EUR/USD exchange rate compared to the same period in 2020.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the operating costs of which are covered by the charterers) increased from $13,261 per day for the three-month period ended June 30, 2020 to $15,734 per day for the three-month period ended June 30, 2021, which includes dry-docking related costs of $1,109 per day in the three-month period ended June 30 2021.</w:t>
      </w:r>
    </w:p>
    <w:p>
      <w:pPr>
        <w:spacing w:after="0" w:line="140" w:lineRule="exact"/>
        <w:rPr>
          <w:sz w:val="20"/>
          <w:szCs w:val="20"/>
          <w:color w:val="auto"/>
        </w:rPr>
      </w:pPr>
    </w:p>
    <w:p>
      <w:pPr>
        <w:ind w:right="40" w:firstLine="427"/>
        <w:spacing w:after="0" w:line="294"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decreased by $0.9 million, or 20.5%, from $4.4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three-month period ended June 30, 2020 to $3.5 million for the same period in 2021. The decrease in general and administrative expenses is mainly attributable to a decrease of $0.8 million in administrative services fees, in connection with the decrease of the annual fee payable to GasLog in 2021 by approximately $0.2 million per vessel per year. The decrease in the annual fee was driven by organizational changes and corporate savings at GasLog. As a result, daily general and administrative expenses decreased from $3,238 per vessel ownership day for the three-month period ended June 30, 2020 to $2,554 per vessel ownership day for the three-month period ended June 30, 2021.</w:t>
      </w:r>
    </w:p>
    <w:p>
      <w:pPr>
        <w:spacing w:after="0" w:line="123" w:lineRule="exact"/>
        <w:rPr>
          <w:sz w:val="20"/>
          <w:szCs w:val="20"/>
          <w:color w:val="auto"/>
        </w:rPr>
      </w:pPr>
    </w:p>
    <w:p>
      <w:pPr>
        <w:ind w:right="100" w:firstLine="427"/>
        <w:spacing w:after="0" w:line="303" w:lineRule="auto"/>
        <w:rPr>
          <w:sz w:val="20"/>
          <w:szCs w:val="20"/>
          <w:color w:val="auto"/>
        </w:rPr>
      </w:pPr>
      <w:r>
        <w:rPr>
          <w:rFonts w:ascii="Arial" w:cs="Arial" w:eastAsia="Arial" w:hAnsi="Arial"/>
          <w:sz w:val="15"/>
          <w:szCs w:val="15"/>
          <w:b w:val="1"/>
          <w:bCs w:val="1"/>
          <w:i w:val="1"/>
          <w:iCs w:val="1"/>
          <w:color w:val="auto"/>
        </w:rPr>
        <w:t xml:space="preserve">Impairment Loss on Vessels: </w:t>
      </w:r>
      <w:r>
        <w:rPr>
          <w:rFonts w:ascii="Arial" w:cs="Arial" w:eastAsia="Arial" w:hAnsi="Arial"/>
          <w:sz w:val="15"/>
          <w:szCs w:val="15"/>
          <w:color w:val="auto"/>
        </w:rPr>
        <w:t>Impairment loss on vessels was $18.8 million for the three-month period ended June 30, 2020 and nil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period in 2021. The impairment loss recorded as of June 30, 2020 was recognized with respect to three of the Partnership’s Steam vessels (the </w:t>
      </w:r>
      <w:r>
        <w:rPr>
          <w:rFonts w:ascii="Arial" w:cs="Arial" w:eastAsia="Arial" w:hAnsi="Arial"/>
          <w:sz w:val="15"/>
          <w:szCs w:val="15"/>
          <w:i w:val="1"/>
          <w:iCs w:val="1"/>
          <w:color w:val="auto"/>
        </w:rPr>
        <w:t>Methane</w:t>
      </w:r>
      <w:r>
        <w:rPr>
          <w:rFonts w:ascii="Arial" w:cs="Arial" w:eastAsia="Arial" w:hAnsi="Arial"/>
          <w:sz w:val="15"/>
          <w:szCs w:val="15"/>
          <w:color w:val="auto"/>
        </w:rPr>
        <w:t xml:space="preserve"> </w:t>
      </w:r>
      <w:r>
        <w:rPr>
          <w:rFonts w:ascii="Arial" w:cs="Arial" w:eastAsia="Arial" w:hAnsi="Arial"/>
          <w:sz w:val="15"/>
          <w:szCs w:val="15"/>
          <w:i w:val="1"/>
          <w:iCs w:val="1"/>
          <w:color w:val="auto"/>
        </w:rPr>
        <w:t>Rita Andrea</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Shirley Elisabeth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Heather Sally</w:t>
      </w:r>
      <w:r>
        <w:rPr>
          <w:rFonts w:ascii="Arial" w:cs="Arial" w:eastAsia="Arial" w:hAnsi="Arial"/>
          <w:sz w:val="15"/>
          <w:szCs w:val="15"/>
          <w:color w:val="auto"/>
        </w:rPr>
        <w:t>), as a result of anticipated increases in volatility in the spot charter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over the near term from COVID-19 pandemic related impacts to LNG and LNG shipping demand.</w:t>
      </w:r>
    </w:p>
    <w:p>
      <w:pPr>
        <w:spacing w:after="0" w:line="114" w:lineRule="exact"/>
        <w:rPr>
          <w:sz w:val="20"/>
          <w:szCs w:val="20"/>
          <w:color w:val="auto"/>
        </w:rPr>
      </w:pPr>
    </w:p>
    <w:p>
      <w:pPr>
        <w:ind w:right="40" w:firstLine="427"/>
        <w:spacing w:after="0" w:line="291"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decreased by $4.0 million, or 30.5%, from $13.1 million for the three-month period ended June 30, 2020 to $9.1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2021. The decrease in financial costs is mainly attributable to a decrease of $3.8 million in interest expense on loans, due to the lower London Interbank Offered Rate (“LIBOR”) rates in the three months ended June 30, 2021 as compared to the same period in 2020, as well as the reduced debt balances year-over-year. During the three-month period ended June 30, 2020, we had an average of $1,346.2 million of outstanding indebtedness with a weighted average interest rate of 3.4%, compared to an average of $1,261.1 million of outstanding indebtedness with a weighted average interest rate of 2.4% during the three-month period ended June 30, 2021.</w:t>
      </w:r>
    </w:p>
    <w:p>
      <w:pPr>
        <w:spacing w:after="0" w:line="122" w:lineRule="exact"/>
        <w:rPr>
          <w:sz w:val="20"/>
          <w:szCs w:val="20"/>
          <w:color w:val="auto"/>
        </w:rPr>
      </w:pPr>
    </w:p>
    <w:p>
      <w:pPr>
        <w:ind w:right="180" w:firstLine="427"/>
        <w:spacing w:after="0" w:line="273" w:lineRule="auto"/>
        <w:rPr>
          <w:sz w:val="20"/>
          <w:szCs w:val="20"/>
          <w:color w:val="auto"/>
        </w:rPr>
      </w:pPr>
      <w:r>
        <w:rPr>
          <w:rFonts w:ascii="Arial" w:cs="Arial" w:eastAsia="Arial" w:hAnsi="Arial"/>
          <w:sz w:val="16"/>
          <w:szCs w:val="16"/>
          <w:b w:val="1"/>
          <w:bCs w:val="1"/>
          <w:i w:val="1"/>
          <w:iCs w:val="1"/>
          <w:color w:val="auto"/>
        </w:rPr>
        <w:t xml:space="preserve">Gain/loss on Derivatives: </w:t>
      </w:r>
      <w:r>
        <w:rPr>
          <w:rFonts w:ascii="Arial" w:cs="Arial" w:eastAsia="Arial" w:hAnsi="Arial"/>
          <w:sz w:val="16"/>
          <w:szCs w:val="16"/>
          <w:color w:val="auto"/>
        </w:rPr>
        <w:t>Gain on derivatives decreased by $0.8 million, from a gain of $0.4 million for the three-month period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to a loss of $0.4 million for the same period in 2021. The decrease is attributable to a net increase of $1.3 million in realized loss on derivatives held for trading, partially offset by a net increase of $0.5 million in unrealized gain from the mark-to-market valuation of derivatives held for trading which were carried at fair value through profit or loss.</w:t>
      </w:r>
    </w:p>
    <w:p>
      <w:pPr>
        <w:spacing w:after="0" w:line="135" w:lineRule="exact"/>
        <w:rPr>
          <w:sz w:val="20"/>
          <w:szCs w:val="20"/>
          <w:color w:val="auto"/>
        </w:rPr>
      </w:pPr>
    </w:p>
    <w:p>
      <w:pPr>
        <w:ind w:right="20" w:firstLine="427"/>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increased by $6.5 million, or 79.3%, from $8.2 million for the three-month period ended June 30,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$14.7 million for the same period in 2021, as a result of the aforementioned factors.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Six-month period ended June 30, 2020 compared to the six-month period ended June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June 30, 2021</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5"/>
        </w:trPr>
        <w:tc>
          <w:tcPr>
            <w:tcW w:w="68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175,801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157,440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(18,361)</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960" w:type="dxa"/>
            <w:vAlign w:val="bottom"/>
          </w:tcPr>
          <w:p>
            <w:pPr>
              <w:jc w:val="right"/>
              <w:spacing w:after="0"/>
              <w:rPr>
                <w:sz w:val="20"/>
                <w:szCs w:val="20"/>
                <w:color w:val="auto"/>
              </w:rPr>
            </w:pPr>
            <w:r>
              <w:rPr>
                <w:rFonts w:ascii="Arial" w:cs="Arial" w:eastAsia="Arial" w:hAnsi="Arial"/>
                <w:sz w:val="16"/>
                <w:szCs w:val="16"/>
                <w:color w:val="auto"/>
              </w:rPr>
              <w:t>(6,670)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(3,931)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Depreciation</w:t>
            </w:r>
          </w:p>
        </w:tc>
        <w:tc>
          <w:tcPr>
            <w:tcW w:w="960" w:type="dxa"/>
            <w:vAlign w:val="bottom"/>
          </w:tcPr>
          <w:p>
            <w:pPr>
              <w:jc w:val="right"/>
              <w:spacing w:after="0"/>
              <w:rPr>
                <w:sz w:val="20"/>
                <w:szCs w:val="20"/>
                <w:color w:val="auto"/>
              </w:rPr>
            </w:pPr>
            <w:r>
              <w:rPr>
                <w:rFonts w:ascii="Arial" w:cs="Arial" w:eastAsia="Arial" w:hAnsi="Arial"/>
                <w:sz w:val="16"/>
                <w:szCs w:val="16"/>
                <w:color w:val="auto"/>
              </w:rPr>
              <w:t>(41,273)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(41,484)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960" w:type="dxa"/>
            <w:vAlign w:val="bottom"/>
          </w:tcPr>
          <w:p>
            <w:pPr>
              <w:jc w:val="right"/>
              <w:spacing w:after="0"/>
              <w:rPr>
                <w:sz w:val="20"/>
                <w:szCs w:val="20"/>
                <w:color w:val="auto"/>
              </w:rPr>
            </w:pPr>
            <w:r>
              <w:rPr>
                <w:rFonts w:ascii="Arial" w:cs="Arial" w:eastAsia="Arial" w:hAnsi="Arial"/>
                <w:sz w:val="16"/>
                <w:szCs w:val="16"/>
                <w:color w:val="auto"/>
              </w:rPr>
              <w:t>(18,841)</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18,841</w:t>
            </w:r>
          </w:p>
        </w:tc>
        <w:tc>
          <w:tcPr>
            <w:tcW w:w="0" w:type="dxa"/>
            <w:vAlign w:val="bottom"/>
          </w:tcPr>
          <w:p>
            <w:pPr>
              <w:spacing w:after="0"/>
              <w:rPr>
                <w:sz w:val="1"/>
                <w:szCs w:val="1"/>
                <w:color w:val="auto"/>
              </w:rPr>
            </w:pPr>
          </w:p>
        </w:tc>
      </w:tr>
      <w:tr>
        <w:trPr>
          <w:trHeight w:val="196"/>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64,437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67,615</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3,178</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20"/>
                <w:szCs w:val="20"/>
                <w:color w:val="auto"/>
              </w:rPr>
            </w:pPr>
            <w:r>
              <w:rPr>
                <w:rFonts w:ascii="Arial" w:cs="Arial" w:eastAsia="Arial" w:hAnsi="Arial"/>
                <w:sz w:val="16"/>
                <w:szCs w:val="16"/>
                <w:color w:val="auto"/>
              </w:rPr>
              <w:t>Financial costs</w:t>
            </w:r>
          </w:p>
        </w:tc>
        <w:tc>
          <w:tcPr>
            <w:tcW w:w="960" w:type="dxa"/>
            <w:vAlign w:val="bottom"/>
          </w:tcPr>
          <w:p>
            <w:pPr>
              <w:jc w:val="right"/>
              <w:spacing w:after="0"/>
              <w:rPr>
                <w:sz w:val="20"/>
                <w:szCs w:val="20"/>
                <w:color w:val="auto"/>
              </w:rPr>
            </w:pPr>
            <w:r>
              <w:rPr>
                <w:rFonts w:ascii="Arial" w:cs="Arial" w:eastAsia="Arial" w:hAnsi="Arial"/>
                <w:sz w:val="16"/>
                <w:szCs w:val="16"/>
                <w:color w:val="auto"/>
              </w:rPr>
              <w:t>(28,580)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(18,531)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3"/>
        </w:trPr>
        <w:tc>
          <w:tcPr>
            <w:tcW w:w="6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(Loss)/gain on derivatives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(13,751)</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14,667</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50,023</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27,641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40" w:firstLine="427"/>
        <w:spacing w:after="0" w:line="273" w:lineRule="auto"/>
        <w:rPr>
          <w:sz w:val="20"/>
          <w:szCs w:val="20"/>
          <w:color w:val="auto"/>
        </w:rPr>
      </w:pPr>
      <w:r>
        <w:rPr>
          <w:rFonts w:ascii="Arial" w:cs="Arial" w:eastAsia="Arial" w:hAnsi="Arial"/>
          <w:sz w:val="16"/>
          <w:szCs w:val="16"/>
          <w:color w:val="auto"/>
        </w:rPr>
        <w:t>For the six-month period ended June 30, 2020, we had an average of 15.0 vessels operating in our owned fleet having 2,705 available days, while during the six-month period ended June 30, 2021, we had an average of 15.0 vessels operating in our owned fleet having 2,619 available days, mainly due to increased off-hire days for scheduled dry-dockings (25 dry-docking off-hire days in the six-month period ended June 30, 2020 compared to 96 dry-docking off-hire days in the six-month period ended June 30, 2021).</w:t>
      </w:r>
    </w:p>
    <w:p>
      <w:pPr>
        <w:spacing w:after="0" w:line="135" w:lineRule="exact"/>
        <w:rPr>
          <w:sz w:val="20"/>
          <w:szCs w:val="20"/>
          <w:color w:val="auto"/>
        </w:rPr>
      </w:pPr>
    </w:p>
    <w:p>
      <w:pPr>
        <w:ind w:right="20" w:firstLine="427"/>
        <w:spacing w:after="0" w:line="269"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$18.4 million, or 10.5%, from $175.8 million for the six-month period ended June 30, 2020 to $157.4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2021. The decrease is mainly attributable to the expirations of the initial multi-year time charters of four of our Steam vessels with Shell in 2020 and early 2021 (which were at higher rates compared to their current re-contracted rates) and a decrease in revenues resulting from the 96 off-hire days due to the scheduled dry-dockings of three of our vessels in the first six months of 2021 (compared to 25 scheduled off-hire days for one vessel in the same period in 2020). The average daily hire rate decreased from $67,851 for the six-month period ended June 30, 2020 to $62,057 for the six-month period ended June 30, 2021.</w:t>
      </w:r>
    </w:p>
    <w:p>
      <w:pPr>
        <w:spacing w:after="0" w:line="140" w:lineRule="exact"/>
        <w:rPr>
          <w:sz w:val="20"/>
          <w:szCs w:val="20"/>
          <w:color w:val="auto"/>
        </w:rPr>
      </w:pPr>
    </w:p>
    <w:p>
      <w:pPr>
        <w:ind w:firstLine="427"/>
        <w:spacing w:after="0" w:line="273"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decreased by $2.8 million, or 41.8%, from $6.7 million in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2020 to $3.9 million in the six months ended June 30, 2021. The decrease in voyage expenses and commissions is mainly attributable to a decrease in bunker consumption costs due to the increased utilization of our spot fleet in the first six months of 2021, as compared to the same period in 2020.</w:t>
      </w:r>
    </w:p>
    <w:p>
      <w:pPr>
        <w:sectPr>
          <w:pgSz w:w="11900" w:h="16838" w:orient="portrait"/>
          <w:cols w:equalWidth="0" w:num="1">
            <w:col w:w="9920"/>
          </w:cols>
          <w:pgMar w:left="980" w:top="13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375285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type w:val="continuous"/>
        </w:sectPr>
      </w:pPr>
    </w:p>
    <w:bookmarkStart w:id="17" w:name="page18"/>
    <w:bookmarkEnd w:id="17"/>
    <w:p>
      <w:pPr>
        <w:ind w:right="60" w:firstLine="427"/>
        <w:spacing w:after="0" w:line="293" w:lineRule="auto"/>
        <w:rPr>
          <w:sz w:val="20"/>
          <w:szCs w:val="20"/>
          <w:color w:val="auto"/>
        </w:rPr>
      </w:pPr>
      <w:r>
        <w:rPr>
          <w:rFonts w:ascii="Arial" w:cs="Arial" w:eastAsia="Arial" w:hAnsi="Arial"/>
          <w:sz w:val="15"/>
          <w:szCs w:val="15"/>
          <w:b w:val="1"/>
          <w:bCs w:val="1"/>
          <w:i w:val="1"/>
          <w:iCs w:val="1"/>
          <w:color w:val="auto"/>
        </w:rPr>
        <w:t xml:space="preserve">Vessel Operating Costs: </w:t>
      </w:r>
      <w:r>
        <w:rPr>
          <w:rFonts w:ascii="Arial" w:cs="Arial" w:eastAsia="Arial" w:hAnsi="Arial"/>
          <w:sz w:val="15"/>
          <w:szCs w:val="15"/>
          <w:color w:val="auto"/>
        </w:rPr>
        <w:t>Vessel operating costs increased by $1.9 million, or 5.3%, from $36.0 million for the six-month period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2020 to $37.9 million for the same period in 2021. The increase in vessel operating costs is mainly attributable to an increase in crew costs in the first six months of 2021 due to the unfavorable movement of the EUR/USD exchange rate compared to the same period in 2020. As a result, daily operating costs per vessel (after excluding calendar days for the </w:t>
      </w:r>
      <w:r>
        <w:rPr>
          <w:rFonts w:ascii="Arial" w:cs="Arial" w:eastAsia="Arial" w:hAnsi="Arial"/>
          <w:sz w:val="15"/>
          <w:szCs w:val="15"/>
          <w:i w:val="1"/>
          <w:iCs w:val="1"/>
          <w:color w:val="auto"/>
        </w:rPr>
        <w:t>Solaris</w:t>
      </w:r>
      <w:r>
        <w:rPr>
          <w:rFonts w:ascii="Arial" w:cs="Arial" w:eastAsia="Arial" w:hAnsi="Arial"/>
          <w:sz w:val="15"/>
          <w:szCs w:val="15"/>
          <w:color w:val="auto"/>
        </w:rPr>
        <w:t>, the operating costs of which are covered by the charterers) increased from $14,124 per day for the six-month period ended June 30, 2020 to $14,937 per day for the six-month period ended June 30, 2021.</w:t>
      </w:r>
    </w:p>
    <w:p>
      <w:pPr>
        <w:spacing w:after="0" w:line="135" w:lineRule="exact"/>
        <w:rPr>
          <w:sz w:val="20"/>
          <w:szCs w:val="20"/>
          <w:color w:val="auto"/>
        </w:rPr>
      </w:pPr>
    </w:p>
    <w:p>
      <w:pPr>
        <w:ind w:right="20" w:firstLine="427"/>
        <w:spacing w:after="0" w:line="291"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decreased by $2.0 million, or 23.3%, from $8.6 million for the six-month period ended June 30, 2020 to $6.6 million for the same period in 2021. The decrease in general and administrative expenses is mainly attributable to a decrease of $1.6 million in administrative services fees, in connection with the decrease of the annual fee payable to GasLog in 2021 by approximately $0.2 million per vessel per year. The decrease in the annual fee was driven by organizational changes and corporate savings at GasLog. As a result, daily general and administrative expenses decreased from $3,147 per vessel ownership day for the six-month period ended June 30, 2020 to $2,415 per vessel ownership day for the six-month period ended June 30, 2021.</w:t>
      </w:r>
    </w:p>
    <w:p>
      <w:pPr>
        <w:spacing w:after="0" w:line="149" w:lineRule="exact"/>
        <w:rPr>
          <w:sz w:val="20"/>
          <w:szCs w:val="20"/>
          <w:color w:val="auto"/>
        </w:rPr>
      </w:pPr>
    </w:p>
    <w:p>
      <w:pPr>
        <w:ind w:right="80" w:firstLine="427"/>
        <w:spacing w:after="0" w:line="297" w:lineRule="auto"/>
        <w:rPr>
          <w:sz w:val="20"/>
          <w:szCs w:val="20"/>
          <w:color w:val="auto"/>
        </w:rPr>
      </w:pPr>
      <w:r>
        <w:rPr>
          <w:rFonts w:ascii="Arial" w:cs="Arial" w:eastAsia="Arial" w:hAnsi="Arial"/>
          <w:sz w:val="15"/>
          <w:szCs w:val="15"/>
          <w:b w:val="1"/>
          <w:bCs w:val="1"/>
          <w:i w:val="1"/>
          <w:iCs w:val="1"/>
          <w:color w:val="auto"/>
        </w:rPr>
        <w:t xml:space="preserve">Impairment Loss on Vessels: </w:t>
      </w:r>
      <w:r>
        <w:rPr>
          <w:rFonts w:ascii="Arial" w:cs="Arial" w:eastAsia="Arial" w:hAnsi="Arial"/>
          <w:sz w:val="15"/>
          <w:szCs w:val="15"/>
          <w:color w:val="auto"/>
        </w:rPr>
        <w:t>Impairment loss on vessels was $18.8 million for the six-month period ended June 30, 2020 and nil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period in 2021. The impairment loss recorded as of June 30, 2020 was recognized with respect to three of the Partnership’s Steam vessels (the </w:t>
      </w:r>
      <w:r>
        <w:rPr>
          <w:rFonts w:ascii="Arial" w:cs="Arial" w:eastAsia="Arial" w:hAnsi="Arial"/>
          <w:sz w:val="15"/>
          <w:szCs w:val="15"/>
          <w:i w:val="1"/>
          <w:iCs w:val="1"/>
          <w:color w:val="auto"/>
        </w:rPr>
        <w:t>Methane</w:t>
      </w:r>
      <w:r>
        <w:rPr>
          <w:rFonts w:ascii="Arial" w:cs="Arial" w:eastAsia="Arial" w:hAnsi="Arial"/>
          <w:sz w:val="15"/>
          <w:szCs w:val="15"/>
          <w:color w:val="auto"/>
        </w:rPr>
        <w:t xml:space="preserve"> </w:t>
      </w:r>
      <w:r>
        <w:rPr>
          <w:rFonts w:ascii="Arial" w:cs="Arial" w:eastAsia="Arial" w:hAnsi="Arial"/>
          <w:sz w:val="15"/>
          <w:szCs w:val="15"/>
          <w:i w:val="1"/>
          <w:iCs w:val="1"/>
          <w:color w:val="auto"/>
        </w:rPr>
        <w:t>Rita Andrea</w:t>
      </w:r>
      <w:r>
        <w:rPr>
          <w:rFonts w:ascii="Arial" w:cs="Arial" w:eastAsia="Arial" w:hAnsi="Arial"/>
          <w:sz w:val="15"/>
          <w:szCs w:val="15"/>
          <w:color w:val="auto"/>
        </w:rPr>
        <w:t>, the</w:t>
      </w:r>
      <w:r>
        <w:rPr>
          <w:rFonts w:ascii="Arial" w:cs="Arial" w:eastAsia="Arial" w:hAnsi="Arial"/>
          <w:sz w:val="15"/>
          <w:szCs w:val="15"/>
          <w:i w:val="1"/>
          <w:iCs w:val="1"/>
          <w:color w:val="auto"/>
        </w:rPr>
        <w:t xml:space="preserve"> Methane Shirley Elisabeth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Heather Sally</w:t>
      </w:r>
      <w:r>
        <w:rPr>
          <w:rFonts w:ascii="Arial" w:cs="Arial" w:eastAsia="Arial" w:hAnsi="Arial"/>
          <w:sz w:val="15"/>
          <w:szCs w:val="15"/>
          <w:color w:val="auto"/>
        </w:rPr>
        <w:t>), as a result of anticipated increases in volatility in the spot charter market</w:t>
      </w:r>
      <w:r>
        <w:rPr>
          <w:rFonts w:ascii="Arial" w:cs="Arial" w:eastAsia="Arial" w:hAnsi="Arial"/>
          <w:sz w:val="15"/>
          <w:szCs w:val="15"/>
          <w:i w:val="1"/>
          <w:iCs w:val="1"/>
          <w:color w:val="auto"/>
        </w:rPr>
        <w:t xml:space="preserve"> </w:t>
      </w:r>
      <w:r>
        <w:rPr>
          <w:rFonts w:ascii="Arial" w:cs="Arial" w:eastAsia="Arial" w:hAnsi="Arial"/>
          <w:sz w:val="15"/>
          <w:szCs w:val="15"/>
          <w:color w:val="auto"/>
        </w:rPr>
        <w:t>over the near term from COVID-19 pandemic related impacts to LNG and LNG shipping demand.</w:t>
      </w:r>
    </w:p>
    <w:p>
      <w:pPr>
        <w:spacing w:after="0" w:line="132" w:lineRule="exact"/>
        <w:rPr>
          <w:sz w:val="20"/>
          <w:szCs w:val="20"/>
          <w:color w:val="auto"/>
        </w:rPr>
      </w:pPr>
    </w:p>
    <w:p>
      <w:pPr>
        <w:ind w:firstLine="427"/>
        <w:spacing w:after="0" w:line="291"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decreased by $10.1 million, or 35.3%, from $28.6 million for the six-month period ended June 30, 2020 to $18.5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2021. The decrease in financial costs is mainly attributable to a decrease of $9.3 million in interest expense on loans, due to the lower LIBOR rates in the six months ended June 30, 2021 as compared to the same period in 2020, as well as the reduced debt balances year-over-year, and a decrease of $0.5 million in amortization of deferred loan issuance costs. During the six-month period ended June 30, 2020, we had an average of $1,349.2 million of outstanding indebtedness with a weighted average interest rate of 3.7%, compared to an average of $1,274.4 million of outstanding indebtedness with a weighted average interest rate of 2.4% during the six-month period ended June 30, 2021.</w:t>
      </w:r>
    </w:p>
    <w:p>
      <w:pPr>
        <w:spacing w:after="0" w:line="136" w:lineRule="exact"/>
        <w:rPr>
          <w:sz w:val="20"/>
          <w:szCs w:val="20"/>
          <w:color w:val="auto"/>
        </w:rPr>
      </w:pPr>
    </w:p>
    <w:p>
      <w:pPr>
        <w:ind w:right="40" w:firstLine="427"/>
        <w:spacing w:after="0" w:line="271" w:lineRule="auto"/>
        <w:rPr>
          <w:sz w:val="20"/>
          <w:szCs w:val="20"/>
          <w:color w:val="auto"/>
        </w:rPr>
      </w:pPr>
      <w:r>
        <w:rPr>
          <w:rFonts w:ascii="Arial" w:cs="Arial" w:eastAsia="Arial" w:hAnsi="Arial"/>
          <w:sz w:val="16"/>
          <w:szCs w:val="16"/>
          <w:b w:val="1"/>
          <w:bCs w:val="1"/>
          <w:i w:val="1"/>
          <w:iCs w:val="1"/>
          <w:color w:val="auto"/>
        </w:rPr>
        <w:t xml:space="preserve">Loss/(gain) on Derivatives: </w:t>
      </w:r>
      <w:r>
        <w:rPr>
          <w:rFonts w:ascii="Arial" w:cs="Arial" w:eastAsia="Arial" w:hAnsi="Arial"/>
          <w:sz w:val="16"/>
          <w:szCs w:val="16"/>
          <w:color w:val="auto"/>
        </w:rPr>
        <w:t>Loss on derivatives decreased by $14.7 million, from a loss of $13.8 million for the six-month period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to a gain of $0.9 million for the same period in 2021. The decrease is attributable to a $17.8 million decrease in unrealized loss from the mark-to-market valuation of derivatives held for trading which were carried at fair value through profit or loss, which reflected a loss of $12.2 million in the six months ended June 30, 2020 as compared to a gain of $5.6 million in the six months ended June 30, 2021, partially offset by a net increase of $3.1 million in realized loss on derivatives held for trading.</w:t>
      </w:r>
    </w:p>
    <w:p>
      <w:pPr>
        <w:spacing w:after="0" w:line="163" w:lineRule="exact"/>
        <w:rPr>
          <w:sz w:val="20"/>
          <w:szCs w:val="20"/>
          <w:color w:val="auto"/>
        </w:rPr>
      </w:pPr>
    </w:p>
    <w:p>
      <w:pPr>
        <w:ind w:right="80" w:firstLine="427"/>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increased by $27.6 million, from $22.4 million for the six-month period ended June 30, 2020 to $50.0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2021, as a result of the aforementioned factors.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right="80" w:firstLine="427"/>
        <w:spacing w:after="0" w:line="269" w:lineRule="auto"/>
        <w:rPr>
          <w:sz w:val="20"/>
          <w:szCs w:val="20"/>
          <w:color w:val="auto"/>
        </w:rPr>
      </w:pPr>
      <w:r>
        <w:rPr>
          <w:rFonts w:ascii="Arial" w:cs="Arial" w:eastAsia="Arial" w:hAnsi="Arial"/>
          <w:sz w:val="16"/>
          <w:szCs w:val="16"/>
          <w:color w:val="auto"/>
        </w:rPr>
        <w:t>We operate in a capital-intensive industry and we expect to finance the purchase of any additional vessels or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67" w:lineRule="exact"/>
        <w:rPr>
          <w:sz w:val="20"/>
          <w:szCs w:val="20"/>
          <w:color w:val="auto"/>
        </w:rPr>
      </w:pPr>
    </w:p>
    <w:p>
      <w:pPr>
        <w:ind w:right="140" w:firstLine="427"/>
        <w:spacing w:after="0" w:line="297" w:lineRule="auto"/>
        <w:rPr>
          <w:sz w:val="20"/>
          <w:szCs w:val="20"/>
          <w:color w:val="auto"/>
        </w:rPr>
      </w:pPr>
      <w:r>
        <w:rPr>
          <w:rFonts w:ascii="Arial" w:cs="Arial" w:eastAsia="Arial" w:hAnsi="Arial"/>
          <w:sz w:val="15"/>
          <w:szCs w:val="15"/>
          <w:color w:val="auto"/>
        </w:rPr>
        <w:t>In the three and six months ended June 30, 2021, under our ATM Common Equity Offering Programme (“ATM Programme”), we issued and received payment for 3,195,401 common units at a weighted average price of $3.19 per common unit for total gross proceeds of $10.2 million and net proceeds of $10.0 million, after broker commissions. During this period, we also issued 56,158 general partner units to our general partner in order for GasLog to retain its 2.0% general partner interest. The net proceeds from the issuance of the general partner units were $0.2 million.</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three and six months ended June 30, 2021, there were no repurchases of our common units.</w:t>
      </w:r>
    </w:p>
    <w:p>
      <w:pPr>
        <w:spacing w:after="0" w:line="194" w:lineRule="exact"/>
        <w:rPr>
          <w:sz w:val="20"/>
          <w:szCs w:val="20"/>
          <w:color w:val="auto"/>
        </w:rPr>
      </w:pPr>
    </w:p>
    <w:p>
      <w:pPr>
        <w:jc w:val="both"/>
        <w:ind w:right="340" w:firstLine="427"/>
        <w:spacing w:after="0" w:line="287" w:lineRule="auto"/>
        <w:rPr>
          <w:sz w:val="20"/>
          <w:szCs w:val="20"/>
          <w:color w:val="auto"/>
        </w:rPr>
      </w:pPr>
      <w:r>
        <w:rPr>
          <w:rFonts w:ascii="Arial" w:cs="Arial" w:eastAsia="Arial" w:hAnsi="Arial"/>
          <w:sz w:val="16"/>
          <w:szCs w:val="16"/>
          <w:color w:val="auto"/>
        </w:rPr>
        <w:t>As of June 30, 2021, we had $119.8 million of cash and cash equivalents, out of which $62.9 million was held in current accounts and $56.9 million was held in time deposits with an original duration of less than three months. An additional amount of $2.5 million of time deposits with an original duration greater than three months was classified under short-term investments.</w:t>
      </w:r>
    </w:p>
    <w:p>
      <w:pPr>
        <w:spacing w:after="0" w:line="150" w:lineRule="exact"/>
        <w:rPr>
          <w:sz w:val="20"/>
          <w:szCs w:val="20"/>
          <w:color w:val="auto"/>
        </w:rPr>
      </w:pPr>
    </w:p>
    <w:p>
      <w:pPr>
        <w:jc w:val="both"/>
        <w:ind w:right="40" w:firstLine="427"/>
        <w:spacing w:after="0" w:line="278" w:lineRule="auto"/>
        <w:rPr>
          <w:sz w:val="20"/>
          <w:szCs w:val="20"/>
          <w:color w:val="auto"/>
        </w:rPr>
      </w:pPr>
      <w:r>
        <w:rPr>
          <w:rFonts w:ascii="Arial" w:cs="Arial" w:eastAsia="Arial" w:hAnsi="Arial"/>
          <w:sz w:val="16"/>
          <w:szCs w:val="16"/>
          <w:color w:val="auto"/>
        </w:rPr>
        <w:t>As of June 30, 2021, we had an aggregate of $1,233.1 million of borrowings outstanding under our credit facilities, of which $105.1 million was repayable within one year. In addition, as of June 30, 2021, we had unused availability under our revolving credit facility with GasLog of $30.0 million, which matures in March 2022.</w:t>
      </w:r>
    </w:p>
    <w:p>
      <w:pPr>
        <w:spacing w:after="0" w:line="144" w:lineRule="exact"/>
        <w:rPr>
          <w:sz w:val="20"/>
          <w:szCs w:val="20"/>
          <w:color w:val="auto"/>
        </w:rPr>
      </w:pPr>
    </w:p>
    <w:p>
      <w:pPr>
        <w:jc w:val="both"/>
        <w:ind w:right="20" w:firstLine="427"/>
        <w:spacing w:after="0" w:line="305" w:lineRule="auto"/>
        <w:rPr>
          <w:sz w:val="20"/>
          <w:szCs w:val="20"/>
          <w:color w:val="auto"/>
        </w:rPr>
      </w:pPr>
      <w:r>
        <w:rPr>
          <w:rFonts w:ascii="Arial" w:cs="Arial" w:eastAsia="Arial" w:hAnsi="Arial"/>
          <w:sz w:val="15"/>
          <w:szCs w:val="15"/>
          <w:color w:val="auto"/>
        </w:rPr>
        <w:t>As of June 30, 2021, the Partnership had in place seven interest rate swap agreements at a notional value of $473.3 million in aggregate, maturing between 2021 and 2025. As a result of its hedging agreements, the Partnership has hedged 37.9% of its floating interest rate exposure on its outstanding debt as of June 30, 2021, at a weighted average interest rate of approximately 2.2% (excluding margin).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June 30, 2021, our current assets totaled $141.6 million and current liabilities totaled $183.2 million, resulting in a negative working</w:t>
      </w:r>
    </w:p>
    <w:p>
      <w:pPr>
        <w:sectPr>
          <w:pgSz w:w="11900" w:h="16838" w:orient="portrait"/>
          <w:cols w:equalWidth="0" w:num="1">
            <w:col w:w="9900"/>
          </w:cols>
          <w:pgMar w:left="980" w:top="13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375285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30" w:right="1019" w:bottom="1440" w:gutter="0" w:footer="0" w:header="0"/>
          <w:type w:val="continuous"/>
        </w:sectPr>
      </w:pPr>
    </w:p>
    <w:bookmarkStart w:id="18" w:name="page19"/>
    <w:bookmarkEnd w:id="18"/>
    <w:p>
      <w:pPr>
        <w:ind w:right="80"/>
        <w:spacing w:after="0" w:line="293" w:lineRule="auto"/>
        <w:rPr>
          <w:sz w:val="20"/>
          <w:szCs w:val="20"/>
          <w:color w:val="auto"/>
        </w:rPr>
      </w:pPr>
      <w:r>
        <w:rPr>
          <w:rFonts w:ascii="Arial" w:cs="Arial" w:eastAsia="Arial" w:hAnsi="Arial"/>
          <w:sz w:val="16"/>
          <w:szCs w:val="16"/>
          <w:color w:val="auto"/>
        </w:rPr>
        <w:t>capital position of $41.6 million. Current liabilities include $25.3 million of unearned revenue in relation to hires received in advance (which represents a non-cash liability that will be recognized as revenues in July 2021 as the services are rendered).</w:t>
      </w:r>
    </w:p>
    <w:p>
      <w:pPr>
        <w:spacing w:after="0" w:line="172" w:lineRule="exact"/>
        <w:rPr>
          <w:sz w:val="20"/>
          <w:szCs w:val="20"/>
          <w:color w:val="auto"/>
        </w:rPr>
      </w:pPr>
    </w:p>
    <w:p>
      <w:pPr>
        <w:ind w:right="100" w:firstLine="427"/>
        <w:spacing w:after="0" w:line="293" w:lineRule="auto"/>
        <w:rPr>
          <w:sz w:val="20"/>
          <w:szCs w:val="20"/>
          <w:color w:val="auto"/>
        </w:rPr>
      </w:pPr>
      <w:r>
        <w:rPr>
          <w:rFonts w:ascii="Arial" w:cs="Arial" w:eastAsia="Arial" w:hAnsi="Arial"/>
          <w:sz w:val="15"/>
          <w:szCs w:val="15"/>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We anticipate that our primary sources of funds for at least twelve months from the date of this report will be available cash, cash from operations and existing debt facilities. We believe that these anticipated sources of funds, as well as our ability to access the capital markets if needed, will be sufficient to meet our liquidity needs and comply with our banking covenants for at least twelve months from the date of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Six-month period ended June 30, 2020 compared to the six-month period ended June 30, 2021</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280" w:type="dxa"/>
            <w:vAlign w:val="bottom"/>
            <w:gridSpan w:val="4"/>
          </w:tcPr>
          <w:p>
            <w:pPr>
              <w:ind w:left="440"/>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Pr>
          <w:p>
            <w:pPr>
              <w:spacing w:after="0"/>
              <w:rPr>
                <w:sz w:val="17"/>
                <w:szCs w:val="17"/>
                <w:color w:val="auto"/>
              </w:rPr>
            </w:pPr>
          </w:p>
        </w:tc>
      </w:tr>
      <w:tr>
        <w:trPr>
          <w:trHeight w:val="213"/>
        </w:trPr>
        <w:tc>
          <w:tcPr>
            <w:tcW w:w="68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June 30, 2020</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w:t>
            </w:r>
          </w:p>
        </w:tc>
      </w:tr>
      <w:tr>
        <w:trPr>
          <w:trHeight w:val="19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110,058</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113,017</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w:t>
            </w:r>
          </w:p>
        </w:tc>
      </w:tr>
      <w:tr>
        <w:trPr>
          <w:trHeight w:val="202"/>
        </w:trPr>
        <w:tc>
          <w:tcPr>
            <w:tcW w:w="68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jc w:val="right"/>
              <w:spacing w:after="0"/>
              <w:rPr>
                <w:sz w:val="20"/>
                <w:szCs w:val="20"/>
                <w:color w:val="auto"/>
              </w:rPr>
            </w:pPr>
            <w:r>
              <w:rPr>
                <w:rFonts w:ascii="Arial" w:cs="Arial" w:eastAsia="Arial" w:hAnsi="Arial"/>
                <w:sz w:val="16"/>
                <w:szCs w:val="16"/>
                <w:color w:val="auto"/>
              </w:rPr>
              <w:t>(11,720)</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(14,718)</w:t>
            </w:r>
          </w:p>
        </w:tc>
        <w:tc>
          <w:tcPr>
            <w:tcW w:w="820" w:type="dxa"/>
            <w:vAlign w:val="bottom"/>
          </w:tcPr>
          <w:p>
            <w:pPr>
              <w:jc w:val="right"/>
              <w:spacing w:after="0"/>
              <w:rPr>
                <w:sz w:val="20"/>
                <w:szCs w:val="20"/>
                <w:color w:val="auto"/>
              </w:rPr>
            </w:pPr>
            <w:r>
              <w:rPr>
                <w:rFonts w:ascii="Arial" w:cs="Arial" w:eastAsia="Arial" w:hAnsi="Arial"/>
                <w:sz w:val="16"/>
                <w:szCs w:val="16"/>
                <w:color w:val="auto"/>
              </w:rPr>
              <w:t>(2,998)</w:t>
            </w: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(123,012)</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(82,219)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181" w:lineRule="exact"/>
        <w:rPr>
          <w:sz w:val="20"/>
          <w:szCs w:val="20"/>
          <w:color w:val="auto"/>
        </w:rPr>
      </w:pPr>
    </w:p>
    <w:p>
      <w:pPr>
        <w:ind w:right="40" w:firstLine="427"/>
        <w:spacing w:after="0" w:line="271" w:lineRule="auto"/>
        <w:rPr>
          <w:sz w:val="20"/>
          <w:szCs w:val="20"/>
          <w:color w:val="auto"/>
        </w:rPr>
      </w:pPr>
      <w:r>
        <w:rPr>
          <w:rFonts w:ascii="Arial" w:cs="Arial" w:eastAsia="Arial" w:hAnsi="Arial"/>
          <w:sz w:val="16"/>
          <w:szCs w:val="16"/>
          <w:color w:val="auto"/>
        </w:rPr>
        <w:t>Net cash provided by operating activities increased by $2.9 million, from $110.1 million in the six-month period ended June 30, 2020 to $113.0 million in the six-month period ended June 30, 2021. The increase of $2.9 million is mainly attributable to a $18.5 million movement in working capital accounts (primarily affected by an increase of $12.9 million from unearned revenue movements) and a net decrease of $2.9 million in vessel operating costs, voyage expenses and commissions and general and administrative expenses. These increases were partially offset by a decrease of $18.4 million in revenues.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81" w:lineRule="exact"/>
        <w:rPr>
          <w:sz w:val="20"/>
          <w:szCs w:val="20"/>
          <w:color w:val="auto"/>
        </w:rPr>
      </w:pPr>
    </w:p>
    <w:p>
      <w:pPr>
        <w:ind w:right="160" w:firstLine="427"/>
        <w:spacing w:after="0" w:line="278" w:lineRule="auto"/>
        <w:rPr>
          <w:sz w:val="20"/>
          <w:szCs w:val="20"/>
          <w:color w:val="auto"/>
        </w:rPr>
      </w:pPr>
      <w:r>
        <w:rPr>
          <w:rFonts w:ascii="Arial" w:cs="Arial" w:eastAsia="Arial" w:hAnsi="Arial"/>
          <w:sz w:val="16"/>
          <w:szCs w:val="16"/>
          <w:color w:val="auto"/>
        </w:rPr>
        <w:t>Net cash used in investing activities increased by $3.0 million, from $11.7 million in the six-month period ended June 30, 2020 to $14.7 million in the six-month period ended June 30, 2021. The increase of $3.0 million is mainly attributable to an increase in net cash used in short-term investments of $2.5 million.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181" w:lineRule="exact"/>
        <w:rPr>
          <w:sz w:val="20"/>
          <w:szCs w:val="20"/>
          <w:color w:val="auto"/>
        </w:rPr>
      </w:pPr>
    </w:p>
    <w:p>
      <w:pPr>
        <w:ind w:right="40" w:firstLine="427"/>
        <w:spacing w:after="0" w:line="293" w:lineRule="auto"/>
        <w:rPr>
          <w:sz w:val="20"/>
          <w:szCs w:val="20"/>
          <w:color w:val="auto"/>
        </w:rPr>
      </w:pPr>
      <w:r>
        <w:rPr>
          <w:rFonts w:ascii="Arial" w:cs="Arial" w:eastAsia="Arial" w:hAnsi="Arial"/>
          <w:sz w:val="15"/>
          <w:szCs w:val="15"/>
          <w:color w:val="auto"/>
        </w:rPr>
        <w:t>Net cash used in financing activities decreased by $40.8 million, from $123.0 million in the six-month period ended June 30, 2020 to $82.2 million in the six-month period ended June 30, 2021. The decrease of $40.8 million is attributable to a decrease of $31.8 million in distributions paid, a decrease of $15.3 million in net payments for cash collateral for interest rate swaps, an increase in proceeds from equity raisings and issuance of general partner units of $10.2 million, a decrease of $7.5 million in interest paid, a decrease of $1.0 million in cash used for repurchases of common units and a decrease of $0.9 million in bank loan repayments, partially offset by a decrease in bank loan drawdowns of $25.9 million.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Contracted Charter Revenues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June 30, 2021:</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After</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9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76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For the years ending December 31,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2021</w:t>
            </w: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2025-2026</w:t>
            </w:r>
          </w:p>
        </w:tc>
        <w:tc>
          <w:tcPr>
            <w:tcW w:w="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gridSpan w:val="7"/>
          </w:tcPr>
          <w:p>
            <w:pPr>
              <w:jc w:val="right"/>
              <w:ind w:right="359"/>
              <w:spacing w:after="0"/>
              <w:rPr>
                <w:sz w:val="20"/>
                <w:szCs w:val="20"/>
                <w:color w:val="auto"/>
              </w:rPr>
            </w:pPr>
            <w:r>
              <w:rPr>
                <w:rFonts w:ascii="Arial" w:cs="Arial" w:eastAsia="Arial" w:hAnsi="Arial"/>
                <w:sz w:val="16"/>
                <w:szCs w:val="16"/>
                <w:b w:val="1"/>
                <w:bCs w:val="1"/>
                <w:i w:val="1"/>
                <w:iCs w:val="1"/>
                <w:color w:val="auto"/>
                <w:w w:val="96"/>
              </w:rPr>
              <w:t>(in millions of U.S. dollars, except days and percentages)</w:t>
            </w:r>
          </w:p>
        </w:tc>
        <w:tc>
          <w:tcPr>
            <w:tcW w:w="14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w w:val="92"/>
              </w:rPr>
              <w:t>Contracted time charter revenues</w:t>
            </w:r>
            <w:r>
              <w:rPr>
                <w:rFonts w:ascii="Arial" w:cs="Arial" w:eastAsia="Arial" w:hAnsi="Arial"/>
                <w:sz w:val="23"/>
                <w:szCs w:val="23"/>
                <w:color w:val="auto"/>
                <w:w w:val="92"/>
                <w:vertAlign w:val="superscript"/>
              </w:rPr>
              <w:t>(1)(2)(3)(4)</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$ 142.3</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$ 217.0</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$ 149.9</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70.4</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83.3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662.9</w:t>
            </w:r>
          </w:p>
        </w:tc>
        <w:tc>
          <w:tcPr>
            <w:tcW w:w="14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3"/>
                <w:szCs w:val="23"/>
                <w:color w:val="auto"/>
                <w:vertAlign w:val="superscript"/>
              </w:rPr>
              <w:t>(1)(2)</w:t>
            </w: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2,427</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3,521</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823</w:t>
            </w:r>
          </w:p>
        </w:tc>
        <w:tc>
          <w:tcPr>
            <w:tcW w:w="180" w:type="dxa"/>
            <w:vAlign w:val="bottom"/>
          </w:tcPr>
          <w:p>
            <w:pPr>
              <w:spacing w:after="0"/>
              <w:rPr>
                <w:sz w:val="17"/>
                <w:szCs w:val="17"/>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970</w:t>
            </w:r>
          </w:p>
        </w:tc>
        <w:tc>
          <w:tcPr>
            <w:tcW w:w="700" w:type="dxa"/>
            <w:vAlign w:val="bottom"/>
          </w:tcPr>
          <w:p>
            <w:pPr>
              <w:jc w:val="right"/>
              <w:spacing w:after="0"/>
              <w:rPr>
                <w:sz w:val="20"/>
                <w:szCs w:val="20"/>
                <w:color w:val="auto"/>
              </w:rPr>
            </w:pPr>
            <w:r>
              <w:rPr>
                <w:rFonts w:ascii="Arial" w:cs="Arial" w:eastAsia="Arial" w:hAnsi="Arial"/>
                <w:sz w:val="16"/>
                <w:szCs w:val="16"/>
                <w:color w:val="auto"/>
              </w:rPr>
              <w:t>9,757</w:t>
            </w:r>
          </w:p>
        </w:tc>
        <w:tc>
          <w:tcPr>
            <w:tcW w:w="14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3"/>
                <w:szCs w:val="23"/>
                <w:color w:val="auto"/>
                <w:vertAlign w:val="superscript"/>
              </w:rPr>
              <w:t>(5)</w:t>
            </w: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2,692</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5,475</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5,355</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5,460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10,650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29,632</w:t>
            </w:r>
          </w:p>
        </w:tc>
        <w:tc>
          <w:tcPr>
            <w:tcW w:w="14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6"/>
                <w:szCs w:val="16"/>
                <w:color w:val="auto"/>
              </w:rPr>
              <w:t>Total unfixed days</w:t>
            </w:r>
            <w:r>
              <w:rPr>
                <w:rFonts w:ascii="Arial" w:cs="Arial" w:eastAsia="Arial" w:hAnsi="Arial"/>
                <w:sz w:val="23"/>
                <w:szCs w:val="23"/>
                <w:color w:val="auto"/>
                <w:vertAlign w:val="superscript"/>
              </w:rPr>
              <w:t>(6)</w:t>
            </w: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265</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1,954</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3,339</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4,637</w:t>
            </w:r>
          </w:p>
        </w:tc>
        <w:tc>
          <w:tcPr>
            <w:tcW w:w="180" w:type="dxa"/>
            <w:vAlign w:val="bottom"/>
          </w:tcPr>
          <w:p>
            <w:pPr>
              <w:spacing w:after="0"/>
              <w:rPr>
                <w:sz w:val="17"/>
                <w:szCs w:val="17"/>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9,680</w:t>
            </w:r>
          </w:p>
        </w:tc>
        <w:tc>
          <w:tcPr>
            <w:tcW w:w="700" w:type="dxa"/>
            <w:vAlign w:val="bottom"/>
          </w:tcPr>
          <w:p>
            <w:pPr>
              <w:jc w:val="right"/>
              <w:spacing w:after="0"/>
              <w:rPr>
                <w:sz w:val="20"/>
                <w:szCs w:val="20"/>
                <w:color w:val="auto"/>
              </w:rPr>
            </w:pPr>
            <w:r>
              <w:rPr>
                <w:rFonts w:ascii="Arial" w:cs="Arial" w:eastAsia="Arial" w:hAnsi="Arial"/>
                <w:sz w:val="16"/>
                <w:szCs w:val="16"/>
                <w:color w:val="auto"/>
              </w:rPr>
              <w:t>19,875</w:t>
            </w:r>
          </w:p>
        </w:tc>
        <w:tc>
          <w:tcPr>
            <w:tcW w:w="140" w:type="dxa"/>
            <w:vAlign w:val="bottom"/>
          </w:tcPr>
          <w:p>
            <w:pPr>
              <w:spacing w:after="0"/>
              <w:rPr>
                <w:sz w:val="17"/>
                <w:szCs w:val="17"/>
                <w:color w:val="auto"/>
              </w:rPr>
            </w:pPr>
          </w:p>
        </w:tc>
      </w:tr>
      <w:tr>
        <w:trPr>
          <w:trHeight w:val="19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Percentage of total contracted days/total</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 days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90.2 %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32.9 %</w:t>
            </w:r>
          </w:p>
        </w:tc>
      </w:tr>
    </w:tbl>
    <w:p>
      <w:pPr>
        <w:spacing w:after="0" w:line="193" w:lineRule="exact"/>
        <w:rPr>
          <w:sz w:val="20"/>
          <w:szCs w:val="20"/>
          <w:color w:val="auto"/>
        </w:rPr>
      </w:pPr>
    </w:p>
    <w:p>
      <w:pPr>
        <w:ind w:right="200" w:firstLine="427"/>
        <w:spacing w:after="0" w:line="293" w:lineRule="auto"/>
        <w:rPr>
          <w:sz w:val="20"/>
          <w:szCs w:val="20"/>
          <w:color w:val="auto"/>
        </w:rPr>
      </w:pPr>
      <w:r>
        <w:rPr>
          <w:rFonts w:ascii="Arial" w:cs="Arial" w:eastAsia="Arial" w:hAnsi="Arial"/>
          <w:sz w:val="16"/>
          <w:szCs w:val="16"/>
          <w:color w:val="auto"/>
        </w:rPr>
        <w:t>After giving effect to the charter parties signed from June 30, 2021 until July 26, 2021, the percentage of total contracted days to total available days for the remainder of 2021 and 2022 increased to 100.0% and 69.2%,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12598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Reflects time charter revenues and contracted days for the 15 LNG carriers in our fleet as of June 30, 2021.</w:t>
      </w:r>
    </w:p>
    <w:p>
      <w:pPr>
        <w:ind w:left="340" w:right="340" w:hanging="332"/>
        <w:spacing w:after="0" w:line="221"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180" w:hanging="332"/>
        <w:spacing w:after="0" w:line="237"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sectPr>
          <w:pgSz w:w="11900" w:h="16838" w:orient="portrait"/>
          <w:cols w:equalWidth="0" w:num="1">
            <w:col w:w="9920"/>
          </w:cols>
          <w:pgMar w:left="980" w:top="130" w:right="9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375285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type w:val="continuous"/>
        </w:sectPr>
      </w:pPr>
    </w:p>
    <w:bookmarkStart w:id="19" w:name="page20"/>
    <w:bookmarkEnd w:id="19"/>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Revenue calculations assume no exercise of any option to extend the terms of the charters.</w:t>
      </w:r>
    </w:p>
    <w:p>
      <w:pPr>
        <w:ind w:left="340" w:hanging="332"/>
        <w:spacing w:after="0" w:line="221"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w:t>
      </w:r>
    </w:p>
    <w:p>
      <w:pPr>
        <w:ind w:left="340" w:hanging="332"/>
        <w:spacing w:after="0"/>
        <w:tabs>
          <w:tab w:leader="none" w:pos="340" w:val="left"/>
        </w:tabs>
        <w:numPr>
          <w:ilvl w:val="0"/>
          <w:numId w:val="11"/>
        </w:numPr>
        <w:rPr>
          <w:rFonts w:ascii="Arial" w:cs="Arial" w:eastAsia="Arial" w:hAnsi="Arial"/>
          <w:sz w:val="9"/>
          <w:szCs w:val="9"/>
          <w:color w:val="auto"/>
        </w:rPr>
      </w:pPr>
      <w:r>
        <w:rPr>
          <w:rFonts w:ascii="Arial" w:cs="Arial" w:eastAsia="Arial" w:hAnsi="Arial"/>
          <w:sz w:val="12"/>
          <w:szCs w:val="12"/>
          <w:color w:val="auto"/>
        </w:rPr>
        <w:t>Represents available days for the ships after the expiration of the existing charters (assuming charterers do not exercise any option to extend the terms of the charters).</w:t>
      </w:r>
    </w:p>
    <w:p>
      <w:pPr>
        <w:spacing w:after="0" w:line="169" w:lineRule="exact"/>
        <w:rPr>
          <w:sz w:val="20"/>
          <w:szCs w:val="20"/>
          <w:color w:val="auto"/>
        </w:rPr>
      </w:pPr>
    </w:p>
    <w:p>
      <w:pPr>
        <w:ind w:right="20" w:firstLine="243"/>
        <w:spacing w:after="0" w:line="284" w:lineRule="auto"/>
        <w:rPr>
          <w:sz w:val="20"/>
          <w:szCs w:val="20"/>
          <w:color w:val="auto"/>
        </w:rPr>
      </w:pPr>
      <w:r>
        <w:rPr>
          <w:rFonts w:ascii="Arial" w:cs="Arial" w:eastAsia="Arial" w:hAnsi="Arial"/>
          <w:sz w:val="15"/>
          <w:szCs w:val="15"/>
          <w:color w:val="auto"/>
        </w:rPr>
        <w:t>The table above provides information about our contracted charter revenues and ship utilization based on contracts in effect for the 15 LNG carriers in our fleet as of June 30, 2021.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2, 2021.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28" w:right="10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4"/>
              </w:rPr>
              <w:t>Exhibit 99.3</w:t>
            </w:r>
          </w:p>
        </w:tc>
      </w:tr>
      <w:tr>
        <w:trPr>
          <w:trHeight w:val="418"/>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8"/>
              </w:rPr>
              <w:t>GASLOG PARTNERS LP</w:t>
            </w:r>
          </w:p>
        </w:tc>
        <w:tc>
          <w:tcPr>
            <w:tcW w:w="860" w:type="dxa"/>
            <w:vAlign w:val="bottom"/>
          </w:tcPr>
          <w:p>
            <w:pPr>
              <w:spacing w:after="0"/>
              <w:rPr>
                <w:sz w:val="24"/>
                <w:szCs w:val="24"/>
                <w:color w:val="auto"/>
              </w:rPr>
            </w:pPr>
          </w:p>
        </w:tc>
      </w:tr>
      <w:tr>
        <w:trPr>
          <w:trHeight w:val="418"/>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860" w:type="dxa"/>
            <w:vAlign w:val="bottom"/>
          </w:tcPr>
          <w:p>
            <w:pPr>
              <w:spacing w:after="0"/>
              <w:rPr>
                <w:sz w:val="24"/>
                <w:szCs w:val="24"/>
                <w:color w:val="auto"/>
              </w:rPr>
            </w:pPr>
          </w:p>
        </w:tc>
      </w:tr>
      <w:tr>
        <w:trPr>
          <w:trHeight w:val="415"/>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Page</w:t>
            </w:r>
          </w:p>
        </w:tc>
      </w:tr>
      <w:tr>
        <w:trPr>
          <w:trHeight w:val="172"/>
        </w:trPr>
        <w:tc>
          <w:tcPr>
            <w:tcW w:w="9060" w:type="dxa"/>
            <w:vAlign w:val="bottom"/>
            <w:gridSpan w:val="8"/>
          </w:tcPr>
          <w:p>
            <w:pPr>
              <w:spacing w:after="0" w:line="172" w:lineRule="exact"/>
              <w:rPr>
                <w:rFonts w:ascii="Arial" w:cs="Arial" w:eastAsia="Arial" w:hAnsi="Arial"/>
                <w:sz w:val="16"/>
                <w:szCs w:val="16"/>
                <w:color w:val="0000EE"/>
              </w:rPr>
            </w:pPr>
            <w:hyperlink w:anchor="page22">
              <w:r>
                <w:rPr>
                  <w:rFonts w:ascii="Arial" w:cs="Arial" w:eastAsia="Arial" w:hAnsi="Arial"/>
                  <w:sz w:val="16"/>
                  <w:szCs w:val="16"/>
                  <w:color w:val="0000EE"/>
                </w:rPr>
                <w:t>Unaudited condensed consolidated statements of financial position as of December 31, 2020 and June 30, 2021</w:t>
              </w:r>
            </w:hyperlink>
          </w:p>
        </w:tc>
        <w:tc>
          <w:tcPr>
            <w:tcW w:w="860" w:type="dxa"/>
            <w:vAlign w:val="bottom"/>
          </w:tcPr>
          <w:p>
            <w:pPr>
              <w:jc w:val="right"/>
              <w:spacing w:after="0" w:line="172" w:lineRule="exact"/>
              <w:rPr>
                <w:sz w:val="20"/>
                <w:szCs w:val="20"/>
                <w:color w:val="auto"/>
              </w:rPr>
            </w:pPr>
            <w:r>
              <w:rPr>
                <w:rFonts w:ascii="Arial" w:cs="Arial" w:eastAsia="Arial" w:hAnsi="Arial"/>
                <w:sz w:val="16"/>
                <w:szCs w:val="16"/>
                <w:color w:val="auto"/>
              </w:rPr>
              <w:t>F-2</w:t>
            </w:r>
          </w:p>
        </w:tc>
      </w:tr>
      <w:tr>
        <w:trPr>
          <w:trHeight w:val="20"/>
        </w:trPr>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04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w:anchor="page23">
              <w:r>
                <w:rPr>
                  <w:rFonts w:ascii="Arial" w:cs="Arial" w:eastAsia="Arial" w:hAnsi="Arial"/>
                  <w:sz w:val="16"/>
                  <w:szCs w:val="16"/>
                  <w:color w:val="0000EE"/>
                  <w:w w:val="90"/>
                </w:rPr>
                <w:t>Unaudited condensed consolidated statements of profit or loss and total comprehensive income for the three and six months ended June 30,</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140" w:type="dxa"/>
            <w:vAlign w:val="bottom"/>
          </w:tcPr>
          <w:p>
            <w:pPr>
              <w:spacing w:after="0"/>
              <w:rPr>
                <w:sz w:val="15"/>
                <w:szCs w:val="15"/>
                <w:color w:val="auto"/>
              </w:rPr>
            </w:pPr>
          </w:p>
        </w:tc>
        <w:tc>
          <w:tcPr>
            <w:tcW w:w="8920" w:type="dxa"/>
            <w:vAlign w:val="bottom"/>
            <w:gridSpan w:val="7"/>
          </w:tcPr>
          <w:p>
            <w:pPr>
              <w:spacing w:after="0" w:line="183" w:lineRule="exact"/>
              <w:rPr>
                <w:rFonts w:ascii="Arial" w:cs="Arial" w:eastAsia="Arial" w:hAnsi="Arial"/>
                <w:sz w:val="16"/>
                <w:szCs w:val="16"/>
                <w:color w:val="0000EE"/>
              </w:rPr>
            </w:pPr>
            <w:hyperlink w:anchor="page23">
              <w:r>
                <w:rPr>
                  <w:rFonts w:ascii="Arial" w:cs="Arial" w:eastAsia="Arial" w:hAnsi="Arial"/>
                  <w:sz w:val="16"/>
                  <w:szCs w:val="16"/>
                  <w:color w:val="0000EE"/>
                </w:rPr>
                <w:t>2020 and 2021</w:t>
              </w:r>
            </w:hyperlink>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F-3</w:t>
            </w:r>
          </w:p>
        </w:tc>
      </w:tr>
      <w:tr>
        <w:trPr>
          <w:trHeight w:val="20"/>
        </w:trPr>
        <w:tc>
          <w:tcPr>
            <w:tcW w:w="1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2"/>
        </w:trPr>
        <w:tc>
          <w:tcPr>
            <w:tcW w:w="9060" w:type="dxa"/>
            <w:vAlign w:val="bottom"/>
            <w:gridSpan w:val="8"/>
          </w:tcPr>
          <w:p>
            <w:pPr>
              <w:spacing w:after="0" w:line="183" w:lineRule="exact"/>
              <w:rPr>
                <w:rFonts w:ascii="Arial" w:cs="Arial" w:eastAsia="Arial" w:hAnsi="Arial"/>
                <w:sz w:val="16"/>
                <w:szCs w:val="16"/>
                <w:color w:val="0000EE"/>
              </w:rPr>
            </w:pPr>
            <w:hyperlink w:anchor="page24">
              <w:r>
                <w:rPr>
                  <w:rFonts w:ascii="Arial" w:cs="Arial" w:eastAsia="Arial" w:hAnsi="Arial"/>
                  <w:sz w:val="16"/>
                  <w:szCs w:val="16"/>
                  <w:color w:val="0000EE"/>
                </w:rPr>
                <w:t>Unaudited condensed consolidated statements of changes in partners’ equity for the six months ended June 30, 2020 and 2021</w:t>
              </w:r>
            </w:hyperlink>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F-4</w:t>
            </w:r>
          </w:p>
        </w:tc>
      </w:tr>
      <w:tr>
        <w:trPr>
          <w:trHeight w:val="183"/>
        </w:trPr>
        <w:tc>
          <w:tcPr>
            <w:tcW w:w="8180" w:type="dxa"/>
            <w:vAlign w:val="bottom"/>
            <w:tcBorders>
              <w:top w:val="single" w:sz="8" w:color="0000EE"/>
            </w:tcBorders>
            <w:gridSpan w:val="6"/>
          </w:tcPr>
          <w:p>
            <w:pPr>
              <w:spacing w:after="0" w:line="183" w:lineRule="exact"/>
              <w:rPr>
                <w:rFonts w:ascii="Arial" w:cs="Arial" w:eastAsia="Arial" w:hAnsi="Arial"/>
                <w:sz w:val="16"/>
                <w:szCs w:val="16"/>
                <w:color w:val="0000EE"/>
              </w:rPr>
            </w:pPr>
            <w:hyperlink w:anchor="page25">
              <w:r>
                <w:rPr>
                  <w:rFonts w:ascii="Arial" w:cs="Arial" w:eastAsia="Arial" w:hAnsi="Arial"/>
                  <w:sz w:val="16"/>
                  <w:szCs w:val="16"/>
                  <w:color w:val="0000EE"/>
                </w:rPr>
                <w:t>Unaudited condensed consolidated statements of cash flows for the six months ended June 30, 2020 and 2021</w:t>
              </w:r>
            </w:hyperlink>
          </w:p>
        </w:tc>
        <w:tc>
          <w:tcPr>
            <w:tcW w:w="880" w:type="dxa"/>
            <w:vAlign w:val="bottom"/>
            <w:gridSpan w:val="2"/>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F-5</w:t>
            </w:r>
          </w:p>
        </w:tc>
      </w:tr>
      <w:tr>
        <w:trPr>
          <w:trHeight w:val="183"/>
        </w:trPr>
        <w:tc>
          <w:tcPr>
            <w:tcW w:w="712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w:anchor="page26">
              <w:r>
                <w:rPr>
                  <w:rFonts w:ascii="Arial" w:cs="Arial" w:eastAsia="Arial" w:hAnsi="Arial"/>
                  <w:sz w:val="16"/>
                  <w:szCs w:val="16"/>
                  <w:color w:val="0000EE"/>
                </w:rPr>
                <w:t>Notes to the unaudited condensed consolidated financial statements</w:t>
              </w:r>
            </w:hyperlink>
          </w:p>
        </w:tc>
        <w:tc>
          <w:tcPr>
            <w:tcW w:w="1940" w:type="dxa"/>
            <w:vAlign w:val="bottom"/>
            <w:gridSpan w:val="4"/>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F-6</w:t>
            </w:r>
          </w:p>
        </w:tc>
      </w:tr>
      <w:tr>
        <w:trPr>
          <w:trHeight w:val="20"/>
        </w:trPr>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GasLog Partners LP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2020 and June 30,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Note</w:t>
            </w: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0" w:type="dxa"/>
            <w:vAlign w:val="bottom"/>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240" w:type="dxa"/>
            <w:vAlign w:val="bottom"/>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Tangible fixed assets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2,206,618</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2,174,891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2,175,581</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16,265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13,948</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103,736</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119,816</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125,728</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141,581</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9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2,333,048</w:t>
            </w: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2,317,162</w:t>
            </w:r>
          </w:p>
        </w:tc>
        <w:tc>
          <w:tcPr>
            <w:tcW w:w="0" w:type="dxa"/>
            <w:vAlign w:val="bottom"/>
          </w:tcPr>
          <w:p>
            <w:pPr>
              <w:spacing w:after="0"/>
              <w:rPr>
                <w:sz w:val="1"/>
                <w:szCs w:val="1"/>
                <w:color w:val="auto"/>
              </w:rPr>
            </w:pPr>
          </w:p>
        </w:tc>
      </w:tr>
      <w:tr>
        <w:trPr>
          <w:trHeight w:val="183"/>
        </w:trPr>
        <w:tc>
          <w:tcPr>
            <w:tcW w:w="60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Partners’ equity and liabilities</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w w:val="96"/>
              </w:rPr>
              <w:t>Common unitholders (47,517,824 units issued and outstanding as of December 31, 2020</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50,722,201 units issued and outstanding as of June 30, 2021)</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637,843</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20"/>
                <w:szCs w:val="20"/>
                <w:color w:val="auto"/>
              </w:rPr>
            </w:pPr>
            <w:r>
              <w:rPr>
                <w:rFonts w:ascii="Arial" w:cs="Arial" w:eastAsia="Arial" w:hAnsi="Arial"/>
                <w:sz w:val="16"/>
                <w:szCs w:val="16"/>
                <w:color w:val="auto"/>
                <w:w w:val="98"/>
              </w:rPr>
              <w:t>General partner (1,021,336 units issued and outstanding as of December 31, 2020 and</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tcPr>
          <w:p>
            <w:pPr>
              <w:ind w:left="140"/>
              <w:spacing w:after="0"/>
              <w:rPr>
                <w:sz w:val="20"/>
                <w:szCs w:val="20"/>
                <w:color w:val="auto"/>
              </w:rPr>
            </w:pPr>
            <w:r>
              <w:rPr>
                <w:rFonts w:ascii="Arial" w:cs="Arial" w:eastAsia="Arial" w:hAnsi="Arial"/>
                <w:sz w:val="16"/>
                <w:szCs w:val="16"/>
                <w:color w:val="auto"/>
              </w:rPr>
              <w:t>1,077,494 units issued and outstanding as of June 30, 2021)</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11,028</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Preference unitholders (5,750,000 Series A Preference Units, 4,600,000 Series B</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Preference Units and 4,000,000 Series C Preference Units issued and outstanding as of</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 and June 30, 2021)</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347,889</w:t>
            </w:r>
          </w:p>
        </w:tc>
        <w:tc>
          <w:tcPr>
            <w:tcW w:w="2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347,889</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953,818</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997,681</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13,578</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13,222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Due to related parties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Derivative financial instruments—current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8,185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7,632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payables and accruals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55,447</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104,908</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105,065</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liabilities-current portion</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185,207</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183,195</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12,152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7,136</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Borrowings—non-current portion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1,180,635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1,128,079</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1,194,023</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1,136,286</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2,333,048</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2,317,162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ind w:right="3380"/>
        <w:spacing w:after="0" w:line="269" w:lineRule="auto"/>
        <w:rPr>
          <w:sz w:val="20"/>
          <w:szCs w:val="20"/>
          <w:color w:val="auto"/>
        </w:rPr>
      </w:pPr>
      <w:r>
        <w:rPr>
          <w:rFonts w:ascii="Arial" w:cs="Arial" w:eastAsia="Arial" w:hAnsi="Arial"/>
          <w:sz w:val="16"/>
          <w:szCs w:val="16"/>
          <w:b w:val="1"/>
          <w:bCs w:val="1"/>
          <w:color w:val="auto"/>
        </w:rPr>
        <w:t>Unaudited condensed consolidated statements of profit or loss and total comprehensive income For the three and six months ended June 30, 2020 and 2021</w:t>
      </w: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216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 2020</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70,352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175,801</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(2,782)</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(1,852)</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(6,670)</w:t>
            </w:r>
          </w:p>
        </w:tc>
        <w:tc>
          <w:tcPr>
            <w:tcW w:w="1000" w:type="dxa"/>
            <w:vAlign w:val="bottom"/>
          </w:tcPr>
          <w:p>
            <w:pPr>
              <w:jc w:val="right"/>
              <w:spacing w:after="0"/>
              <w:rPr>
                <w:sz w:val="20"/>
                <w:szCs w:val="20"/>
                <w:color w:val="auto"/>
              </w:rPr>
            </w:pPr>
            <w:r>
              <w:rPr>
                <w:rFonts w:ascii="Arial" w:cs="Arial" w:eastAsia="Arial" w:hAnsi="Arial"/>
                <w:sz w:val="16"/>
                <w:szCs w:val="16"/>
                <w:color w:val="auto"/>
              </w:rPr>
              <w:t>(3,931)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costs</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(16,895)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(35,988)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Depreciation</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(20,675)</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(20,798)</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(41,273)</w:t>
            </w:r>
          </w:p>
        </w:tc>
        <w:tc>
          <w:tcPr>
            <w:tcW w:w="1000" w:type="dxa"/>
            <w:vAlign w:val="bottom"/>
          </w:tcPr>
          <w:p>
            <w:pPr>
              <w:jc w:val="right"/>
              <w:spacing w:after="0"/>
              <w:rPr>
                <w:sz w:val="20"/>
                <w:szCs w:val="20"/>
                <w:color w:val="auto"/>
              </w:rPr>
            </w:pPr>
            <w:r>
              <w:rPr>
                <w:rFonts w:ascii="Arial" w:cs="Arial" w:eastAsia="Arial" w:hAnsi="Arial"/>
                <w:sz w:val="16"/>
                <w:szCs w:val="16"/>
                <w:color w:val="auto"/>
              </w:rPr>
              <w:t>(41,484)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(4,421)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(3,488)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(8,592)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(18,841)</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(18,841)</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20,834</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24,170</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64,437</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(13,067)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(9,115)</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(28,580)</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(403)</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(13,751)</w:t>
            </w:r>
          </w:p>
        </w:tc>
        <w:tc>
          <w:tcPr>
            <w:tcW w:w="1000" w:type="dxa"/>
            <w:vAlign w:val="bottom"/>
          </w:tcPr>
          <w:p>
            <w:pPr>
              <w:jc w:val="right"/>
              <w:spacing w:after="0"/>
              <w:rPr>
                <w:sz w:val="20"/>
                <w:szCs w:val="20"/>
                <w:color w:val="auto"/>
              </w:rPr>
            </w:pPr>
            <w:r>
              <w:rPr>
                <w:rFonts w:ascii="Arial" w:cs="Arial" w:eastAsia="Arial" w:hAnsi="Arial"/>
                <w:sz w:val="16"/>
                <w:szCs w:val="16"/>
                <w:color w:val="auto"/>
              </w:rPr>
              <w:t>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(12,621)</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(9,507)</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(42,055)</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8,213</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14,663</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22,382</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b w:val="1"/>
                <w:bCs w:val="1"/>
                <w:color w:val="auto"/>
              </w:rPr>
              <w:t>Earnings per unit, basic and diluted:</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Common unit, 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Common unit, diluted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GasLog Partners LP</w:t>
      </w:r>
    </w:p>
    <w:p>
      <w:pPr>
        <w:spacing w:after="0" w:line="127" w:lineRule="exact"/>
        <w:rPr>
          <w:sz w:val="20"/>
          <w:szCs w:val="20"/>
          <w:color w:val="auto"/>
        </w:rPr>
      </w:pPr>
    </w:p>
    <w:p>
      <w:pPr>
        <w:ind w:right="4640"/>
        <w:spacing w:after="0" w:line="269" w:lineRule="auto"/>
        <w:rPr>
          <w:sz w:val="20"/>
          <w:szCs w:val="20"/>
          <w:color w:val="auto"/>
        </w:rPr>
      </w:pPr>
      <w:r>
        <w:rPr>
          <w:rFonts w:ascii="Arial" w:cs="Arial" w:eastAsia="Arial" w:hAnsi="Arial"/>
          <w:sz w:val="16"/>
          <w:szCs w:val="16"/>
          <w:b w:val="1"/>
          <w:bCs w:val="1"/>
          <w:color w:val="auto"/>
        </w:rPr>
        <w:t>Unaudited condensed consolidated statements of changes in partners’ equity For the six months ended June 30, 2020 and 2021</w:t>
      </w: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Class B</w:t>
            </w:r>
          </w:p>
        </w:tc>
        <w:tc>
          <w:tcPr>
            <w:tcW w:w="16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4"/>
              </w:rPr>
              <w:t>Preference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6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General partner</w:t>
            </w:r>
          </w:p>
        </w:tc>
        <w:tc>
          <w:tcPr>
            <w:tcW w:w="16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9"/>
              </w:rPr>
              <w:t>Common unitholders</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unitholders</w:t>
            </w: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4"/>
              </w:rPr>
              <w:t>unitholders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Partners’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2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Units</w:t>
            </w:r>
          </w:p>
        </w:tc>
        <w:tc>
          <w:tcPr>
            <w:tcW w:w="66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9"/>
              </w:rPr>
              <w:t>Amounts</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Units</w:t>
            </w:r>
          </w:p>
        </w:tc>
        <w:tc>
          <w:tcPr>
            <w:tcW w:w="6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Amounts</w:t>
            </w:r>
          </w:p>
        </w:tc>
        <w:tc>
          <w:tcPr>
            <w:tcW w:w="16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6"/>
              </w:rPr>
              <w:t>Units</w:t>
            </w:r>
          </w:p>
        </w:tc>
        <w:tc>
          <w:tcPr>
            <w:tcW w:w="160" w:type="dxa"/>
            <w:vAlign w:val="bottom"/>
          </w:tcPr>
          <w:p>
            <w:pPr>
              <w:spacing w:after="0"/>
              <w:rPr>
                <w:sz w:val="11"/>
                <w:szCs w:val="11"/>
                <w:color w:val="auto"/>
              </w:rPr>
            </w:pPr>
          </w:p>
        </w:tc>
        <w:tc>
          <w:tcPr>
            <w:tcW w:w="84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Units</w:t>
            </w:r>
          </w:p>
        </w:tc>
        <w:tc>
          <w:tcPr>
            <w:tcW w:w="68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9"/>
              </w:rPr>
              <w:t>Amounts</w:t>
            </w:r>
          </w:p>
        </w:tc>
        <w:tc>
          <w:tcPr>
            <w:tcW w:w="1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January 1, 2020</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1,021,336</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11,271</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46,860,182</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606,811</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2,490,000</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5"/>
              </w:rPr>
              <w:t>14,350,000</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347,889</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965,971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Equity offering costs</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(114)</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Settlement of awards vested during the period</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68,432</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Repurchases of common units</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(191,490)</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(996)</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declared</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(702)</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(32,019)</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(15,164)</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Share-based compensation, net of accrued distribution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482</w:t>
            </w: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Partnership’s profit and total comprehensive income (Note 13)</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7,063</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15,164</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22,382</w:t>
            </w:r>
          </w:p>
        </w:tc>
        <w:tc>
          <w:tcPr>
            <w:tcW w:w="0" w:type="dxa"/>
            <w:vAlign w:val="bottom"/>
          </w:tcPr>
          <w:p>
            <w:pPr>
              <w:spacing w:after="0"/>
              <w:rPr>
                <w:sz w:val="1"/>
                <w:szCs w:val="1"/>
                <w:color w:val="auto"/>
              </w:rPr>
            </w:pPr>
          </w:p>
        </w:tc>
      </w:tr>
      <w:tr>
        <w:trPr>
          <w:trHeight w:val="168"/>
        </w:trPr>
        <w:tc>
          <w:tcPr>
            <w:tcW w:w="33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as of June 30, 2020</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1,021,336</w:t>
            </w:r>
          </w:p>
        </w:tc>
        <w:tc>
          <w:tcPr>
            <w:tcW w:w="1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10,735</w:t>
            </w:r>
          </w:p>
        </w:tc>
        <w:tc>
          <w:tcPr>
            <w:tcW w:w="1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46,737,124</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581,227</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2,490,000</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5"/>
              </w:rPr>
              <w:t>14,350,000</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347,889</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939,851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January 1, 2021</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1,021,336</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11,028</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47,517,824</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594,901</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2,075,000</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14,350,000</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347,889</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953,818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proceeds from public offerings of common units and</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issuances of general partner units (Note 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56,158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3,195,401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Settlement of awards vested during the period</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8,976</w:t>
            </w: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declared (Note 5)</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(950)</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(15,164)</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Share-based compensation, net of accrued distribution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172</w:t>
            </w: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Partnership’s profit and total comprehensive income (Note 13)</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34,127</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15,164</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50,023</w:t>
            </w:r>
          </w:p>
        </w:tc>
        <w:tc>
          <w:tcPr>
            <w:tcW w:w="0" w:type="dxa"/>
            <w:vAlign w:val="bottom"/>
          </w:tcPr>
          <w:p>
            <w:pPr>
              <w:spacing w:after="0"/>
              <w:rPr>
                <w:sz w:val="1"/>
                <w:szCs w:val="1"/>
                <w:color w:val="auto"/>
              </w:rPr>
            </w:pPr>
          </w:p>
        </w:tc>
      </w:tr>
      <w:tr>
        <w:trPr>
          <w:trHeight w:val="128"/>
        </w:trPr>
        <w:tc>
          <w:tcPr>
            <w:tcW w:w="33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as of June 30, 2021</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1,077,494</w:t>
            </w:r>
          </w:p>
        </w:tc>
        <w:tc>
          <w:tcPr>
            <w:tcW w:w="1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11,949</w:t>
            </w:r>
          </w:p>
        </w:tc>
        <w:tc>
          <w:tcPr>
            <w:tcW w:w="1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50,722,201</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637,843</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2,075,000</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5"/>
              </w:rPr>
              <w:t>14,350,000</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347,889</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997,681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0"/>
        </w:trPr>
        <w:tc>
          <w:tcPr>
            <w:tcW w:w="6940" w:type="dxa"/>
            <w:vAlign w:val="bottom"/>
            <w:gridSpan w:val="3"/>
          </w:tcPr>
          <w:p>
            <w:pPr>
              <w:spacing w:after="0"/>
              <w:rPr>
                <w:sz w:val="20"/>
                <w:szCs w:val="20"/>
                <w:color w:val="auto"/>
              </w:rPr>
            </w:pPr>
            <w:r>
              <w:rPr>
                <w:rFonts w:ascii="Arial" w:cs="Arial" w:eastAsia="Arial" w:hAnsi="Arial"/>
                <w:sz w:val="16"/>
                <w:szCs w:val="16"/>
                <w:b w:val="1"/>
                <w:bCs w:val="1"/>
                <w:color w:val="auto"/>
              </w:rPr>
              <w:t>GasLog Partners LP</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940" w:type="dxa"/>
            <w:vAlign w:val="bottom"/>
            <w:gridSpan w:val="3"/>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940" w:type="dxa"/>
            <w:vAlign w:val="bottom"/>
            <w:gridSpan w:val="3"/>
          </w:tcPr>
          <w:p>
            <w:pPr>
              <w:spacing w:after="0"/>
              <w:rPr>
                <w:sz w:val="20"/>
                <w:szCs w:val="20"/>
                <w:color w:val="auto"/>
              </w:rPr>
            </w:pPr>
            <w:r>
              <w:rPr>
                <w:rFonts w:ascii="Arial" w:cs="Arial" w:eastAsia="Arial" w:hAnsi="Arial"/>
                <w:sz w:val="16"/>
                <w:szCs w:val="16"/>
                <w:b w:val="1"/>
                <w:bCs w:val="1"/>
                <w:color w:val="auto"/>
              </w:rPr>
              <w:t>For the six months ended June 30, 2020 and 2021</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40" w:type="dxa"/>
            <w:vAlign w:val="bottom"/>
            <w:gridSpan w:val="3"/>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4"/>
              </w:rPr>
              <w:t>For the 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6"/>
                <w:szCs w:val="16"/>
                <w:b w:val="1"/>
                <w:bCs w:val="1"/>
                <w:color w:val="auto"/>
              </w:rPr>
              <w:t>Note</w:t>
            </w: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6"/>
                <w:szCs w:val="16"/>
                <w:i w:val="1"/>
                <w:iCs w:val="1"/>
                <w:color w:val="auto"/>
                <w:w w:val="91"/>
              </w:rPr>
              <w:t>(restated)</w:t>
            </w:r>
            <w:r>
              <w:rPr>
                <w:rFonts w:ascii="Arial" w:cs="Arial" w:eastAsia="Arial" w:hAnsi="Arial"/>
                <w:sz w:val="23"/>
                <w:szCs w:val="23"/>
                <w:color w:val="auto"/>
                <w:w w:val="91"/>
                <w:vertAlign w:val="superscript"/>
              </w:rPr>
              <w:t>(1)</w:t>
            </w: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22,382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41,273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loss on vessels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28,580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income</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Loss/(gain) on derivatives (excluding realized loss on forward foreign exchange contracts held for</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trading)</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13,342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124,801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109,266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(14,743)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110,058</w:t>
            </w:r>
          </w:p>
        </w:tc>
        <w:tc>
          <w:tcPr>
            <w:tcW w:w="2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Payments for tangible fixed assets additions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(12,027)</w:t>
            </w:r>
          </w:p>
        </w:tc>
        <w:tc>
          <w:tcPr>
            <w:tcW w:w="880" w:type="dxa"/>
            <w:vAlign w:val="bottom"/>
          </w:tcPr>
          <w:p>
            <w:pPr>
              <w:jc w:val="right"/>
              <w:spacing w:after="0"/>
              <w:rPr>
                <w:sz w:val="20"/>
                <w:szCs w:val="20"/>
                <w:color w:val="auto"/>
              </w:rPr>
            </w:pPr>
            <w:r>
              <w:rPr>
                <w:rFonts w:ascii="Arial" w:cs="Arial" w:eastAsia="Arial" w:hAnsi="Arial"/>
                <w:sz w:val="16"/>
                <w:szCs w:val="16"/>
                <w:color w:val="auto"/>
              </w:rPr>
              <w:t>(12,241)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income received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Purchase of short-term investments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(11,720)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Borrowings drawdowns</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Borrowings repayments</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(55,805)</w:t>
            </w:r>
          </w:p>
        </w:tc>
        <w:tc>
          <w:tcPr>
            <w:tcW w:w="880" w:type="dxa"/>
            <w:vAlign w:val="bottom"/>
          </w:tcPr>
          <w:p>
            <w:pPr>
              <w:jc w:val="right"/>
              <w:spacing w:after="0"/>
              <w:rPr>
                <w:sz w:val="20"/>
                <w:szCs w:val="20"/>
                <w:color w:val="auto"/>
              </w:rPr>
            </w:pPr>
            <w:r>
              <w:rPr>
                <w:rFonts w:ascii="Arial" w:cs="Arial" w:eastAsia="Arial" w:hAnsi="Arial"/>
                <w:sz w:val="16"/>
                <w:szCs w:val="16"/>
                <w:color w:val="auto"/>
              </w:rPr>
              <w:t>(54,838)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paid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(28,834)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Payments of cash collateral for interest rate swaps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(15,000)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Payment of loan issuance costs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public offerings of common units and issuances of general partner units (net of</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underwriting discounts and commissions)</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Repurchases of common units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(996)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 of offering costs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Distributions paid</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(47,885)</w:t>
            </w:r>
          </w:p>
        </w:tc>
        <w:tc>
          <w:tcPr>
            <w:tcW w:w="880" w:type="dxa"/>
            <w:vAlign w:val="bottom"/>
          </w:tcPr>
          <w:p>
            <w:pPr>
              <w:jc w:val="right"/>
              <w:spacing w:after="0"/>
              <w:rPr>
                <w:sz w:val="20"/>
                <w:szCs w:val="20"/>
                <w:color w:val="auto"/>
              </w:rPr>
            </w:pPr>
            <w:r>
              <w:rPr>
                <w:rFonts w:ascii="Arial" w:cs="Arial" w:eastAsia="Arial" w:hAnsi="Arial"/>
                <w:sz w:val="16"/>
                <w:szCs w:val="16"/>
                <w:color w:val="auto"/>
              </w:rPr>
              <w:t>(16,134)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Payments for lease liabilities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(123,012)</w:t>
            </w:r>
          </w:p>
        </w:tc>
        <w:tc>
          <w:tcPr>
            <w:tcW w:w="2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(Decrease)/increase in cash and cash equivalents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(24,674)</w:t>
            </w:r>
          </w:p>
        </w:tc>
        <w:tc>
          <w:tcPr>
            <w:tcW w:w="2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16,080</w:t>
            </w:r>
          </w:p>
        </w:tc>
        <w:tc>
          <w:tcPr>
            <w:tcW w:w="0" w:type="dxa"/>
            <w:vAlign w:val="bottom"/>
          </w:tcPr>
          <w:p>
            <w:pPr>
              <w:spacing w:after="0"/>
              <w:rPr>
                <w:sz w:val="1"/>
                <w:szCs w:val="1"/>
                <w:color w:val="auto"/>
              </w:rPr>
            </w:pPr>
          </w:p>
        </w:tc>
      </w:tr>
      <w:tr>
        <w:trPr>
          <w:trHeight w:val="196"/>
        </w:trPr>
        <w:tc>
          <w:tcPr>
            <w:tcW w:w="6940" w:type="dxa"/>
            <w:vAlign w:val="bottom"/>
            <w:gridSpan w:val="3"/>
          </w:tcPr>
          <w:p>
            <w:pPr>
              <w:spacing w:after="0"/>
              <w:rPr>
                <w:sz w:val="20"/>
                <w:szCs w:val="20"/>
                <w:color w:val="auto"/>
              </w:rPr>
            </w:pPr>
            <w:r>
              <w:rPr>
                <w:rFonts w:ascii="Arial" w:cs="Arial" w:eastAsia="Arial" w:hAnsi="Arial"/>
                <w:sz w:val="16"/>
                <w:szCs w:val="16"/>
                <w:color w:val="auto"/>
              </w:rPr>
              <w:t>Cash and cash equivalents, beginning of the period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96,884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103,736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72,210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right="360" w:hanging="332"/>
        <w:spacing w:after="0" w:line="253" w:lineRule="auto"/>
        <w:tabs>
          <w:tab w:leader="none" w:pos="3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Restated so as to reflect a change in accounting policy introduced on January 1, 2021, with respect to the reclassification of interest paid and movements of cash collateral for interest rate swaps (Note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GasLog Partners 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9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Ltd. (“GasLog” or the “Parent”)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48"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As of June 30, 2021, GasLog holds a 33.3%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57"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The Partnership’s principal business is the acquisition and operation of LNG vessels, providing LNG transportation services on a worldwide basis primarily under multi-year charters. GasLog LNG Services Ltd. (“GasLog LNG Services” or the “Manager”), a related party and a wholly owned subsidiary of GasLog, incorporated under the laws of Bermuda, provides technical and commercial services to the Partnership. As of June 30, 2021, the Partnership owned 15 LNG vessels.</w:t>
      </w:r>
    </w:p>
    <w:p>
      <w:pPr>
        <w:spacing w:after="0" w:line="148" w:lineRule="exact"/>
        <w:rPr>
          <w:sz w:val="20"/>
          <w:szCs w:val="20"/>
          <w:color w:val="auto"/>
        </w:rPr>
      </w:pPr>
    </w:p>
    <w:p>
      <w:pPr>
        <w:ind w:right="60" w:firstLine="324"/>
        <w:spacing w:after="0" w:line="328"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Partners and its subsidiaries, which are 100% owned by the Partnership. No new subsidiaries were established or acquired in the six months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98" w:lineRule="exact"/>
        <w:rPr>
          <w:sz w:val="20"/>
          <w:szCs w:val="20"/>
          <w:color w:val="auto"/>
        </w:rPr>
      </w:pPr>
    </w:p>
    <w:p>
      <w:pPr>
        <w:ind w:firstLine="324"/>
        <w:spacing w:after="0" w:line="293"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 xml:space="preserve">Interim Financial Reporting </w:t>
      </w:r>
      <w:r>
        <w:rPr>
          <w:rFonts w:ascii="Arial" w:cs="Arial" w:eastAsia="Arial" w:hAnsi="Arial"/>
          <w:sz w:val="15"/>
          <w:szCs w:val="15"/>
          <w:color w:val="auto"/>
        </w:rPr>
        <w:t>as issued by the International Accounting Standards Board (“IASB”). Certain information and footnote disclosures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by IFRS for a complete set of annual financial statements have been omitted, and, therefore, these unaudited condensed consolidated financial statements should be read in conjunction with the Partnership’s annual consolidated financial statements for the year ended December 31, 2020, filed on an Annual Report on Form 20-F with the Securities Exchange Commission on March 2, 2021.</w:t>
      </w:r>
    </w:p>
    <w:p>
      <w:pPr>
        <w:spacing w:after="0" w:line="149"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2020, with the exception of a reclassification in the consolidated statements of cash flows that is described below. On July 27, 2021, the Partnership’s board of directors authorized the unaudited condensed consolidated financial statements for issuance.</w:t>
      </w:r>
    </w:p>
    <w:p>
      <w:pPr>
        <w:spacing w:after="0" w:line="149" w:lineRule="exact"/>
        <w:rPr>
          <w:sz w:val="20"/>
          <w:szCs w:val="20"/>
          <w:color w:val="auto"/>
        </w:rPr>
      </w:pPr>
    </w:p>
    <w:p>
      <w:pPr>
        <w:ind w:firstLine="324"/>
        <w:spacing w:after="0" w:line="287" w:lineRule="auto"/>
        <w:rPr>
          <w:sz w:val="20"/>
          <w:szCs w:val="20"/>
          <w:color w:val="auto"/>
        </w:rPr>
      </w:pPr>
      <w:r>
        <w:rPr>
          <w:rFonts w:ascii="Arial" w:cs="Arial" w:eastAsia="Arial" w:hAnsi="Arial"/>
          <w:sz w:val="15"/>
          <w:szCs w:val="15"/>
          <w:color w:val="auto"/>
        </w:rPr>
        <w:t xml:space="preserve">Until December 31, 2020, interest paid and movements of cash collateral were presented in the consolidated statement of cash flows under cash provided by operating activities. IAS 7 </w:t>
      </w:r>
      <w:r>
        <w:rPr>
          <w:rFonts w:ascii="Arial" w:cs="Arial" w:eastAsia="Arial" w:hAnsi="Arial"/>
          <w:sz w:val="15"/>
          <w:szCs w:val="15"/>
          <w:i w:val="1"/>
          <w:iCs w:val="1"/>
          <w:color w:val="auto"/>
        </w:rPr>
        <w:t>Cash Flow Statement</w:t>
      </w:r>
      <w:r>
        <w:rPr>
          <w:rFonts w:ascii="Arial" w:cs="Arial" w:eastAsia="Arial" w:hAnsi="Arial"/>
          <w:sz w:val="15"/>
          <w:szCs w:val="15"/>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after reviewing the Exposure Draft </w:t>
      </w:r>
      <w:r>
        <w:rPr>
          <w:rFonts w:ascii="Arial" w:cs="Arial" w:eastAsia="Arial" w:hAnsi="Arial"/>
          <w:sz w:val="15"/>
          <w:szCs w:val="15"/>
          <w:i w:val="1"/>
          <w:iCs w:val="1"/>
          <w:color w:val="auto"/>
        </w:rPr>
        <w:t xml:space="preserve">General Presentation and Disclosures </w:t>
      </w:r>
      <w:r>
        <w:rPr>
          <w:rFonts w:ascii="Arial" w:cs="Arial" w:eastAsia="Arial" w:hAnsi="Arial"/>
          <w:sz w:val="15"/>
          <w:szCs w:val="15"/>
          <w:color w:val="auto"/>
        </w:rPr>
        <w:t>issued by the IASB in December 2019, elected to reclassify interest paid including cash paid for interest rate</w:t>
      </w:r>
      <w:r>
        <w:rPr>
          <w:rFonts w:ascii="Arial" w:cs="Arial" w:eastAsia="Arial" w:hAnsi="Arial"/>
          <w:sz w:val="15"/>
          <w:szCs w:val="15"/>
          <w:i w:val="1"/>
          <w:iCs w:val="1"/>
          <w:color w:val="auto"/>
        </w:rPr>
        <w:t xml:space="preserve"> </w:t>
      </w:r>
      <w:r>
        <w:rPr>
          <w:rFonts w:ascii="Arial" w:cs="Arial" w:eastAsia="Arial" w:hAnsi="Arial"/>
          <w:sz w:val="15"/>
          <w:szCs w:val="15"/>
          <w:color w:val="auto"/>
        </w:rPr>
        <w:t>swaps held for trading and the movements of cash collateral related to the Partnership’s interest rate swaps under cash used in financing activities, in conformity with the proposal of the Exposure Draft to reduce presentation alternatives and classify interest paid as a cash flow arising from financing activities. Management believes that the revised classification provides more relevant information to users, as it better reflects management’s view of the financing nature of these transactions. Comparative figures have been retrospectively adjusted to reflect this change in policy in the statement of cash flows, as follows:</w:t>
      </w:r>
    </w:p>
    <w:p>
      <w:pPr>
        <w:spacing w:after="0" w:line="1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840" w:type="dxa"/>
            <w:vAlign w:val="bottom"/>
            <w:gridSpan w:val="5"/>
          </w:tcPr>
          <w:p>
            <w:pPr>
              <w:ind w:left="840"/>
              <w:spacing w:after="0"/>
              <w:rPr>
                <w:sz w:val="20"/>
                <w:szCs w:val="20"/>
                <w:color w:val="auto"/>
              </w:rPr>
            </w:pPr>
            <w:r>
              <w:rPr>
                <w:rFonts w:ascii="Arial" w:cs="Arial" w:eastAsia="Arial" w:hAnsi="Arial"/>
                <w:sz w:val="14"/>
                <w:szCs w:val="14"/>
                <w:b w:val="1"/>
                <w:bCs w:val="1"/>
                <w:color w:val="auto"/>
                <w:w w:val="91"/>
              </w:rPr>
              <w:t>Six months ended June 30, 2020</w:t>
            </w:r>
          </w:p>
        </w:tc>
        <w:tc>
          <w:tcPr>
            <w:tcW w:w="8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previously reported</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66,224</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43,834</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110,058</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580" w:type="dxa"/>
            <w:vAlign w:val="bottom"/>
          </w:tcPr>
          <w:p>
            <w:pPr>
              <w:jc w:val="right"/>
              <w:spacing w:after="0"/>
              <w:rPr>
                <w:sz w:val="20"/>
                <w:szCs w:val="20"/>
                <w:color w:val="auto"/>
              </w:rPr>
            </w:pPr>
            <w:r>
              <w:rPr>
                <w:rFonts w:ascii="Arial" w:cs="Arial" w:eastAsia="Arial" w:hAnsi="Arial"/>
                <w:sz w:val="16"/>
                <w:szCs w:val="16"/>
                <w:color w:val="auto"/>
              </w:rPr>
              <w:t>(11,720)</w:t>
            </w:r>
          </w:p>
        </w:tc>
        <w:tc>
          <w:tcPr>
            <w:tcW w:w="160" w:type="dxa"/>
            <w:vAlign w:val="bottom"/>
          </w:tcPr>
          <w:p>
            <w:pPr>
              <w:spacing w:after="0"/>
              <w:rPr>
                <w:sz w:val="17"/>
                <w:szCs w:val="17"/>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(11,720)</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(79,178)</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(43,834)</w:t>
            </w:r>
          </w:p>
        </w:tc>
        <w:tc>
          <w:tcPr>
            <w:tcW w:w="1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(123,012)</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(24,674)</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(24,674)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2020 and remain unchanged.</w:t>
      </w:r>
    </w:p>
    <w:p>
      <w:pPr>
        <w:spacing w:after="0" w:line="145" w:lineRule="exact"/>
        <w:rPr>
          <w:sz w:val="20"/>
          <w:szCs w:val="20"/>
          <w:color w:val="auto"/>
        </w:rPr>
      </w:pPr>
    </w:p>
    <w:p>
      <w:pPr>
        <w:ind w:right="160" w:firstLine="324"/>
        <w:spacing w:after="0" w:line="305" w:lineRule="auto"/>
        <w:rPr>
          <w:sz w:val="20"/>
          <w:szCs w:val="20"/>
          <w:color w:val="auto"/>
        </w:rPr>
      </w:pPr>
      <w:r>
        <w:rPr>
          <w:rFonts w:ascii="Arial" w:cs="Arial" w:eastAsia="Arial" w:hAnsi="Arial"/>
          <w:sz w:val="15"/>
          <w:szCs w:val="15"/>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25" w:lineRule="exact"/>
        <w:rPr>
          <w:sz w:val="20"/>
          <w:szCs w:val="20"/>
          <w:color w:val="auto"/>
        </w:rPr>
      </w:pPr>
    </w:p>
    <w:p>
      <w:pPr>
        <w:ind w:right="300" w:firstLine="324"/>
        <w:spacing w:after="0" w:line="328" w:lineRule="auto"/>
        <w:rPr>
          <w:sz w:val="20"/>
          <w:szCs w:val="20"/>
          <w:color w:val="auto"/>
        </w:rPr>
      </w:pPr>
      <w:r>
        <w:rPr>
          <w:rFonts w:ascii="Arial" w:cs="Arial" w:eastAsia="Arial" w:hAnsi="Arial"/>
          <w:sz w:val="15"/>
          <w:szCs w:val="15"/>
          <w:color w:val="auto"/>
        </w:rPr>
        <w:t>As of June 30, 2021, the Partnership’s current assets totaled $141,581 while current liabilities totaled $183,195, resulting in a negative working capital position of $41,614. Current liabilities include an amount of $25,305 of unearned revenue in relation to vessel hires received in</w:t>
      </w:r>
    </w:p>
    <w:p>
      <w:pPr>
        <w:sectPr>
          <w:pgSz w:w="11900" w:h="16838" w:orient="portrait"/>
          <w:cols w:equalWidth="0" w:num="1">
            <w:col w:w="9920"/>
          </w:cols>
          <w:pgMar w:left="980" w:top="126" w:right="99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375285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type w:val="continuous"/>
        </w:sectPr>
      </w:pPr>
    </w:p>
    <w:bookmarkStart w:id="26" w:name="page27"/>
    <w:bookmarkEnd w:id="26"/>
    <w:p>
      <w:pPr>
        <w:ind w:right="460"/>
        <w:spacing w:after="0" w:line="278" w:lineRule="auto"/>
        <w:rPr>
          <w:sz w:val="20"/>
          <w:szCs w:val="20"/>
          <w:color w:val="auto"/>
        </w:rPr>
      </w:pPr>
      <w:r>
        <w:rPr>
          <w:rFonts w:ascii="Arial" w:cs="Arial" w:eastAsia="Arial" w:hAnsi="Arial"/>
          <w:sz w:val="16"/>
          <w:szCs w:val="16"/>
          <w:color w:val="auto"/>
        </w:rPr>
        <w:t>advance (which represents a non-cash liability that will be recognized as revenues in July 2021 as the services are rendered). In considering going concern, management has reviewed the Partnership’s future cash requirements, covenant compliance and earnings projections, incorporating the negative impact of the COVID-19 pandemic on near-term market rates.</w:t>
      </w:r>
    </w:p>
    <w:p>
      <w:pPr>
        <w:spacing w:after="0" w:line="184" w:lineRule="exact"/>
        <w:rPr>
          <w:sz w:val="20"/>
          <w:szCs w:val="20"/>
          <w:color w:val="auto"/>
        </w:rPr>
      </w:pPr>
    </w:p>
    <w:p>
      <w:pPr>
        <w:ind w:right="100" w:firstLine="324"/>
        <w:spacing w:after="0" w:line="267" w:lineRule="auto"/>
        <w:rPr>
          <w:sz w:val="20"/>
          <w:szCs w:val="20"/>
          <w:color w:val="auto"/>
        </w:rPr>
      </w:pPr>
      <w:r>
        <w:rPr>
          <w:rFonts w:ascii="Arial" w:cs="Arial" w:eastAsia="Arial" w:hAnsi="Arial"/>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Management anticipates that the Partnership’s primary sources of funds for at least twelve months from the date of this report will be available cash, cash from operations and existing debt facilities. Management believes that these anticipated sources of funds, as well as its ability to access the capital markets if needed, will be sufficient for the Partnership to meet its liquidity needs and comply with its banking covenants for at least twelve months from the date of this report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 well as a significant recovery in capital market conditions and a sustainable improvement in the LNG charter market, that are beyond the Partnership’s control.</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 xml:space="preserve">In August 2020, the IASB issued the Phase 2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IFRS 4 and IFRS 16 in connection with the Phase 2 of the interest rate benchmark reform. The amendments address the issues arising from the implementation of the reforms, including the replacement of one benchmark with an alternative one. The amendment is effective for annual periods beginning on or after January 1, 2021. Management anticipates that this amendment will not have a material impact on the Partnership’s consolidated financial statements.</w:t>
      </w:r>
    </w:p>
    <w:p>
      <w:pPr>
        <w:spacing w:after="0" w:line="19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There were no other IFRS standards or amendments that became effective in the current period which were relevant to the Partnership or material with respect to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color w:val="auto"/>
        </w:rPr>
        <w:t xml:space="preserve">In January 2020, the IASB issued a narrow-scope amendment to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6"/>
          <w:szCs w:val="16"/>
          <w:i w:val="1"/>
          <w:iCs w:val="1"/>
          <w:color w:val="auto"/>
        </w:rPr>
        <w:t>Accounting 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in Accounting Estimates and Errors</w:t>
      </w:r>
      <w:r>
        <w:rPr>
          <w:rFonts w:ascii="Arial" w:cs="Arial" w:eastAsia="Arial" w:hAnsi="Arial"/>
          <w:sz w:val="16"/>
          <w:szCs w:val="16"/>
          <w:color w:val="auto"/>
        </w:rPr>
        <w:t>. Earlier application is permitted. Management anticipates that this amendment will not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on the Partnership’s financial statements.</w:t>
      </w:r>
    </w:p>
    <w:p>
      <w:pPr>
        <w:spacing w:after="0" w:line="19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other IFRS standards and amendments issued but not yet adopted with an expected material effect on the Partnership’s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Partnership has the following balances with related parties, which have been included in the unaudited condensed consolidated statements of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due to related parties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tcPr>
          <w:p>
            <w:pPr>
              <w:jc w:val="right"/>
              <w:ind w:right="101"/>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724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5"/>
                <w:szCs w:val="15"/>
                <w:color w:val="auto"/>
              </w:rPr>
              <w:t xml:space="preserve">Due to GasLog LNG Services </w:t>
            </w:r>
            <w:r>
              <w:rPr>
                <w:rFonts w:ascii="Arial" w:cs="Arial" w:eastAsia="Arial" w:hAnsi="Arial"/>
                <w:sz w:val="22"/>
                <w:szCs w:val="22"/>
                <w:color w:val="auto"/>
                <w:vertAlign w:val="superscript"/>
              </w:rPr>
              <w:t>(a)</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7,361</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r>
      <w:tr>
        <w:trPr>
          <w:trHeight w:val="203"/>
        </w:trPr>
        <w:tc>
          <w:tcPr>
            <w:tcW w:w="72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3"/>
                <w:szCs w:val="23"/>
                <w:color w:val="auto"/>
                <w:vertAlign w:val="superscript"/>
              </w:rPr>
              <w:t>(b)</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196"/>
        </w:trPr>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7,525</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w:t>
            </w:r>
          </w:p>
        </w:tc>
      </w:tr>
      <w:tr>
        <w:trPr>
          <w:trHeight w:val="20"/>
        </w:trPr>
        <w:tc>
          <w:tcPr>
            <w:tcW w:w="2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r>
    </w:tbl>
    <w:p>
      <w:pPr>
        <w:spacing w:after="0" w:line="6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balances represent mainly payments made by GasLog LNG Services on behalf of the Partnership.</w:t>
      </w: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4"/>
          <w:szCs w:val="14"/>
          <w:color w:val="auto"/>
        </w:rPr>
        <w:t>The balances represent mainly payments made by GasLog on behalf of the Partnership.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700" w:firstLine="324"/>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2020. Refer to Note 6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June 30, 2021, the amount outstanding under the Sponsor Credit Facility was nil.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27" w:name="page28"/>
    <w:bookmarkEnd w:id="27"/>
    <w:p>
      <w:pPr>
        <w:jc w:val="both"/>
        <w:ind w:right="620" w:firstLine="324"/>
        <w:spacing w:after="0" w:line="305" w:lineRule="auto"/>
        <w:rPr>
          <w:sz w:val="20"/>
          <w:szCs w:val="20"/>
          <w:color w:val="auto"/>
        </w:rPr>
      </w:pPr>
      <w:r>
        <w:rPr>
          <w:rFonts w:ascii="Arial" w:cs="Arial" w:eastAsia="Arial" w:hAnsi="Arial"/>
          <w:sz w:val="15"/>
          <w:szCs w:val="15"/>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2020. Refer to Note 13 “Related Party Transactions”.</w:t>
      </w:r>
    </w:p>
    <w:p>
      <w:pPr>
        <w:spacing w:after="0" w:line="125" w:lineRule="exact"/>
        <w:rPr>
          <w:sz w:val="20"/>
          <w:szCs w:val="20"/>
          <w:color w:val="auto"/>
        </w:rPr>
      </w:pPr>
    </w:p>
    <w:p>
      <w:pPr>
        <w:ind w:right="500" w:firstLine="324"/>
        <w:spacing w:after="0" w:line="293" w:lineRule="auto"/>
        <w:rPr>
          <w:sz w:val="20"/>
          <w:szCs w:val="20"/>
          <w:color w:val="auto"/>
        </w:rPr>
      </w:pPr>
      <w:r>
        <w:rPr>
          <w:rFonts w:ascii="Arial" w:cs="Arial" w:eastAsia="Arial" w:hAnsi="Arial"/>
          <w:sz w:val="16"/>
          <w:szCs w:val="16"/>
          <w:color w:val="auto"/>
        </w:rPr>
        <w:t>The Partnership had the following transactions with such related parties, which have been included in the unaudited condensed consolidated statements of profit or loss for the three and six months ended June 30, 2020 and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Company</w:t>
            </w:r>
          </w:p>
        </w:tc>
        <w:tc>
          <w:tcPr>
            <w:tcW w:w="460" w:type="dxa"/>
            <w:vAlign w:val="bottom"/>
          </w:tcPr>
          <w:p>
            <w:pPr>
              <w:spacing w:after="0"/>
              <w:rPr>
                <w:sz w:val="14"/>
                <w:szCs w:val="14"/>
                <w:color w:val="auto"/>
              </w:rPr>
            </w:pPr>
          </w:p>
        </w:tc>
        <w:tc>
          <w:tcPr>
            <w:tcW w:w="14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Details</w:t>
            </w:r>
          </w:p>
        </w:tc>
        <w:tc>
          <w:tcPr>
            <w:tcW w:w="160" w:type="dxa"/>
            <w:vAlign w:val="bottom"/>
          </w:tcPr>
          <w:p>
            <w:pPr>
              <w:spacing w:after="0"/>
              <w:rPr>
                <w:sz w:val="14"/>
                <w:szCs w:val="14"/>
                <w:color w:val="auto"/>
              </w:rPr>
            </w:pPr>
          </w:p>
        </w:tc>
        <w:tc>
          <w:tcPr>
            <w:tcW w:w="200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Account</w:t>
            </w: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For the six months ended</w:t>
            </w:r>
          </w:p>
        </w:tc>
        <w:tc>
          <w:tcPr>
            <w:tcW w:w="0" w:type="dxa"/>
            <w:vAlign w:val="bottom"/>
          </w:tcPr>
          <w:p>
            <w:pPr>
              <w:spacing w:after="0"/>
              <w:rPr>
                <w:sz w:val="1"/>
                <w:szCs w:val="1"/>
                <w:color w:val="auto"/>
              </w:rPr>
            </w:pPr>
          </w:p>
        </w:tc>
      </w:tr>
      <w:tr>
        <w:trPr>
          <w:trHeight w:val="171"/>
        </w:trPr>
        <w:tc>
          <w:tcPr>
            <w:tcW w:w="20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72"/>
        </w:trPr>
        <w:tc>
          <w:tcPr>
            <w:tcW w:w="18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GasLog/ GasLog LNG</w:t>
            </w:r>
          </w:p>
        </w:tc>
        <w:tc>
          <w:tcPr>
            <w:tcW w:w="14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Commercial management</w:t>
            </w:r>
          </w:p>
        </w:tc>
        <w:tc>
          <w:tcPr>
            <w:tcW w:w="16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6"/>
              </w:rPr>
              <w:t>General and administrative</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20" w:type="dxa"/>
            <w:vAlign w:val="bottom"/>
            <w:gridSpan w:val="2"/>
            <w:shd w:val="clear" w:color="auto" w:fill="CCEEFF"/>
          </w:tcPr>
          <w:p>
            <w:pPr>
              <w:ind w:left="140"/>
              <w:spacing w:after="0" w:line="226" w:lineRule="exact"/>
              <w:rPr>
                <w:sz w:val="20"/>
                <w:szCs w:val="20"/>
                <w:color w:val="auto"/>
              </w:rPr>
            </w:pPr>
            <w:r>
              <w:rPr>
                <w:rFonts w:ascii="Arial" w:cs="Arial" w:eastAsia="Arial" w:hAnsi="Arial"/>
                <w:sz w:val="16"/>
                <w:szCs w:val="16"/>
                <w:color w:val="auto"/>
              </w:rPr>
              <w:t>Services</w:t>
            </w:r>
            <w:r>
              <w:rPr>
                <w:rFonts w:ascii="Arial" w:cs="Arial" w:eastAsia="Arial" w:hAnsi="Arial"/>
                <w:sz w:val="24"/>
                <w:szCs w:val="24"/>
                <w:color w:val="auto"/>
                <w:vertAlign w:val="superscript"/>
              </w:rPr>
              <w:t>(i)</w:t>
            </w: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fees</w:t>
            </w:r>
          </w:p>
        </w:tc>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expenses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179"/>
        </w:trPr>
        <w:tc>
          <w:tcPr>
            <w:tcW w:w="2020" w:type="dxa"/>
            <w:vAlign w:val="bottom"/>
            <w:gridSpan w:val="2"/>
          </w:tcPr>
          <w:p>
            <w:pPr>
              <w:spacing w:after="0" w:line="179" w:lineRule="exact"/>
              <w:rPr>
                <w:sz w:val="20"/>
                <w:szCs w:val="20"/>
                <w:color w:val="auto"/>
              </w:rPr>
            </w:pPr>
            <w:r>
              <w:rPr>
                <w:rFonts w:ascii="Arial" w:cs="Arial" w:eastAsia="Arial" w:hAnsi="Arial"/>
                <w:sz w:val="16"/>
                <w:szCs w:val="16"/>
                <w:color w:val="auto"/>
              </w:rPr>
              <w:t>GasLog</w:t>
            </w:r>
          </w:p>
        </w:tc>
        <w:tc>
          <w:tcPr>
            <w:tcW w:w="1860" w:type="dxa"/>
            <w:vAlign w:val="bottom"/>
            <w:gridSpan w:val="2"/>
          </w:tcPr>
          <w:p>
            <w:pPr>
              <w:spacing w:after="0" w:line="179" w:lineRule="exact"/>
              <w:rPr>
                <w:sz w:val="20"/>
                <w:szCs w:val="20"/>
                <w:color w:val="auto"/>
              </w:rPr>
            </w:pPr>
            <w:r>
              <w:rPr>
                <w:rFonts w:ascii="Arial" w:cs="Arial" w:eastAsia="Arial" w:hAnsi="Arial"/>
                <w:sz w:val="16"/>
                <w:szCs w:val="16"/>
                <w:color w:val="auto"/>
              </w:rPr>
              <w:t>Administrative services</w:t>
            </w:r>
          </w:p>
        </w:tc>
        <w:tc>
          <w:tcPr>
            <w:tcW w:w="2160" w:type="dxa"/>
            <w:vAlign w:val="bottom"/>
            <w:gridSpan w:val="3"/>
          </w:tcPr>
          <w:p>
            <w:pPr>
              <w:ind w:left="160"/>
              <w:spacing w:after="0" w:line="179" w:lineRule="exact"/>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spacing w:after="0" w:line="226" w:lineRule="exact"/>
              <w:rPr>
                <w:sz w:val="20"/>
                <w:szCs w:val="20"/>
                <w:color w:val="auto"/>
              </w:rPr>
            </w:pPr>
            <w:r>
              <w:rPr>
                <w:rFonts w:ascii="Arial" w:cs="Arial" w:eastAsia="Arial" w:hAnsi="Arial"/>
                <w:sz w:val="16"/>
                <w:szCs w:val="16"/>
                <w:color w:val="auto"/>
              </w:rPr>
              <w:t>fees</w:t>
            </w:r>
            <w:r>
              <w:rPr>
                <w:rFonts w:ascii="Arial" w:cs="Arial" w:eastAsia="Arial" w:hAnsi="Arial"/>
                <w:sz w:val="24"/>
                <w:szCs w:val="24"/>
                <w:color w:val="auto"/>
                <w:vertAlign w:val="superscript"/>
              </w:rPr>
              <w:t>(ii)</w:t>
            </w:r>
          </w:p>
        </w:tc>
        <w:tc>
          <w:tcPr>
            <w:tcW w:w="2160" w:type="dxa"/>
            <w:vAlign w:val="bottom"/>
            <w:gridSpan w:val="3"/>
          </w:tcPr>
          <w:p>
            <w:pPr>
              <w:ind w:left="160"/>
              <w:spacing w:after="0"/>
              <w:rPr>
                <w:sz w:val="20"/>
                <w:szCs w:val="20"/>
                <w:color w:val="auto"/>
              </w:rPr>
            </w:pPr>
            <w:r>
              <w:rPr>
                <w:rFonts w:ascii="Arial" w:cs="Arial" w:eastAsia="Arial" w:hAnsi="Arial"/>
                <w:sz w:val="16"/>
                <w:szCs w:val="16"/>
                <w:color w:val="auto"/>
              </w:rPr>
              <w:t>expenses</w:t>
            </w:r>
          </w:p>
        </w:tc>
        <w:tc>
          <w:tcPr>
            <w:tcW w:w="860" w:type="dxa"/>
            <w:vAlign w:val="bottom"/>
          </w:tcPr>
          <w:p>
            <w:pPr>
              <w:jc w:val="right"/>
              <w:spacing w:after="0"/>
              <w:rPr>
                <w:sz w:val="20"/>
                <w:szCs w:val="20"/>
                <w:color w:val="auto"/>
              </w:rPr>
            </w:pPr>
            <w:r>
              <w:rPr>
                <w:rFonts w:ascii="Arial" w:cs="Arial" w:eastAsia="Arial" w:hAnsi="Arial"/>
                <w:sz w:val="16"/>
                <w:szCs w:val="16"/>
                <w:color w:val="auto"/>
              </w:rPr>
              <w:t>1,959</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03"/>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 LNG Services</w:t>
            </w: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Vessel operating costs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03"/>
        </w:trPr>
        <w:tc>
          <w:tcPr>
            <w:tcW w:w="2020" w:type="dxa"/>
            <w:vAlign w:val="bottom"/>
            <w:gridSpan w:val="2"/>
          </w:tcPr>
          <w:p>
            <w:pPr>
              <w:spacing w:after="0"/>
              <w:rPr>
                <w:sz w:val="20"/>
                <w:szCs w:val="20"/>
                <w:color w:val="auto"/>
              </w:rPr>
            </w:pPr>
            <w:r>
              <w:rPr>
                <w:rFonts w:ascii="Arial" w:cs="Arial" w:eastAsia="Arial" w:hAnsi="Arial"/>
                <w:sz w:val="16"/>
                <w:szCs w:val="16"/>
                <w:color w:val="auto"/>
              </w:rPr>
              <w:t>GasLog LNG Services</w:t>
            </w:r>
          </w:p>
        </w:tc>
        <w:tc>
          <w:tcPr>
            <w:tcW w:w="1860" w:type="dxa"/>
            <w:vAlign w:val="bottom"/>
            <w:gridSpan w:val="2"/>
          </w:tcPr>
          <w:p>
            <w:pPr>
              <w:spacing w:after="0"/>
              <w:rPr>
                <w:sz w:val="20"/>
                <w:szCs w:val="20"/>
                <w:color w:val="auto"/>
              </w:rPr>
            </w:pPr>
            <w:r>
              <w:rPr>
                <w:rFonts w:ascii="Arial" w:cs="Arial" w:eastAsia="Arial" w:hAnsi="Arial"/>
                <w:sz w:val="16"/>
                <w:szCs w:val="16"/>
                <w:color w:val="auto"/>
                <w:w w:val="90"/>
              </w:rPr>
              <w:t>Other vessel operating costs</w:t>
            </w:r>
          </w:p>
        </w:tc>
        <w:tc>
          <w:tcPr>
            <w:tcW w:w="2160" w:type="dxa"/>
            <w:vAlign w:val="bottom"/>
            <w:gridSpan w:val="3"/>
          </w:tcPr>
          <w:p>
            <w:pPr>
              <w:ind w:left="160"/>
              <w:spacing w:after="0"/>
              <w:rPr>
                <w:sz w:val="20"/>
                <w:szCs w:val="20"/>
                <w:color w:val="auto"/>
              </w:rPr>
            </w:pPr>
            <w:r>
              <w:rPr>
                <w:rFonts w:ascii="Arial" w:cs="Arial" w:eastAsia="Arial" w:hAnsi="Arial"/>
                <w:sz w:val="16"/>
                <w:szCs w:val="16"/>
                <w:color w:val="auto"/>
              </w:rPr>
              <w:t>Vessel operating costs</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3"/>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 fee under</w:t>
            </w: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Sponsor Credit Facility</w:t>
            </w:r>
          </w:p>
        </w:tc>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Financial costs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93"/>
        </w:trPr>
        <w:tc>
          <w:tcPr>
            <w:tcW w:w="202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60" w:type="dxa"/>
            <w:vAlign w:val="bottom"/>
            <w:gridSpan w:val="2"/>
          </w:tcPr>
          <w:p>
            <w:pPr>
              <w:spacing w:after="0"/>
              <w:rPr>
                <w:sz w:val="20"/>
                <w:szCs w:val="20"/>
                <w:color w:val="auto"/>
              </w:rPr>
            </w:pPr>
            <w:r>
              <w:rPr>
                <w:rFonts w:ascii="Arial" w:cs="Arial" w:eastAsia="Arial" w:hAnsi="Arial"/>
                <w:sz w:val="16"/>
                <w:szCs w:val="16"/>
                <w:color w:val="auto"/>
                <w:w w:val="89"/>
              </w:rPr>
              <w:t>Realized loss on interest rate</w:t>
            </w:r>
          </w:p>
        </w:tc>
        <w:tc>
          <w:tcPr>
            <w:tcW w:w="2160" w:type="dxa"/>
            <w:vAlign w:val="bottom"/>
            <w:gridSpan w:val="3"/>
          </w:tcPr>
          <w:p>
            <w:pPr>
              <w:ind w:left="160"/>
              <w:spacing w:after="0"/>
              <w:rPr>
                <w:sz w:val="20"/>
                <w:szCs w:val="20"/>
                <w:color w:val="auto"/>
              </w:rPr>
            </w:pPr>
            <w:r>
              <w:rPr>
                <w:rFonts w:ascii="Arial" w:cs="Arial" w:eastAsia="Arial" w:hAnsi="Arial"/>
                <w:sz w:val="16"/>
                <w:szCs w:val="16"/>
                <w:color w:val="auto"/>
              </w:rPr>
              <w:t>Gain/(loss) on derivatives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6"/>
                <w:szCs w:val="16"/>
                <w:color w:val="auto"/>
                <w:w w:val="91"/>
              </w:rPr>
              <w:t>swaps held for trading (Note</w:t>
            </w: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12)</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1,373</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199"/>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Realized loss on forward</w:t>
            </w:r>
          </w:p>
        </w:tc>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Gain/(loss) on derivatives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foreign exchange contracts</w:t>
            </w:r>
          </w:p>
        </w:tc>
        <w:tc>
          <w:tcPr>
            <w:tcW w:w="1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held for trading (Note 12)</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1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60" w:hanging="332"/>
        <w:spacing w:after="0" w:line="253"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4"/>
          <w:szCs w:val="14"/>
          <w:color w:val="auto"/>
        </w:rPr>
        <w:t>Effective July 21, 2020 and October 1, 2020, the commercial management agreements between the vessel-owning entities and GasLog were novated to GasLog LNG Services as the provider of commercial management services.</w:t>
      </w:r>
    </w:p>
    <w:p>
      <w:pPr>
        <w:spacing w:after="0" w:line="65" w:lineRule="exact"/>
        <w:rPr>
          <w:rFonts w:ascii="Arial" w:cs="Arial" w:eastAsia="Arial" w:hAnsi="Arial"/>
          <w:sz w:val="11"/>
          <w:szCs w:val="11"/>
          <w:color w:val="auto"/>
        </w:rPr>
      </w:pPr>
    </w:p>
    <w:p>
      <w:pPr>
        <w:ind w:left="340" w:hanging="332"/>
        <w:spacing w:after="0"/>
        <w:tabs>
          <w:tab w:leader="none" w:pos="340" w:val="left"/>
        </w:tabs>
        <w:numPr>
          <w:ilvl w:val="0"/>
          <w:numId w:val="14"/>
        </w:numPr>
        <w:rPr>
          <w:rFonts w:ascii="Arial" w:cs="Arial" w:eastAsia="Arial" w:hAnsi="Arial"/>
          <w:sz w:val="11"/>
          <w:szCs w:val="11"/>
          <w:color w:val="auto"/>
        </w:rPr>
      </w:pPr>
      <w:r>
        <w:rPr>
          <w:rFonts w:ascii="Arial" w:cs="Arial" w:eastAsia="Arial" w:hAnsi="Arial"/>
          <w:sz w:val="14"/>
          <w:szCs w:val="14"/>
          <w:color w:val="auto"/>
        </w:rPr>
        <w:t>Effective January 1, 2021, the administrative services fee was reduced to $314 per vessel per year, from $523 effective since January 1, 2020.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Tangible Fixed Assets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 in tangible fixed assets (i.e. vessels and their associated depot spares) is reported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Vessels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Other tangible</w:t>
            </w:r>
          </w:p>
        </w:tc>
        <w:tc>
          <w:tcPr>
            <w:tcW w:w="1380" w:type="dxa"/>
            <w:vAlign w:val="bottom"/>
          </w:tcPr>
          <w:p>
            <w:pPr>
              <w:jc w:val="right"/>
              <w:ind w:right="21"/>
              <w:spacing w:after="0"/>
              <w:rPr>
                <w:sz w:val="20"/>
                <w:szCs w:val="20"/>
                <w:color w:val="auto"/>
              </w:rPr>
            </w:pPr>
            <w:r>
              <w:rPr>
                <w:rFonts w:ascii="Arial" w:cs="Arial" w:eastAsia="Arial" w:hAnsi="Arial"/>
                <w:sz w:val="14"/>
                <w:szCs w:val="14"/>
                <w:b w:val="1"/>
                <w:bCs w:val="1"/>
                <w:color w:val="auto"/>
                <w:w w:val="98"/>
              </w:rPr>
              <w:t>Total tangible fixed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1380" w:type="dxa"/>
            <w:vAlign w:val="bottom"/>
          </w:tcPr>
          <w:p>
            <w:pPr>
              <w:jc w:val="right"/>
              <w:ind w:right="44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80" w:type="dxa"/>
            <w:vAlign w:val="bottom"/>
            <w:tcBorders>
              <w:top w:val="single" w:sz="8" w:color="CCEEFF"/>
            </w:tcBorders>
            <w:gridSpan w:val="4"/>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Cost</w:t>
            </w: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6"/>
                <w:szCs w:val="16"/>
                <w:color w:val="auto"/>
              </w:rPr>
              <w:t>As of January 1, 2021</w:t>
            </w:r>
          </w:p>
        </w:tc>
        <w:tc>
          <w:tcPr>
            <w:tcW w:w="920" w:type="dxa"/>
            <w:vAlign w:val="bottom"/>
          </w:tcPr>
          <w:p>
            <w:pPr>
              <w:jc w:val="right"/>
              <w:spacing w:after="0"/>
              <w:rPr>
                <w:sz w:val="20"/>
                <w:szCs w:val="20"/>
                <w:color w:val="auto"/>
              </w:rPr>
            </w:pPr>
            <w:r>
              <w:rPr>
                <w:rFonts w:ascii="Arial" w:cs="Arial" w:eastAsia="Arial" w:hAnsi="Arial"/>
                <w:sz w:val="16"/>
                <w:szCs w:val="16"/>
                <w:color w:val="auto"/>
              </w:rPr>
              <w:t>2,873,829</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2,719</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2,876,548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(8,626)</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2,874,706</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2,719</w:t>
            </w:r>
          </w:p>
        </w:tc>
        <w:tc>
          <w:tcPr>
            <w:tcW w:w="1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2,877,425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8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As of January 1, 2021</w:t>
            </w:r>
          </w:p>
        </w:tc>
        <w:tc>
          <w:tcPr>
            <w:tcW w:w="44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669,930</w:t>
            </w: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669,930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41,230</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(8,626)</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(8,626)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702,534</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702,534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28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b w:val="1"/>
                <w:bCs w:val="1"/>
                <w:color w:val="auto"/>
              </w:rPr>
              <w:t>As of December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2,203,899</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2,719</w:t>
            </w:r>
          </w:p>
        </w:tc>
        <w:tc>
          <w:tcPr>
            <w:tcW w:w="1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2,206,618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June 30,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2,172,172</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2,719</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2,174,891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vessels have been pledged as collateral under the terms of the Partnership’s credit facilities.</w:t>
      </w:r>
    </w:p>
    <w:p>
      <w:pPr>
        <w:spacing w:after="0" w:line="208"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As of June 30, 2021, the Partnership concluded that there were no events or circumstances triggering the existence of potential impairment or reversal of impairment of its vessels.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5. Partners’ Equity</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Partnership’s cash distributions for the six months ended June 30, 2021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Declaration date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Type of units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2"/>
          </w:tcPr>
          <w:p>
            <w:pPr>
              <w:ind w:left="440"/>
              <w:spacing w:after="0"/>
              <w:rPr>
                <w:sz w:val="20"/>
                <w:szCs w:val="20"/>
                <w:color w:val="auto"/>
              </w:rPr>
            </w:pPr>
            <w:r>
              <w:rPr>
                <w:rFonts w:ascii="Arial" w:cs="Arial" w:eastAsia="Arial" w:hAnsi="Arial"/>
                <w:sz w:val="14"/>
                <w:szCs w:val="14"/>
                <w:b w:val="1"/>
                <w:bCs w:val="1"/>
                <w:color w:val="auto"/>
              </w:rPr>
              <w:t>Distribution per unit</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4"/>
                <w:szCs w:val="14"/>
                <w:color w:val="auto"/>
              </w:rPr>
            </w:pPr>
          </w:p>
        </w:tc>
        <w:tc>
          <w:tcPr>
            <w:tcW w:w="1040" w:type="dxa"/>
            <w:vAlign w:val="bottom"/>
          </w:tcPr>
          <w:p>
            <w:pPr>
              <w:jc w:val="right"/>
              <w:ind w:right="121"/>
              <w:spacing w:after="0"/>
              <w:rPr>
                <w:sz w:val="20"/>
                <w:szCs w:val="20"/>
                <w:color w:val="auto"/>
              </w:rPr>
            </w:pPr>
            <w:r>
              <w:rPr>
                <w:rFonts w:ascii="Arial" w:cs="Arial" w:eastAsia="Arial" w:hAnsi="Arial"/>
                <w:sz w:val="14"/>
                <w:szCs w:val="14"/>
                <w:b w:val="1"/>
                <w:bCs w:val="1"/>
                <w:color w:val="auto"/>
                <w:w w:val="95"/>
              </w:rPr>
              <w:t>Amount paid</w:t>
            </w:r>
          </w:p>
        </w:tc>
      </w:tr>
      <w:tr>
        <w:trPr>
          <w:trHeight w:val="196"/>
        </w:trPr>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27, 2021</w:t>
            </w:r>
          </w:p>
        </w:tc>
        <w:tc>
          <w:tcPr>
            <w:tcW w:w="16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Common</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2400" w:type="dxa"/>
            <w:vAlign w:val="bottom"/>
            <w:tcBorders>
              <w:top w:val="single" w:sz="8" w:color="auto"/>
            </w:tcBorders>
            <w:shd w:val="clear" w:color="auto" w:fill="CCEEFF"/>
          </w:tcPr>
          <w:p>
            <w:pPr>
              <w:jc w:val="center"/>
              <w:ind w:right="61"/>
              <w:spacing w:after="0"/>
              <w:rPr>
                <w:sz w:val="20"/>
                <w:szCs w:val="20"/>
                <w:color w:val="auto"/>
              </w:rPr>
            </w:pPr>
            <w:r>
              <w:rPr>
                <w:rFonts w:ascii="Arial" w:cs="Arial" w:eastAsia="Arial" w:hAnsi="Arial"/>
                <w:sz w:val="16"/>
                <w:szCs w:val="16"/>
                <w:color w:val="auto"/>
                <w:w w:val="96"/>
              </w:rPr>
              <w:t>0.01</w:t>
            </w: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February 11, 2021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3"/>
        </w:trPr>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February 19, 2021</w:t>
            </w:r>
          </w:p>
        </w:tc>
        <w:tc>
          <w:tcPr>
            <w:tcW w:w="2240" w:type="dxa"/>
            <w:vAlign w:val="bottom"/>
          </w:tcPr>
          <w:p>
            <w:pPr>
              <w:jc w:val="center"/>
              <w:spacing w:after="0"/>
              <w:rPr>
                <w:sz w:val="20"/>
                <w:szCs w:val="20"/>
                <w:color w:val="auto"/>
              </w:rPr>
            </w:pPr>
            <w:r>
              <w:rPr>
                <w:rFonts w:ascii="Arial" w:cs="Arial" w:eastAsia="Arial" w:hAnsi="Arial"/>
                <w:sz w:val="16"/>
                <w:szCs w:val="16"/>
                <w:color w:val="auto"/>
                <w:w w:val="90"/>
              </w:rPr>
              <w:t>Preference (Series A, B, C)</w:t>
            </w:r>
          </w:p>
        </w:tc>
        <w:tc>
          <w:tcPr>
            <w:tcW w:w="38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2400" w:type="dxa"/>
            <w:vAlign w:val="bottom"/>
          </w:tcPr>
          <w:p>
            <w:pPr>
              <w:jc w:val="center"/>
              <w:ind w:right="61"/>
              <w:spacing w:after="0"/>
              <w:rPr>
                <w:sz w:val="20"/>
                <w:szCs w:val="20"/>
                <w:color w:val="auto"/>
              </w:rPr>
            </w:pPr>
            <w:r>
              <w:rPr>
                <w:rFonts w:ascii="Arial" w:cs="Arial" w:eastAsia="Arial" w:hAnsi="Arial"/>
                <w:sz w:val="16"/>
                <w:szCs w:val="16"/>
                <w:color w:val="auto"/>
                <w:w w:val="90"/>
              </w:rPr>
              <w:t>0.5390625, $0.5125, $0.53125</w:t>
            </w:r>
          </w:p>
        </w:tc>
        <w:tc>
          <w:tcPr>
            <w:tcW w:w="14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March 15, 2021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7,582</w:t>
            </w:r>
          </w:p>
        </w:tc>
      </w:tr>
      <w:tr>
        <w:trPr>
          <w:trHeight w:val="203"/>
        </w:trPr>
        <w:tc>
          <w:tcPr>
            <w:tcW w:w="21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5"/>
              </w:rPr>
              <w:t>April 28, 2021</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Common</w:t>
            </w:r>
          </w:p>
        </w:tc>
        <w:tc>
          <w:tcPr>
            <w:tcW w:w="38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40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w w:val="96"/>
              </w:rPr>
              <w:t>0.01</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May 13, 2021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3"/>
        </w:trPr>
        <w:tc>
          <w:tcPr>
            <w:tcW w:w="21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May 13, 2021</w:t>
            </w:r>
          </w:p>
        </w:tc>
        <w:tc>
          <w:tcPr>
            <w:tcW w:w="2240" w:type="dxa"/>
            <w:vAlign w:val="bottom"/>
          </w:tcPr>
          <w:p>
            <w:pPr>
              <w:jc w:val="center"/>
              <w:spacing w:after="0"/>
              <w:rPr>
                <w:sz w:val="20"/>
                <w:szCs w:val="20"/>
                <w:color w:val="auto"/>
              </w:rPr>
            </w:pPr>
            <w:r>
              <w:rPr>
                <w:rFonts w:ascii="Arial" w:cs="Arial" w:eastAsia="Arial" w:hAnsi="Arial"/>
                <w:sz w:val="16"/>
                <w:szCs w:val="16"/>
                <w:color w:val="auto"/>
                <w:w w:val="90"/>
              </w:rPr>
              <w:t>Preference (Series A, B, C)</w:t>
            </w:r>
          </w:p>
        </w:tc>
        <w:tc>
          <w:tcPr>
            <w:tcW w:w="38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2400" w:type="dxa"/>
            <w:vAlign w:val="bottom"/>
          </w:tcPr>
          <w:p>
            <w:pPr>
              <w:jc w:val="center"/>
              <w:ind w:right="61"/>
              <w:spacing w:after="0"/>
              <w:rPr>
                <w:sz w:val="20"/>
                <w:szCs w:val="20"/>
                <w:color w:val="auto"/>
              </w:rPr>
            </w:pPr>
            <w:r>
              <w:rPr>
                <w:rFonts w:ascii="Arial" w:cs="Arial" w:eastAsia="Arial" w:hAnsi="Arial"/>
                <w:sz w:val="16"/>
                <w:szCs w:val="16"/>
                <w:color w:val="auto"/>
                <w:w w:val="90"/>
              </w:rPr>
              <w:t>0.5390625, $0.5125, $0.53125</w:t>
            </w:r>
          </w:p>
        </w:tc>
        <w:tc>
          <w:tcPr>
            <w:tcW w:w="14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June 14, 2021</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7,582</w:t>
            </w:r>
          </w:p>
        </w:tc>
      </w:tr>
      <w:tr>
        <w:trPr>
          <w:trHeight w:val="196"/>
        </w:trPr>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16,134</w:t>
            </w:r>
          </w:p>
        </w:tc>
      </w:tr>
      <w:tr>
        <w:trPr>
          <w:trHeight w:val="20"/>
        </w:trPr>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On April 6, 2021, GasLog Partners issued 8,976 common units in connection with the vesting of 5,984 Restricted Common Units (“RCUs”) and 2,992 Performance Common Units (“PCUs”) under its 2015 Long-Term Incentive Plan (the “2015 Plan”).</w:t>
      </w:r>
    </w:p>
    <w:p>
      <w:pPr>
        <w:spacing w:after="0" w:line="172" w:lineRule="exact"/>
        <w:rPr>
          <w:sz w:val="20"/>
          <w:szCs w:val="20"/>
          <w:color w:val="auto"/>
        </w:rPr>
      </w:pPr>
    </w:p>
    <w:p>
      <w:pPr>
        <w:ind w:right="100" w:firstLine="324"/>
        <w:spacing w:after="0" w:line="305" w:lineRule="auto"/>
        <w:rPr>
          <w:sz w:val="20"/>
          <w:szCs w:val="20"/>
          <w:color w:val="auto"/>
        </w:rPr>
      </w:pPr>
      <w:r>
        <w:rPr>
          <w:rFonts w:ascii="Arial" w:cs="Arial" w:eastAsia="Arial" w:hAnsi="Arial"/>
          <w:sz w:val="15"/>
          <w:szCs w:val="15"/>
          <w:color w:val="auto"/>
        </w:rPr>
        <w:t>In addition, under the Partnership’s ATM Common Equity Offering Programme (“ATM Programme”), there was an issuance of 3,195,401 additional common units in the six months ended June 30, 2021, for total net proceeds of $9,593. During this period, the Partnership also issued 56,158 general partner units to its general partner in order for GasLog to retain its 2.0% general partner interest for net proceeds of $205.</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Borrowings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tcPr>
          <w:p>
            <w:pPr>
              <w:jc w:val="right"/>
              <w:ind w:right="141"/>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8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r>
      <w:tr>
        <w:trPr>
          <w:trHeight w:val="196"/>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Amounts due within one year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109,673</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109,673</w:t>
            </w:r>
          </w:p>
        </w:tc>
      </w:tr>
      <w:tr>
        <w:trPr>
          <w:trHeight w:val="203"/>
        </w:trPr>
        <w:tc>
          <w:tcPr>
            <w:tcW w:w="780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(4,765)</w:t>
            </w:r>
          </w:p>
        </w:tc>
        <w:tc>
          <w:tcPr>
            <w:tcW w:w="920" w:type="dxa"/>
            <w:vAlign w:val="bottom"/>
          </w:tcPr>
          <w:p>
            <w:pPr>
              <w:jc w:val="right"/>
              <w:spacing w:after="0"/>
              <w:rPr>
                <w:sz w:val="20"/>
                <w:szCs w:val="20"/>
                <w:color w:val="auto"/>
              </w:rPr>
            </w:pPr>
            <w:r>
              <w:rPr>
                <w:rFonts w:ascii="Arial" w:cs="Arial" w:eastAsia="Arial" w:hAnsi="Arial"/>
                <w:sz w:val="16"/>
                <w:szCs w:val="16"/>
                <w:color w:val="auto"/>
              </w:rPr>
              <w:t>(4,608)</w:t>
            </w:r>
          </w:p>
        </w:tc>
      </w:tr>
      <w:tr>
        <w:trPr>
          <w:trHeight w:val="196"/>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Borrowings - current portion</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104,908</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105,065</w:t>
            </w:r>
          </w:p>
        </w:tc>
      </w:tr>
      <w:tr>
        <w:trPr>
          <w:trHeight w:val="196"/>
        </w:trPr>
        <w:tc>
          <w:tcPr>
            <w:tcW w:w="780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980" w:type="dxa"/>
            <w:vAlign w:val="bottom"/>
          </w:tcPr>
          <w:p>
            <w:pPr>
              <w:jc w:val="right"/>
              <w:spacing w:after="0"/>
              <w:rPr>
                <w:sz w:val="20"/>
                <w:szCs w:val="20"/>
                <w:color w:val="auto"/>
              </w:rPr>
            </w:pPr>
            <w:r>
              <w:rPr>
                <w:rFonts w:ascii="Arial" w:cs="Arial" w:eastAsia="Arial" w:hAnsi="Arial"/>
                <w:sz w:val="16"/>
                <w:szCs w:val="16"/>
                <w:color w:val="auto"/>
              </w:rPr>
              <w:t>1,195,241</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1,140,403</w:t>
            </w:r>
          </w:p>
        </w:tc>
      </w:tr>
      <w:tr>
        <w:trPr>
          <w:trHeight w:val="203"/>
        </w:trPr>
        <w:tc>
          <w:tcPr>
            <w:tcW w:w="780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deferred loan issuance costs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(14,606)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(12,324)</w:t>
            </w:r>
          </w:p>
        </w:tc>
      </w:tr>
      <w:tr>
        <w:trPr>
          <w:trHeight w:val="196"/>
        </w:trPr>
        <w:tc>
          <w:tcPr>
            <w:tcW w:w="7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1,180,635</w:t>
            </w:r>
          </w:p>
        </w:tc>
        <w:tc>
          <w:tcPr>
            <w:tcW w:w="2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1,128,079</w:t>
            </w:r>
          </w:p>
        </w:tc>
      </w:tr>
      <w:tr>
        <w:trPr>
          <w:trHeight w:val="19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1,285,543</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1,233,144</w:t>
            </w: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840" w:firstLine="324"/>
        <w:spacing w:after="0" w:line="293" w:lineRule="auto"/>
        <w:rPr>
          <w:sz w:val="20"/>
          <w:szCs w:val="20"/>
          <w:color w:val="auto"/>
        </w:rPr>
      </w:pPr>
      <w:r>
        <w:rPr>
          <w:rFonts w:ascii="Arial" w:cs="Arial" w:eastAsia="Arial" w:hAnsi="Arial"/>
          <w:sz w:val="16"/>
          <w:szCs w:val="16"/>
          <w:color w:val="auto"/>
        </w:rPr>
        <w:t>The main terms of the credit facilities, including financial covenants, and the Sponsor Credit Facility have been disclosed in the annual consolidated financial statements for the year ended December 31, 2020. Refer to Note 6 “Borrowings”.</w:t>
      </w:r>
    </w:p>
    <w:p>
      <w:pPr>
        <w:spacing w:after="0" w:line="172" w:lineRule="exact"/>
        <w:rPr>
          <w:sz w:val="20"/>
          <w:szCs w:val="20"/>
          <w:color w:val="auto"/>
        </w:rPr>
      </w:pPr>
    </w:p>
    <w:p>
      <w:pPr>
        <w:ind w:right="180" w:firstLine="324"/>
        <w:spacing w:after="0" w:line="273" w:lineRule="auto"/>
        <w:rPr>
          <w:sz w:val="20"/>
          <w:szCs w:val="20"/>
          <w:color w:val="auto"/>
        </w:rPr>
      </w:pPr>
      <w:r>
        <w:rPr>
          <w:rFonts w:ascii="Arial" w:cs="Arial" w:eastAsia="Arial" w:hAnsi="Arial"/>
          <w:sz w:val="16"/>
          <w:szCs w:val="16"/>
          <w:color w:val="auto"/>
        </w:rPr>
        <w:t>In the six months ended June 30, 2021, the Partnership repaid $54,838 in accordance with the repayment terms under its credit facilities. In connection with the de-listing of the Parent’s common shares from the New York Stock Exchange completed in June 2021, supplemental agreements have been signed with certain of the Partnership’s lenders with respect to clauses relating to its Parent, GasLog. All costs relating to such amendments have been covered by GasLog directly.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 Partners was in compliance with its financial covenants as of June 30, 2021.</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Other Payables and Accruals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other payables and accruals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Unearned revenue</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25,828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25,305</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Accrued off-hire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6,748</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Accrued purchases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4,187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Accrued interest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10,855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Other accruals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8,007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50,679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55,447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8. Revenues</w:t>
            </w: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20" w:type="dxa"/>
            <w:vAlign w:val="bottom"/>
          </w:tcPr>
          <w:p>
            <w:pPr>
              <w:ind w:left="340"/>
              <w:spacing w:after="0"/>
              <w:rPr>
                <w:sz w:val="20"/>
                <w:szCs w:val="20"/>
                <w:color w:val="auto"/>
              </w:rPr>
            </w:pPr>
            <w:r>
              <w:rPr>
                <w:rFonts w:ascii="Arial" w:cs="Arial" w:eastAsia="Arial" w:hAnsi="Arial"/>
                <w:sz w:val="16"/>
                <w:szCs w:val="16"/>
                <w:color w:val="auto"/>
                <w:w w:val="98"/>
              </w:rPr>
              <w:t>The Partnership has recognized the following amounts relating to revenues: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620" w:type="dxa"/>
            <w:vAlign w:val="bottom"/>
          </w:tcPr>
          <w:p>
            <w:pPr>
              <w:spacing w:after="0"/>
              <w:rPr>
                <w:sz w:val="24"/>
                <w:szCs w:val="24"/>
                <w:color w:val="auto"/>
              </w:rPr>
            </w:pP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60" w:type="dxa"/>
            <w:vAlign w:val="bottom"/>
          </w:tcPr>
          <w:p>
            <w:pPr>
              <w:spacing w:after="0"/>
              <w:rPr>
                <w:sz w:val="24"/>
                <w:szCs w:val="24"/>
                <w:color w:val="auto"/>
              </w:rPr>
            </w:pPr>
          </w:p>
        </w:tc>
        <w:tc>
          <w:tcPr>
            <w:tcW w:w="206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June 30, 2020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June 30, 2021</w:t>
            </w:r>
          </w:p>
        </w:tc>
        <w:tc>
          <w:tcPr>
            <w:tcW w:w="60" w:type="dxa"/>
            <w:vAlign w:val="bottom"/>
          </w:tcPr>
          <w:p>
            <w:pPr>
              <w:spacing w:after="0"/>
              <w:rPr>
                <w:sz w:val="14"/>
                <w:szCs w:val="1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2020</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from long-term time charters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63,925</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42,881</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131,570</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92,915</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Revenues from spot time charters</w:t>
            </w:r>
          </w:p>
        </w:tc>
        <w:tc>
          <w:tcPr>
            <w:tcW w:w="940" w:type="dxa"/>
            <w:vAlign w:val="bottom"/>
          </w:tcPr>
          <w:p>
            <w:pPr>
              <w:jc w:val="right"/>
              <w:spacing w:after="0"/>
              <w:rPr>
                <w:sz w:val="20"/>
                <w:szCs w:val="20"/>
                <w:color w:val="auto"/>
              </w:rPr>
            </w:pPr>
            <w:r>
              <w:rPr>
                <w:rFonts w:ascii="Arial" w:cs="Arial" w:eastAsia="Arial" w:hAnsi="Arial"/>
                <w:sz w:val="16"/>
                <w:szCs w:val="16"/>
                <w:color w:val="auto"/>
              </w:rPr>
              <w:t>20,523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27,471</w:t>
            </w: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44,231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64,525</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175,801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157,440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860"/>
              <w:spacing w:after="0"/>
              <w:rPr>
                <w:sz w:val="20"/>
                <w:szCs w:val="20"/>
                <w:color w:val="auto"/>
              </w:rPr>
            </w:pPr>
            <w:r>
              <w:rPr>
                <w:rFonts w:ascii="Arial" w:cs="Arial" w:eastAsia="Arial" w:hAnsi="Arial"/>
                <w:sz w:val="16"/>
                <w:szCs w:val="16"/>
                <w:color w:val="auto"/>
              </w:rPr>
              <w:t>F-9</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6" w:right="999" w:bottom="1440" w:gutter="0" w:footer="0" w:header="0"/>
        </w:sectPr>
      </w:pPr>
    </w:p>
    <w:bookmarkStart w:id="29" w:name="page30"/>
    <w:bookmarkEnd w:id="29"/>
    <w:p>
      <w:pPr>
        <w:ind w:left="20" w:right="40" w:firstLine="324"/>
        <w:spacing w:after="0" w:line="278" w:lineRule="auto"/>
        <w:rPr>
          <w:sz w:val="20"/>
          <w:szCs w:val="20"/>
          <w:color w:val="auto"/>
        </w:rPr>
      </w:pPr>
      <w:r>
        <w:rPr>
          <w:rFonts w:ascii="Arial" w:cs="Arial" w:eastAsia="Arial" w:hAnsi="Arial"/>
          <w:sz w:val="16"/>
          <w:szCs w:val="16"/>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9. General and Administrative Expenses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 analysis of general and administrative expenses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8"/>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2040" w:type="dxa"/>
            <w:vAlign w:val="bottom"/>
            <w:gridSpan w:val="7"/>
          </w:tcPr>
          <w:p>
            <w:pPr>
              <w:jc w:val="right"/>
              <w:ind w:right="184"/>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Administrative services fees (Note 3)</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3,919</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1,350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2,700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659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750</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867</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1,314</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4,421</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3,488</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8,592</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Vessel Operating Costs</w:t>
            </w: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20" w:type="dxa"/>
            <w:vAlign w:val="bottom"/>
          </w:tcPr>
          <w:p>
            <w:pPr>
              <w:ind w:left="380"/>
              <w:spacing w:after="0"/>
              <w:rPr>
                <w:sz w:val="20"/>
                <w:szCs w:val="20"/>
                <w:color w:val="auto"/>
              </w:rPr>
            </w:pPr>
            <w:r>
              <w:rPr>
                <w:rFonts w:ascii="Arial" w:cs="Arial" w:eastAsia="Arial" w:hAnsi="Arial"/>
                <w:sz w:val="16"/>
                <w:szCs w:val="16"/>
                <w:color w:val="auto"/>
              </w:rPr>
              <w:t>An analysis of vessel operating costs is as follows:</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8"/>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24"/>
                <w:szCs w:val="24"/>
                <w:color w:val="auto"/>
              </w:rPr>
            </w:pPr>
          </w:p>
        </w:tc>
        <w:tc>
          <w:tcPr>
            <w:tcW w:w="2040" w:type="dxa"/>
            <w:vAlign w:val="bottom"/>
            <w:gridSpan w:val="7"/>
          </w:tcPr>
          <w:p>
            <w:pPr>
              <w:jc w:val="right"/>
              <w:ind w:right="164"/>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100" w:type="dxa"/>
            <w:vAlign w:val="bottom"/>
            <w:gridSpan w:val="5"/>
          </w:tcPr>
          <w:p>
            <w:pPr>
              <w:ind w:left="6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Crew costs</w:t>
            </w: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8,780</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17,619</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rPr>
                <w:sz w:val="20"/>
                <w:szCs w:val="20"/>
                <w:color w:val="auto"/>
              </w:rPr>
            </w:pPr>
            <w:r>
              <w:rPr>
                <w:rFonts w:ascii="Arial" w:cs="Arial" w:eastAsia="Arial" w:hAnsi="Arial"/>
                <w:sz w:val="16"/>
                <w:szCs w:val="16"/>
                <w:color w:val="auto"/>
              </w:rPr>
              <w:t>Technical maintenance expenses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5,848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10,079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8,290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16,895</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20,044</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35,988</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37,851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11. Derivative Financial Instruments</w:t>
            </w: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20" w:type="dxa"/>
            <w:vAlign w:val="bottom"/>
          </w:tcPr>
          <w:p>
            <w:pPr>
              <w:ind w:left="340"/>
              <w:spacing w:after="0"/>
              <w:rPr>
                <w:sz w:val="20"/>
                <w:szCs w:val="20"/>
                <w:color w:val="auto"/>
              </w:rPr>
            </w:pPr>
            <w:r>
              <w:rPr>
                <w:rFonts w:ascii="Arial" w:cs="Arial" w:eastAsia="Arial" w:hAnsi="Arial"/>
                <w:sz w:val="16"/>
                <w:szCs w:val="16"/>
                <w:color w:val="auto"/>
              </w:rPr>
              <w:t>The fair value of the Partnership’s derivative liabilities is as follows:</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gridSpan w:val="9"/>
          </w:tcPr>
          <w:p>
            <w:pPr>
              <w:ind w:lef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rate swaps</w:t>
            </w:r>
          </w:p>
        </w:tc>
        <w:tc>
          <w:tcPr>
            <w:tcW w:w="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20,337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20,337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color w:val="auto"/>
              </w:rPr>
              <w:t>Derivative financial instruments, current liability</w:t>
            </w: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8,185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7,632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12,152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20,337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left="20" w:right="140" w:firstLine="324"/>
        <w:spacing w:after="0" w:line="297" w:lineRule="auto"/>
        <w:rPr>
          <w:sz w:val="20"/>
          <w:szCs w:val="20"/>
          <w:color w:val="auto"/>
        </w:rPr>
      </w:pPr>
      <w:r>
        <w:rPr>
          <w:rFonts w:ascii="Arial" w:cs="Arial" w:eastAsia="Arial" w:hAnsi="Arial"/>
          <w:sz w:val="15"/>
          <w:szCs w:val="15"/>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USD London Interbank Offered Rate (“LIBOR”), and the Partnership effects quarterly payments to the counterparty on the notional amount at the respective fixed rates.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20" w:right="360" w:firstLine="324"/>
        <w:spacing w:after="0" w:line="328" w:lineRule="auto"/>
        <w:rPr>
          <w:sz w:val="20"/>
          <w:szCs w:val="20"/>
          <w:color w:val="auto"/>
        </w:rPr>
      </w:pPr>
      <w:r>
        <w:rPr>
          <w:rFonts w:ascii="Arial" w:cs="Arial" w:eastAsia="Arial" w:hAnsi="Arial"/>
          <w:sz w:val="15"/>
          <w:szCs w:val="15"/>
          <w:color w:val="auto"/>
        </w:rPr>
        <w:t>The principal terms of the Partnership’s interest rate swaps held for trading as of December 31, 2020 have been disclosed in the annual audited consolidated financial statements for the year ended December 31, 2020. Refer to Note 17 “Derivative Financial Instruments”.</w:t>
      </w:r>
    </w:p>
    <w:p>
      <w:pPr>
        <w:spacing w:after="0" w:line="150" w:lineRule="exact"/>
        <w:rPr>
          <w:sz w:val="20"/>
          <w:szCs w:val="20"/>
          <w:color w:val="auto"/>
        </w:rPr>
      </w:pPr>
    </w:p>
    <w:p>
      <w:pPr>
        <w:ind w:left="20" w:right="60" w:firstLine="324"/>
        <w:spacing w:after="0" w:line="291" w:lineRule="auto"/>
        <w:rPr>
          <w:sz w:val="20"/>
          <w:szCs w:val="20"/>
          <w:color w:val="auto"/>
        </w:rPr>
      </w:pPr>
      <w:r>
        <w:rPr>
          <w:rFonts w:ascii="Arial" w:cs="Arial" w:eastAsia="Arial" w:hAnsi="Arial"/>
          <w:sz w:val="15"/>
          <w:szCs w:val="15"/>
          <w:color w:val="auto"/>
        </w:rPr>
        <w:t>The derivative instruments of the Partnership were not designated as cash flow hedging instruments as of June 30, 2021. The change in the fair value of the interest rate swaps for the three and six months ended June 30, 2021 amounted to a gain of $1,962 and a gain of $5,569, respectively (for the three and six months ended June 30, 2020, a gain of $1,034 and a loss of $12,148, respectively), which was recognized in profit or loss in the period incurred and is included in Gain/(loss) on derivatives. During the three and six months ended June 30, 2021, the gain of $1,962 and $5,569, respectively (Note 12), was attributable to changes in the USD LIBOR yield curve, which was used to calculate the present value of the estimated future cash flows, resulting in a decrease in derivative liabilities from interest rate swaps held for trading.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left="20" w:right="40" w:firstLine="324"/>
        <w:spacing w:after="0" w:line="328" w:lineRule="auto"/>
        <w:rPr>
          <w:sz w:val="20"/>
          <w:szCs w:val="20"/>
          <w:color w:val="auto"/>
        </w:rPr>
      </w:pPr>
      <w:r>
        <w:rPr>
          <w:rFonts w:ascii="Arial" w:cs="Arial" w:eastAsia="Arial" w:hAnsi="Arial"/>
          <w:sz w:val="15"/>
          <w:szCs w:val="15"/>
          <w:color w:val="auto"/>
        </w:rPr>
        <w:t>The Partnership uses non-deliverable forward foreign exchange contracts to mitigate foreign exchange transaction exposures in Euros (“EUR”) and Singapore Dollars (“SGD”). Under these non-deliverable forward foreign exchange contracts, the counterparties settle the difference between the</w:t>
      </w:r>
    </w:p>
    <w:p>
      <w:pPr>
        <w:sectPr>
          <w:pgSz w:w="11900" w:h="16838" w:orient="portrait"/>
          <w:cols w:equalWidth="0" w:num="1">
            <w:col w:w="9960"/>
          </w:cols>
          <w:pgMar w:left="960" w:top="130" w:right="97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375285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60" w:top="130" w:right="979" w:bottom="1440" w:gutter="0" w:footer="0" w:header="0"/>
          <w:type w:val="continuous"/>
        </w:sectPr>
      </w:pPr>
    </w:p>
    <w:bookmarkStart w:id="30" w:name="page31"/>
    <w:bookmarkEnd w:id="30"/>
    <w:p>
      <w:pPr>
        <w:ind w:right="240"/>
        <w:spacing w:after="0" w:line="328" w:lineRule="auto"/>
        <w:rPr>
          <w:sz w:val="20"/>
          <w:szCs w:val="20"/>
          <w:color w:val="auto"/>
        </w:rPr>
      </w:pPr>
      <w:r>
        <w:rPr>
          <w:rFonts w:ascii="Arial" w:cs="Arial" w:eastAsia="Arial" w:hAnsi="Arial"/>
          <w:sz w:val="15"/>
          <w:szCs w:val="15"/>
          <w:color w:val="auto"/>
        </w:rPr>
        <w:t>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p>
      <w:pPr>
        <w:spacing w:after="0" w:line="235"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During the six months ended June 30, 2021, the Partnership did not enter any new forward foreign exchange contracts and the change in the fair value of forward foreign exchange contracts for the three and six months ended June 30, 2021 was nil. The change in the fair value of such contracts for the three and six months ended June 30, 2020 amounted to a gain of $401 and a loss of $69, respectively, which was recognized in profit or loss in the period incurred and is included in Gain/(loss) on derivatives (Note 12).</w:t>
      </w:r>
    </w:p>
    <w:p>
      <w:pPr>
        <w:spacing w:after="0" w:line="171" w:lineRule="exact"/>
        <w:rPr>
          <w:sz w:val="20"/>
          <w:szCs w:val="20"/>
          <w:color w:val="auto"/>
        </w:rPr>
      </w:pPr>
    </w:p>
    <w:p>
      <w:pPr>
        <w:jc w:val="center"/>
        <w:ind w:right="6460"/>
        <w:spacing w:after="0"/>
        <w:rPr>
          <w:sz w:val="20"/>
          <w:szCs w:val="20"/>
          <w:color w:val="auto"/>
        </w:rPr>
      </w:pPr>
      <w:r>
        <w:rPr>
          <w:rFonts w:ascii="Arial" w:cs="Arial" w:eastAsia="Arial" w:hAnsi="Arial"/>
          <w:sz w:val="14"/>
          <w:szCs w:val="14"/>
          <w:b w:val="1"/>
          <w:bCs w:val="1"/>
          <w:color w:val="auto"/>
        </w:rPr>
        <w:t>12. Financial Costs and Gain/(loss) on Derivatives</w:t>
      </w:r>
    </w:p>
    <w:p>
      <w:pPr>
        <w:spacing w:after="0" w:line="262" w:lineRule="exact"/>
        <w:rPr>
          <w:sz w:val="20"/>
          <w:szCs w:val="20"/>
          <w:color w:val="auto"/>
        </w:rPr>
      </w:pPr>
    </w:p>
    <w:p>
      <w:pPr>
        <w:jc w:val="center"/>
        <w:ind w:right="6460"/>
        <w:spacing w:after="0"/>
        <w:rPr>
          <w:sz w:val="20"/>
          <w:szCs w:val="20"/>
          <w:color w:val="auto"/>
        </w:rPr>
      </w:pPr>
      <w:r>
        <w:rPr>
          <w:rFonts w:ascii="Arial" w:cs="Arial" w:eastAsia="Arial" w:hAnsi="Arial"/>
          <w:sz w:val="16"/>
          <w:szCs w:val="16"/>
          <w:color w:val="auto"/>
        </w:rPr>
        <w:t>An analysis of financial costs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4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940" w:type="dxa"/>
            <w:vAlign w:val="bottom"/>
          </w:tcPr>
          <w:p>
            <w:pPr>
              <w:jc w:val="right"/>
              <w:spacing w:after="0"/>
              <w:rPr>
                <w:sz w:val="20"/>
                <w:szCs w:val="20"/>
                <w:color w:val="auto"/>
              </w:rPr>
            </w:pPr>
            <w:r>
              <w:rPr>
                <w:rFonts w:ascii="Arial" w:cs="Arial" w:eastAsia="Arial" w:hAnsi="Arial"/>
                <w:sz w:val="16"/>
                <w:szCs w:val="16"/>
                <w:color w:val="auto"/>
              </w:rPr>
              <w:t>11,466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7,716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24,900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15,599</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Lease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Commitment fees</w:t>
            </w: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costs including bank commissions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13,067</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9,115</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28,580</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18,531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340"/>
              <w:spacing w:after="0"/>
              <w:rPr>
                <w:sz w:val="20"/>
                <w:szCs w:val="20"/>
                <w:color w:val="auto"/>
              </w:rPr>
            </w:pPr>
            <w:r>
              <w:rPr>
                <w:rFonts w:ascii="Arial" w:cs="Arial" w:eastAsia="Arial" w:hAnsi="Arial"/>
                <w:sz w:val="16"/>
                <w:szCs w:val="16"/>
                <w:color w:val="auto"/>
              </w:rPr>
              <w:t>An analysis of (gain)/loss on derivatives is as follows:</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620" w:type="dxa"/>
            <w:vAlign w:val="bottom"/>
          </w:tcPr>
          <w:p>
            <w:pPr>
              <w:spacing w:after="0"/>
              <w:rPr>
                <w:sz w:val="24"/>
                <w:szCs w:val="24"/>
                <w:color w:val="auto"/>
              </w:rPr>
            </w:pPr>
          </w:p>
        </w:tc>
        <w:tc>
          <w:tcPr>
            <w:tcW w:w="224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Unrealized (gain)/loss on interest rate swaps held for trading (Note 11)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12,148</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rPr>
              <w:t>Unrealized (gain)/loss on forward foreign exchange contracts held for trading</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40"/>
              <w:spacing w:after="0"/>
              <w:rPr>
                <w:sz w:val="20"/>
                <w:szCs w:val="20"/>
                <w:color w:val="auto"/>
              </w:rPr>
            </w:pPr>
            <w:r>
              <w:rPr>
                <w:rFonts w:ascii="Arial" w:cs="Arial" w:eastAsia="Arial" w:hAnsi="Arial"/>
                <w:sz w:val="16"/>
                <w:szCs w:val="16"/>
                <w:color w:val="auto"/>
              </w:rPr>
              <w:t>(Note 11)</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(401)</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Realized loss on interest rate swaps held for trading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940" w:type="dxa"/>
            <w:vAlign w:val="bottom"/>
          </w:tcPr>
          <w:p>
            <w:pPr>
              <w:jc w:val="right"/>
              <w:spacing w:after="0"/>
              <w:rPr>
                <w:sz w:val="20"/>
                <w:szCs w:val="20"/>
                <w:color w:val="auto"/>
              </w:rPr>
            </w:pPr>
            <w:r>
              <w:rPr>
                <w:rFonts w:ascii="Arial" w:cs="Arial" w:eastAsia="Arial" w:hAnsi="Arial"/>
                <w:sz w:val="16"/>
                <w:szCs w:val="16"/>
                <w:color w:val="auto"/>
              </w:rPr>
              <w:t>234</w:t>
            </w:r>
          </w:p>
        </w:tc>
        <w:tc>
          <w:tcPr>
            <w:tcW w:w="1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409</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(gain)/loss on derivatives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Earnings per Unit (“EPU”)</w:t>
      </w:r>
    </w:p>
    <w:p>
      <w:pPr>
        <w:spacing w:after="0" w:line="23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jc w:val="both"/>
        <w:ind w:right="480" w:firstLine="324"/>
        <w:spacing w:after="0" w:line="273" w:lineRule="auto"/>
        <w:rPr>
          <w:sz w:val="20"/>
          <w:szCs w:val="20"/>
          <w:color w:val="auto"/>
        </w:rPr>
      </w:pPr>
      <w:r>
        <w:rPr>
          <w:rFonts w:ascii="Arial" w:cs="Arial" w:eastAsia="Arial" w:hAnsi="Arial"/>
          <w:sz w:val="16"/>
          <w:szCs w:val="16"/>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31" w:name="page32"/>
    <w:bookmarkEnd w:id="31"/>
    <w:p>
      <w:pPr>
        <w:ind w:left="340"/>
        <w:spacing w:after="0"/>
        <w:rPr>
          <w:sz w:val="20"/>
          <w:szCs w:val="20"/>
          <w:color w:val="auto"/>
        </w:rPr>
      </w:pPr>
      <w:r>
        <w:rPr>
          <w:rFonts w:ascii="Arial" w:cs="Arial" w:eastAsia="Arial" w:hAnsi="Arial"/>
          <w:sz w:val="16"/>
          <w:szCs w:val="16"/>
          <w:color w:val="auto"/>
        </w:rPr>
        <w:t>Earnings per unit is presented for the period in which the units were outstanding, with earnings calculated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c>
          <w:tcPr>
            <w:tcW w:w="2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3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060" w:type="dxa"/>
            <w:vAlign w:val="bottom"/>
          </w:tcPr>
          <w:p>
            <w:pPr>
              <w:jc w:val="right"/>
              <w:ind w:right="4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 and Partnership’s profit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8,213</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14,663</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22,382</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50,023</w:t>
            </w: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Adjustment for:</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Paid and accrued preference unit distributions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(7,582)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(7,582)</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(15,164)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(15,164)</w:t>
            </w:r>
          </w:p>
        </w:tc>
      </w:tr>
      <w:tr>
        <w:trPr>
          <w:trHeight w:val="236"/>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14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7,081</w:t>
            </w:r>
          </w:p>
        </w:tc>
        <w:tc>
          <w:tcPr>
            <w:tcW w:w="16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7,218</w:t>
            </w:r>
          </w:p>
        </w:tc>
        <w:tc>
          <w:tcPr>
            <w:tcW w:w="14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34,859</w:t>
            </w:r>
          </w:p>
        </w:tc>
      </w:tr>
      <w:tr>
        <w:trPr>
          <w:trHeight w:val="183"/>
        </w:trPr>
        <w:tc>
          <w:tcPr>
            <w:tcW w:w="53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Common unitholders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7,063</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34,127</w:t>
            </w:r>
          </w:p>
        </w:tc>
      </w:tr>
      <w:tr>
        <w:trPr>
          <w:trHeight w:val="202"/>
        </w:trPr>
        <w:tc>
          <w:tcPr>
            <w:tcW w:w="5320" w:type="dxa"/>
            <w:vAlign w:val="bottom"/>
          </w:tcPr>
          <w:p>
            <w:pPr>
              <w:spacing w:after="0"/>
              <w:rPr>
                <w:sz w:val="20"/>
                <w:szCs w:val="20"/>
                <w:color w:val="auto"/>
              </w:rPr>
            </w:pPr>
            <w:r>
              <w:rPr>
                <w:rFonts w:ascii="Arial" w:cs="Arial" w:eastAsia="Arial" w:hAnsi="Arial"/>
                <w:sz w:val="16"/>
                <w:szCs w:val="16"/>
                <w:color w:val="auto"/>
              </w:rPr>
              <w:t>General partner</w:t>
            </w: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Common units</w:t>
            </w:r>
          </w:p>
        </w:tc>
        <w:tc>
          <w:tcPr>
            <w:tcW w:w="1040" w:type="dxa"/>
            <w:vAlign w:val="bottom"/>
          </w:tcPr>
          <w:p>
            <w:pPr>
              <w:jc w:val="right"/>
              <w:spacing w:after="0"/>
              <w:rPr>
                <w:sz w:val="20"/>
                <w:szCs w:val="20"/>
                <w:color w:val="auto"/>
              </w:rPr>
            </w:pPr>
            <w:r>
              <w:rPr>
                <w:rFonts w:ascii="Arial" w:cs="Arial" w:eastAsia="Arial" w:hAnsi="Arial"/>
                <w:sz w:val="16"/>
                <w:szCs w:val="16"/>
                <w:color w:val="auto"/>
              </w:rPr>
              <w:t>46,713,991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48,161,285</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46,739,034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47,841,332</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1,021,953</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1,021,646</w:t>
            </w:r>
          </w:p>
        </w:tc>
      </w:tr>
      <w:tr>
        <w:trPr>
          <w:trHeight w:val="203"/>
        </w:trPr>
        <w:tc>
          <w:tcPr>
            <w:tcW w:w="532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Common unitholders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General partner</w:t>
            </w: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0.14</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Common units*</w:t>
            </w:r>
          </w:p>
        </w:tc>
        <w:tc>
          <w:tcPr>
            <w:tcW w:w="1040" w:type="dxa"/>
            <w:vAlign w:val="bottom"/>
          </w:tcPr>
          <w:p>
            <w:pPr>
              <w:jc w:val="right"/>
              <w:spacing w:after="0"/>
              <w:rPr>
                <w:sz w:val="20"/>
                <w:szCs w:val="20"/>
                <w:color w:val="auto"/>
              </w:rPr>
            </w:pPr>
            <w:r>
              <w:rPr>
                <w:rFonts w:ascii="Arial" w:cs="Arial" w:eastAsia="Arial" w:hAnsi="Arial"/>
                <w:sz w:val="16"/>
                <w:szCs w:val="16"/>
                <w:color w:val="auto"/>
              </w:rPr>
              <w:t>49,460,033</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50,425,047</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49,402,714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50,016,601</w:t>
            </w: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General partner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1,021,953</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1,021,336</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1,021,646</w:t>
            </w:r>
          </w:p>
        </w:tc>
      </w:tr>
      <w:tr>
        <w:trPr>
          <w:trHeight w:val="203"/>
        </w:trPr>
        <w:tc>
          <w:tcPr>
            <w:tcW w:w="532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Common unitholders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r>
      <w:tr>
        <w:trPr>
          <w:trHeight w:val="206"/>
        </w:trPr>
        <w:tc>
          <w:tcPr>
            <w:tcW w:w="5320" w:type="dxa"/>
            <w:vAlign w:val="bottom"/>
          </w:tcPr>
          <w:p>
            <w:pPr>
              <w:spacing w:after="0"/>
              <w:rPr>
                <w:sz w:val="20"/>
                <w:szCs w:val="20"/>
                <w:color w:val="auto"/>
              </w:rPr>
            </w:pPr>
            <w:r>
              <w:rPr>
                <w:rFonts w:ascii="Arial" w:cs="Arial" w:eastAsia="Arial" w:hAnsi="Arial"/>
                <w:sz w:val="16"/>
                <w:szCs w:val="16"/>
                <w:color w:val="auto"/>
              </w:rPr>
              <w:t>General partner</w:t>
            </w: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0.14</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15684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46" w:lineRule="exact"/>
        <w:rPr>
          <w:sz w:val="20"/>
          <w:szCs w:val="20"/>
          <w:color w:val="auto"/>
        </w:rPr>
      </w:pPr>
    </w:p>
    <w:p>
      <w:pPr>
        <w:ind w:left="140" w:right="40" w:hanging="132"/>
        <w:spacing w:after="0" w:line="238" w:lineRule="auto"/>
        <w:tabs>
          <w:tab w:leader="none" w:pos="1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unvested awards with respect to the 2015 Plan and Class B units. After the conversion of the first tranche of 415,000 Class B units on July 1, 2020, the remaining 2,075,000 Class B units will become eligible for conversion on a one-for-one basis into common units at GasLog’s option in five tranches of 415,000 units per annum on July 1 of 2021 (Note 15), 2022, 2023, 2024 and 2025.</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Commitments and Contingencies</w:t>
      </w:r>
    </w:p>
    <w:p>
      <w:pPr>
        <w:spacing w:after="0" w:line="239" w:lineRule="exact"/>
        <w:rPr>
          <w:sz w:val="20"/>
          <w:szCs w:val="20"/>
          <w:color w:val="auto"/>
        </w:rPr>
      </w:pPr>
    </w:p>
    <w:p>
      <w:pPr>
        <w:ind w:firstLine="324"/>
        <w:spacing w:after="0" w:line="305" w:lineRule="auto"/>
        <w:rPr>
          <w:sz w:val="20"/>
          <w:szCs w:val="20"/>
          <w:color w:val="auto"/>
        </w:rPr>
      </w:pPr>
      <w:r>
        <w:rPr>
          <w:rFonts w:ascii="Arial" w:cs="Arial" w:eastAsia="Arial" w:hAnsi="Arial"/>
          <w:sz w:val="15"/>
          <w:szCs w:val="15"/>
          <w:color w:val="auto"/>
        </w:rPr>
        <w:t>Future gross minimum lease payments receivable in relation to non-cancellable time charter agreements for vessels in operation as of June 30, 2021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Period</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June 30, 2021</w:t>
            </w: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200,081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Later than one year and not later than two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133,425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Later than two years and not later than three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50,280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Later than four years and not later than five years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41,879</w:t>
            </w: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508,897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60" w:firstLine="324"/>
        <w:spacing w:after="0" w:line="278" w:lineRule="auto"/>
        <w:rPr>
          <w:sz w:val="20"/>
          <w:szCs w:val="20"/>
          <w:color w:val="auto"/>
        </w:rPr>
      </w:pPr>
      <w:r>
        <w:rPr>
          <w:rFonts w:ascii="Arial" w:cs="Arial" w:eastAsia="Arial" w:hAnsi="Arial"/>
          <w:sz w:val="16"/>
          <w:szCs w:val="16"/>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June 30, 2021, ballast water management systems had been installed on seven out of the eleven vessels.</w:t>
      </w:r>
    </w:p>
    <w:p>
      <w:pPr>
        <w:spacing w:after="0" w:line="189" w:lineRule="exact"/>
        <w:rPr>
          <w:sz w:val="20"/>
          <w:szCs w:val="20"/>
          <w:color w:val="auto"/>
        </w:rPr>
      </w:pPr>
    </w:p>
    <w:p>
      <w:pPr>
        <w:ind w:right="260" w:firstLine="324"/>
        <w:spacing w:after="0" w:line="273"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w:t>
      </w:r>
    </w:p>
    <w:p>
      <w:pPr>
        <w:spacing w:after="0" w:line="239"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On July 1, 2021, GasLog Partners issued 415,000 common units in connection with GasLog’s option to convert the second tranche of its Class B units issued upon the elimination of incentive distributions rights in June 2019.</w:t>
      </w:r>
    </w:p>
    <w:p>
      <w:pPr>
        <w:spacing w:after="0" w:line="172" w:lineRule="exact"/>
        <w:rPr>
          <w:sz w:val="20"/>
          <w:szCs w:val="20"/>
          <w:color w:val="auto"/>
        </w:rPr>
      </w:pPr>
    </w:p>
    <w:p>
      <w:pPr>
        <w:ind w:right="140" w:firstLine="324"/>
        <w:spacing w:after="0" w:line="305" w:lineRule="auto"/>
        <w:rPr>
          <w:sz w:val="20"/>
          <w:szCs w:val="20"/>
          <w:color w:val="auto"/>
        </w:rPr>
      </w:pPr>
      <w:r>
        <w:rPr>
          <w:rFonts w:ascii="Arial" w:cs="Arial" w:eastAsia="Arial" w:hAnsi="Arial"/>
          <w:sz w:val="15"/>
          <w:szCs w:val="15"/>
          <w:color w:val="auto"/>
        </w:rPr>
        <w:t>On July 26, 2021, the board of directors of GasLog Partners approved and declared a quarterly cash distribution of $0.01 per common unit for the quarter ended June 30, 2021. The cash distribution is payable on August 12, 2021 to all unitholders of record as of August 9, 2021. The aggregate amount of the declared distribution will be $518 based on the number of units issued and outstanding as of June 30, 2021.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32" w:name="page33"/>
    <w:bookmarkEnd w:id="32"/>
    <w:p>
      <w:pPr>
        <w:jc w:val="both"/>
        <w:ind w:firstLine="324"/>
        <w:spacing w:after="0" w:line="335" w:lineRule="auto"/>
        <w:rPr>
          <w:sz w:val="20"/>
          <w:szCs w:val="20"/>
          <w:color w:val="auto"/>
        </w:rPr>
      </w:pPr>
      <w:r>
        <w:rPr>
          <w:rFonts w:ascii="Arial" w:cs="Arial" w:eastAsia="Arial" w:hAnsi="Arial"/>
          <w:sz w:val="14"/>
          <w:szCs w:val="14"/>
          <w:color w:val="auto"/>
        </w:rPr>
        <w:t>On July 26, 2021,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September 15, 2021 to all unitholders of record as of September 8, 2021.</w:t>
      </w: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820"/>
      </w:cols>
      <w:pgMar w:left="980" w:top="130"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3"/>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10" Type="http://schemas.openxmlformats.org/officeDocument/2006/relationships/hyperlink" Target="https://www.sec.gov/Archives/edgar/data/1598655/000104746920005156/a2242501zf-3.htm" TargetMode="External"/><Relationship Id="rId11" Type="http://schemas.openxmlformats.org/officeDocument/2006/relationships/hyperlink" Target="https://www.sec.gov/Archives/edgar/data/1598655/000095015715000356/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2021-07-27T05:48:52Z</dcterms:created>
  <dcterms:modified xsi:type="dcterms:W3CDTF">2021-07-27T05:48:52Z</dcterms:modified>
</cp:coreProperties>
</file>