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left="146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August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001-36433</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Form 40-F </w:t>
      </w:r>
      <w:r>
        <w:rPr>
          <w:rFonts w:ascii="MS PGothic" w:cs="MS PGothic" w:eastAsia="MS PGothic" w:hAnsi="MS PGothic"/>
          <w:sz w:val="17"/>
          <w:szCs w:val="17"/>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7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press release issued by GasLog Partners LP on August</w:t>
      </w: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17"/>
          <w:szCs w:val="17"/>
          <w:color w:val="auto"/>
        </w:rPr>
        <w:t>1, 2024 relating to its results for the three-month period ended June 30, 2024 is attached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 as Exhibit 99.1.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5040" w:type="dxa"/>
            <w:vAlign w:val="bottom"/>
            <w:gridSpan w:val="2"/>
          </w:tcPr>
          <w:p>
            <w:pPr>
              <w:ind w:left="3920"/>
              <w:spacing w:after="0"/>
              <w:rPr>
                <w:sz w:val="20"/>
                <w:szCs w:val="20"/>
                <w:color w:val="auto"/>
              </w:rPr>
            </w:pPr>
            <w:r>
              <w:rPr>
                <w:rFonts w:ascii="Times New Roman" w:cs="Times New Roman" w:eastAsia="Times New Roman" w:hAnsi="Times New Roman"/>
                <w:sz w:val="18"/>
                <w:szCs w:val="18"/>
                <w:color w:val="auto"/>
                <w:w w:val="96"/>
              </w:rPr>
              <w:t>EXHIBIT LIST</w:t>
            </w:r>
          </w:p>
        </w:tc>
        <w:tc>
          <w:tcPr>
            <w:tcW w:w="0" w:type="dxa"/>
            <w:vAlign w:val="bottom"/>
          </w:tcPr>
          <w:p>
            <w:pPr>
              <w:spacing w:after="0"/>
              <w:rPr>
                <w:sz w:val="1"/>
                <w:szCs w:val="1"/>
                <w:color w:val="auto"/>
              </w:rPr>
            </w:pPr>
          </w:p>
        </w:tc>
      </w:tr>
      <w:tr>
        <w:trPr>
          <w:trHeight w:val="179"/>
        </w:trPr>
        <w:tc>
          <w:tcPr>
            <w:tcW w:w="68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4"/>
        </w:trPr>
        <w:tc>
          <w:tcPr>
            <w:tcW w:w="6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of GasLog Partners LP dated August 1, 2024</w:t>
            </w: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40" w:type="dxa"/>
            <w:vAlign w:val="bottom"/>
            <w:tcBorders>
              <w:top w:val="single" w:sz="8" w:color="0000EE"/>
            </w:tcBorders>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220"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40" w:firstLine="324"/>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tbl>
      <w:tblPr>
        <w:tblLayout w:type="fixed"/>
        <w:tblInd w:w="0" w:type="dxa"/>
        <w:tblCellMar>
          <w:top w:w="0" w:type="dxa"/>
          <w:left w:w="0" w:type="dxa"/>
          <w:bottom w:w="0" w:type="dxa"/>
          <w:right w:w="0" w:type="dxa"/>
        </w:tblCellMar>
      </w:tblPr>
      <w:tr>
        <w:trPr>
          <w:trHeight w:val="194"/>
        </w:trPr>
        <w:tc>
          <w:tcPr>
            <w:tcW w:w="35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w:t>
            </w:r>
          </w:p>
        </w:tc>
        <w:tc>
          <w:tcPr>
            <w:tcW w:w="2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720" w:type="dxa"/>
            <w:vAlign w:val="bottom"/>
          </w:tcPr>
          <w:p>
            <w:pPr>
              <w:spacing w:after="0"/>
              <w:rPr>
                <w:sz w:val="16"/>
                <w:szCs w:val="16"/>
                <w:color w:val="auto"/>
              </w:rPr>
            </w:pPr>
          </w:p>
        </w:tc>
      </w:tr>
      <w:tr>
        <w:trPr>
          <w:trHeight w:val="22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1, 2024</w:t>
            </w:r>
          </w:p>
        </w:tc>
        <w:tc>
          <w:tcPr>
            <w:tcW w:w="24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GASLOG PARTNERS LP</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Paolo Enoizi</w:t>
            </w:r>
          </w:p>
        </w:tc>
      </w:tr>
      <w:tr>
        <w:trPr>
          <w:trHeight w:val="191"/>
        </w:trPr>
        <w:tc>
          <w:tcPr>
            <w:tcW w:w="3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0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Paolo Enoizi</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Partners LP Reports Financial Results for the Three-Month Period Ended June 30, 2024</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Majuro, Marshall Islands, August 1, 2024, GasLog Partners LP (“GasLog Partners” or the “Partnership”) (NYSE: GLOP-PA, GLOP-PB, GLOP-PC), </w:t>
      </w:r>
      <w:r>
        <w:rPr>
          <w:rFonts w:ascii="Times New Roman" w:cs="Times New Roman" w:eastAsia="Times New Roman" w:hAnsi="Times New Roman"/>
          <w:sz w:val="18"/>
          <w:szCs w:val="18"/>
          <w:color w:val="auto"/>
        </w:rPr>
        <w:t>an international owner, operator and acquirer of liquefied natural gas (“LNG”) carriers, today reported its financial results for the three-month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June 30,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 and Lease-Back of a tri-fuel diesel electric (“TFDE”) LNG Carrier</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June 30, 2024, the Partnership had been pursuing an agreement for the sale and lease-back of a TFDE LNG carrier, resulting in the reclassification of that vessel as held for sale. While no definitive agreement has yet been reached, the agreement is expected to be executed, and the sale expected to be completed, within the third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GasLog Partners Dividend Declarations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On June 28, 2024, the board of directors of GasLog Partners approved and declared a quarterly cash distribution of $2.99 per common unit to GasLog Ltd. (“GasLog”) that was settled during the quarter ended June 30, 2024.</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July 31, 2024, the board of directors of GasLog Partners approved and declared:</w:t>
      </w:r>
    </w:p>
    <w:p>
      <w:pPr>
        <w:spacing w:after="0" w:line="27" w:lineRule="exact"/>
        <w:rPr>
          <w:sz w:val="20"/>
          <w:szCs w:val="20"/>
          <w:color w:val="auto"/>
        </w:rPr>
      </w:pPr>
    </w:p>
    <w:p>
      <w:pPr>
        <w:ind w:left="660" w:right="8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on the 8.625% Series A Cumulative Redeemable Perpetual Fixed to Floating Rate Preference Units (“Series A Preference Units”) of $0.5390625 per preference unit (based on the fixed rate),</w:t>
      </w:r>
    </w:p>
    <w:p>
      <w:pPr>
        <w:ind w:left="660" w:right="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on the 8.200% Series B Cumulative Redeemable Perpetual Fixed to Floating Rate Preference Units (“Series B Preference Units”) of $0.7311853 per preference unit (based on a floating rate equal to the Term Secured Overnight Financing Rate (“SOFR”) for a three-month tenor published by the Chicago Mercantile Exchange (“CME”) of 5.34403% plus 0.26161% of Credit Adjustment Spread (“CAS”) and spread of 5.839% per annum) and</w:t>
      </w:r>
    </w:p>
    <w:p>
      <w:pPr>
        <w:spacing w:after="0" w:line="1"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on the 8.500% Series C Cumulative Redeemable Perpetual Fixed to Floating Rate Preference Units (“Series C Preference Units”) of $0.6978353 per preference unit (based on a floating rate equal to the three-month Term SOFR as published by the CME of 5.34403% plus 0.26161% of CAS and spread of 5.317% per annum).</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cash distributions are payable on September 16, 2024 to all unitholders of record as of September 9,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Quarterly Financial Results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r>
      <w:tr>
        <w:trPr>
          <w:trHeight w:val="44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of U.S. dollars</w:t>
            </w:r>
          </w:p>
        </w:tc>
        <w:tc>
          <w:tcPr>
            <w:tcW w:w="160" w:type="dxa"/>
            <w:vAlign w:val="bottom"/>
          </w:tcPr>
          <w:p>
            <w:pPr>
              <w:spacing w:after="0"/>
              <w:rPr>
                <w:sz w:val="24"/>
                <w:szCs w:val="24"/>
                <w:color w:val="auto"/>
              </w:rPr>
            </w:pPr>
          </w:p>
        </w:tc>
        <w:tc>
          <w:tcPr>
            <w:tcW w:w="308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214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38,551</w:t>
            </w:r>
          </w:p>
        </w:tc>
      </w:tr>
    </w:tbl>
    <w:p>
      <w:pPr>
        <w:spacing w:after="0" w:line="17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Revenues were $87.3 million for the quarter ended June 30, 2024 ($97.0 million for the same period in 2023). The decrease of $9.7 million is mainly attributable to the second half of 2023 and 2024 fixtures, partially offset by the increase in available days resulting mainly from the decrease in off-hire days due to scheduled dry-dockings and repairs (5 dry-docking off-hire days in the three-month period ended June 30, 2024, compared to 64 days in the same period in 2023).</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Profit was $38.6 million for the quarter ended June 30, 2024 ($35.7 million for the same period in 2023). The increase in profit of $2.9 million is mainly attributable to a decrease of $12.6 million in net financial costs due to the debt prepayment in November 2023 (following the refinancing of all of our vessels at the parent level of GasLog), partially offset by a decrease of $9.7 million in revenues, as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5"/>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1,988</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Tangible fixed assets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1,477,458</w:t>
            </w:r>
          </w:p>
        </w:tc>
        <w:tc>
          <w:tcPr>
            <w:tcW w:w="140" w:type="dxa"/>
            <w:vAlign w:val="bottom"/>
          </w:tcPr>
          <w:p>
            <w:pPr>
              <w:spacing w:after="0"/>
              <w:rPr>
                <w:sz w:val="18"/>
                <w:szCs w:val="18"/>
                <w:color w:val="auto"/>
              </w:rPr>
            </w:pP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1,306,806</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126,549</w:t>
            </w: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105,657</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1,605,995</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1,414,192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Vessel held for sale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145,353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24,444</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22,379</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2,912</w:t>
            </w:r>
          </w:p>
        </w:tc>
        <w:tc>
          <w:tcPr>
            <w:tcW w:w="140" w:type="dxa"/>
            <w:vAlign w:val="bottom"/>
          </w:tcPr>
          <w:p>
            <w:pPr>
              <w:spacing w:after="0"/>
              <w:rPr>
                <w:sz w:val="18"/>
                <w:szCs w:val="18"/>
                <w:color w:val="auto"/>
              </w:rPr>
            </w:pP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15,295</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16,805</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5,706</w:t>
            </w:r>
          </w:p>
        </w:tc>
        <w:tc>
          <w:tcPr>
            <w:tcW w:w="140" w:type="dxa"/>
            <w:vAlign w:val="bottom"/>
          </w:tcPr>
          <w:p>
            <w:pPr>
              <w:spacing w:after="0"/>
              <w:rPr>
                <w:sz w:val="18"/>
                <w:szCs w:val="18"/>
                <w:color w:val="auto"/>
              </w:rPr>
            </w:pP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11,887</w:t>
            </w: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60,244</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195,547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1,666,239</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1,609,739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Partners’ equity and liabilities</w:t>
            </w: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Common unitholders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1,235,671</w:t>
            </w:r>
          </w:p>
        </w:tc>
        <w:tc>
          <w:tcPr>
            <w:tcW w:w="140" w:type="dxa"/>
            <w:vAlign w:val="bottom"/>
          </w:tcPr>
          <w:p>
            <w:pPr>
              <w:spacing w:after="0"/>
              <w:rPr>
                <w:sz w:val="18"/>
                <w:szCs w:val="18"/>
                <w:color w:val="auto"/>
              </w:rPr>
            </w:pP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1,202,761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4,676</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2,459</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Preference unitholders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280,069</w:t>
            </w:r>
          </w:p>
        </w:tc>
        <w:tc>
          <w:tcPr>
            <w:tcW w:w="140" w:type="dxa"/>
            <w:vAlign w:val="bottom"/>
          </w:tcPr>
          <w:p>
            <w:pPr>
              <w:spacing w:after="0"/>
              <w:rPr>
                <w:sz w:val="19"/>
                <w:szCs w:val="19"/>
                <w:color w:val="auto"/>
              </w:rPr>
            </w:pP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280,497</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partners’ equity</w:t>
            </w:r>
          </w:p>
        </w:tc>
        <w:tc>
          <w:tcPr>
            <w:tcW w:w="1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1,520,416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1,485,717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9,330</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4,189</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42,188</w:t>
            </w:r>
          </w:p>
        </w:tc>
        <w:tc>
          <w:tcPr>
            <w:tcW w:w="140" w:type="dxa"/>
            <w:vAlign w:val="bottom"/>
          </w:tcPr>
          <w:p>
            <w:pPr>
              <w:spacing w:after="0"/>
              <w:rPr>
                <w:sz w:val="18"/>
                <w:szCs w:val="18"/>
                <w:color w:val="auto"/>
              </w:rPr>
            </w:pP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39,188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liabilities—current portion</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28,831</w:t>
            </w: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30,349</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80,349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73,726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liabilities—non-current portion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65,077</w:t>
            </w:r>
          </w:p>
        </w:tc>
        <w:tc>
          <w:tcPr>
            <w:tcW w:w="140" w:type="dxa"/>
            <w:vAlign w:val="bottom"/>
          </w:tcPr>
          <w:p>
            <w:pPr>
              <w:spacing w:after="0"/>
              <w:rPr>
                <w:sz w:val="18"/>
                <w:szCs w:val="18"/>
                <w:color w:val="auto"/>
              </w:rPr>
            </w:pP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49,945</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65,474</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50,296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partners’ equity and liabilities</w:t>
            </w:r>
          </w:p>
        </w:tc>
        <w:tc>
          <w:tcPr>
            <w:tcW w:w="1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1,666,239</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1,609,739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profit or loss</w:t>
            </w: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5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5520" w:type="dxa"/>
            <w:vAlign w:val="bottom"/>
          </w:tcPr>
          <w:p>
            <w:pPr>
              <w:spacing w:after="0"/>
              <w:rPr>
                <w:sz w:val="24"/>
                <w:szCs w:val="24"/>
                <w:color w:val="auto"/>
              </w:rPr>
            </w:pPr>
          </w:p>
        </w:tc>
        <w:tc>
          <w:tcPr>
            <w:tcW w:w="2940" w:type="dxa"/>
            <w:vAlign w:val="bottom"/>
            <w:gridSpan w:val="5"/>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80" w:type="dxa"/>
            <w:vAlign w:val="bottom"/>
            <w:gridSpan w:val="6"/>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44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80" w:type="dxa"/>
            <w:vAlign w:val="bottom"/>
          </w:tcPr>
          <w:p>
            <w:pPr>
              <w:spacing w:after="0"/>
              <w:rPr>
                <w:sz w:val="20"/>
                <w:szCs w:val="20"/>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96,961</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(2,642)</w:t>
            </w:r>
          </w:p>
        </w:tc>
        <w:tc>
          <w:tcPr>
            <w:tcW w:w="14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(1,068)</w:t>
            </w:r>
          </w:p>
        </w:tc>
        <w:tc>
          <w:tcPr>
            <w:tcW w:w="13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(4,638)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costs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(15,754)</w:t>
            </w:r>
          </w:p>
        </w:tc>
        <w:tc>
          <w:tcPr>
            <w:tcW w:w="14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(17,506)</w:t>
            </w:r>
          </w:p>
        </w:tc>
        <w:tc>
          <w:tcPr>
            <w:tcW w:w="13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(31,680)</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(33,294)</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(24,815)</w:t>
            </w:r>
          </w:p>
        </w:tc>
        <w:tc>
          <w:tcPr>
            <w:tcW w:w="14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(25,196)</w:t>
            </w:r>
          </w:p>
        </w:tc>
        <w:tc>
          <w:tcPr>
            <w:tcW w:w="13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(47,527)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(50,366)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(6,219)</w:t>
            </w:r>
          </w:p>
        </w:tc>
        <w:tc>
          <w:tcPr>
            <w:tcW w:w="14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(4,051)</w:t>
            </w:r>
          </w:p>
        </w:tc>
        <w:tc>
          <w:tcPr>
            <w:tcW w:w="13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(11,866)</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vessel</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5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vessel</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47,531</w:t>
            </w:r>
          </w:p>
        </w:tc>
        <w:tc>
          <w:tcPr>
            <w:tcW w:w="2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39,452</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99,144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90,341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3,510</w:t>
            </w:r>
          </w:p>
        </w:tc>
        <w:tc>
          <w:tcPr>
            <w:tcW w:w="14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46</w:t>
            </w:r>
          </w:p>
        </w:tc>
        <w:tc>
          <w:tcPr>
            <w:tcW w:w="136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5,792</w:t>
            </w: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1,706</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1,539</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(11,828</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(27,066</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35,703</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38,551</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72,078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2024-08-01T15:12:06Z</dcterms:created>
  <dcterms:modified xsi:type="dcterms:W3CDTF">2024-08-01T15:12:06Z</dcterms:modified>
</cp:coreProperties>
</file>